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0ADA6" w14:textId="77777777" w:rsidR="00166FFE" w:rsidRPr="0031221C" w:rsidRDefault="00A1733E" w:rsidP="006A78BA">
      <w:pPr>
        <w:pStyle w:val="Annexetitre"/>
        <w:rPr>
          <w:sz w:val="28"/>
          <w:szCs w:val="28"/>
          <w:u w:val="none"/>
        </w:rPr>
      </w:pPr>
      <w:r>
        <w:rPr>
          <w:sz w:val="28"/>
          <w:u w:val="none"/>
        </w:rPr>
        <w:t>II PIELIKUMS</w:t>
      </w:r>
    </w:p>
    <w:p w14:paraId="3EED48F6" w14:textId="77777777" w:rsidR="00A1733E" w:rsidRPr="0031221C" w:rsidRDefault="00A1733E" w:rsidP="006A78BA">
      <w:pPr>
        <w:pStyle w:val="Annexetitre"/>
        <w:rPr>
          <w:u w:val="none"/>
        </w:rPr>
      </w:pPr>
      <w:r>
        <w:rPr>
          <w:u w:val="none"/>
        </w:rPr>
        <w:t>“XXXVIII PIELIKUMS</w:t>
      </w:r>
    </w:p>
    <w:p w14:paraId="77F10DF1" w14:textId="10384F48" w:rsidR="006A78BA" w:rsidRPr="0031221C" w:rsidRDefault="0078309E" w:rsidP="006A78BA">
      <w:pPr>
        <w:pStyle w:val="Annexetitre"/>
        <w:rPr>
          <w:u w:val="none"/>
        </w:rPr>
      </w:pPr>
      <w:r>
        <w:rPr>
          <w:u w:val="none"/>
        </w:rPr>
        <w:t>Norādījumi par informācijas atklāšanas veidnēm attiecībā uz tirdzniecības portfelī neiekļautu pozīciju procentu likmju risku</w:t>
      </w:r>
    </w:p>
    <w:p w14:paraId="09721089" w14:textId="77777777" w:rsidR="006A78BA" w:rsidRPr="0031221C" w:rsidRDefault="006A78BA" w:rsidP="0054744B">
      <w:pPr>
        <w:jc w:val="both"/>
        <w:rPr>
          <w:rFonts w:ascii="Times New Roman" w:hAnsi="Times New Roman"/>
          <w:b/>
          <w:bCs/>
          <w:sz w:val="24"/>
        </w:rPr>
      </w:pPr>
    </w:p>
    <w:p w14:paraId="47A0C8EE" w14:textId="01383A2B" w:rsidR="00CD3692" w:rsidRPr="0031221C" w:rsidRDefault="00166FFE" w:rsidP="00CD3692">
      <w:pPr>
        <w:rPr>
          <w:rFonts w:ascii="Times New Roman" w:hAnsi="Times New Roman"/>
          <w:bCs/>
          <w:sz w:val="24"/>
        </w:rPr>
      </w:pPr>
      <w:r>
        <w:rPr>
          <w:rFonts w:ascii="Times New Roman" w:hAnsi="Times New Roman"/>
          <w:b/>
          <w:sz w:val="24"/>
        </w:rPr>
        <w:t xml:space="preserve">Norādījumi par informācijas atklāšanu attiecībā uz veidni EU IRRBBA </w:t>
      </w:r>
    </w:p>
    <w:p w14:paraId="7E4925DA" w14:textId="77777777" w:rsidR="00CD3692" w:rsidRPr="0031221C" w:rsidRDefault="00CD3692" w:rsidP="00CD3692">
      <w:pPr>
        <w:rPr>
          <w:rFonts w:ascii="Times New Roman" w:hAnsi="Times New Roman"/>
          <w:bCs/>
          <w:sz w:val="24"/>
        </w:rPr>
      </w:pPr>
    </w:p>
    <w:p w14:paraId="31D9779B" w14:textId="7383F91C" w:rsidR="00580D58" w:rsidRPr="0031221C" w:rsidRDefault="00580D58" w:rsidP="00470043">
      <w:pPr>
        <w:spacing w:after="120"/>
        <w:jc w:val="both"/>
        <w:rPr>
          <w:rFonts w:ascii="Calibri" w:eastAsia="Times New Roman" w:hAnsi="Calibri" w:cs="Times New Roman"/>
          <w:color w:val="000000"/>
          <w:szCs w:val="22"/>
        </w:rPr>
      </w:pPr>
      <w:r>
        <w:rPr>
          <w:rFonts w:ascii="Times New Roman" w:hAnsi="Times New Roman"/>
          <w:sz w:val="24"/>
        </w:rPr>
        <w:t xml:space="preserve">Iestādēm jāatklāj turpmāk norādītā kvalitatīvā informācija, pamatojoties uz to iekšējās riska mērījumu sistēmas metodoloģiju, </w:t>
      </w:r>
      <w:r>
        <w:rPr>
          <w:rFonts w:ascii="Times New Roman" w:hAnsi="Times New Roman"/>
          <w:color w:val="000000"/>
          <w:sz w:val="24"/>
        </w:rPr>
        <w:t>standartizēto metodoloģiju vai attiecīgā gadījumā – vienkāršotu standartizēto metodoloģiju</w:t>
      </w:r>
      <w:r>
        <w:rPr>
          <w:rFonts w:ascii="Times New Roman" w:hAnsi="Times New Roman"/>
          <w:sz w:val="24"/>
        </w:rPr>
        <w:t xml:space="preserve"> saskaņā ar Direktīvas 2013/36/ES 84. pantu.</w:t>
      </w:r>
    </w:p>
    <w:p w14:paraId="3D633743" w14:textId="14CE6FC2" w:rsidR="00C07A00" w:rsidRDefault="0017255F" w:rsidP="000D6C4D">
      <w:pPr>
        <w:jc w:val="both"/>
        <w:rPr>
          <w:rFonts w:ascii="Times New Roman" w:hAnsi="Times New Roman" w:cs="Times New Roman"/>
          <w:sz w:val="24"/>
        </w:rPr>
      </w:pPr>
      <w:r>
        <w:rPr>
          <w:rFonts w:ascii="Times New Roman" w:hAnsi="Times New Roman"/>
          <w:sz w:val="24"/>
        </w:rPr>
        <w:t xml:space="preserve">Šie norādījumi ir izstrādāti, pamatojoties uz Regulas (ES) Nr. 575/2013 448. panta prasībām un saskaņā ar Bāzeles 3. pīlāra informācijas atklāšanas standartu. </w:t>
      </w:r>
    </w:p>
    <w:p w14:paraId="4EA230EE" w14:textId="77777777" w:rsidR="000D6C4D" w:rsidRPr="0031221C" w:rsidRDefault="000D6C4D" w:rsidP="000D6C4D">
      <w:pPr>
        <w:jc w:val="both"/>
      </w:pPr>
    </w:p>
    <w:tbl>
      <w:tblPr>
        <w:tblW w:w="8926" w:type="dxa"/>
        <w:tblLook w:val="04A0" w:firstRow="1" w:lastRow="0" w:firstColumn="1" w:lastColumn="0" w:noHBand="0" w:noVBand="1"/>
      </w:tblPr>
      <w:tblGrid>
        <w:gridCol w:w="1555"/>
        <w:gridCol w:w="7371"/>
      </w:tblGrid>
      <w:tr w:rsidR="00CD3692" w:rsidRPr="0031221C" w14:paraId="5A9E0A69" w14:textId="77777777" w:rsidTr="00F930E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8FC1AD4"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Atsauces uz tiesību aktiem un norādījumi</w:t>
            </w:r>
          </w:p>
        </w:tc>
      </w:tr>
      <w:tr w:rsidR="00CD3692" w:rsidRPr="0031221C" w14:paraId="254CB684" w14:textId="77777777" w:rsidTr="00F930E4">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7C023E59"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Rindas numurs</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7D1EE539"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Paskaidrojums</w:t>
            </w:r>
          </w:p>
        </w:tc>
      </w:tr>
      <w:tr w:rsidR="00FC2089" w:rsidRPr="0031221C" w14:paraId="5BBA757F" w14:textId="77777777" w:rsidTr="00C143B2">
        <w:trPr>
          <w:trHeight w:val="244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25657E" w14:textId="73DDAA01" w:rsidR="00FC2089" w:rsidRPr="0031221C" w:rsidRDefault="00FC2089" w:rsidP="00F930E4">
            <w:pPr>
              <w:jc w:val="center"/>
              <w:rPr>
                <w:rFonts w:ascii="Times New Roman" w:eastAsia="Times New Roman" w:hAnsi="Times New Roman" w:cs="Times New Roman"/>
                <w:color w:val="000000"/>
                <w:szCs w:val="22"/>
              </w:rPr>
            </w:pPr>
            <w:r>
              <w:rPr>
                <w:rFonts w:ascii="Times New Roman" w:hAnsi="Times New Roman"/>
                <w:color w:val="000000"/>
              </w:rPr>
              <w:t>a)</w:t>
            </w:r>
          </w:p>
        </w:tc>
        <w:tc>
          <w:tcPr>
            <w:tcW w:w="7371" w:type="dxa"/>
            <w:tcBorders>
              <w:top w:val="single" w:sz="4" w:space="0" w:color="auto"/>
              <w:left w:val="nil"/>
              <w:bottom w:val="single" w:sz="4" w:space="0" w:color="auto"/>
              <w:right w:val="single" w:sz="4" w:space="0" w:color="auto"/>
            </w:tcBorders>
            <w:shd w:val="clear" w:color="auto" w:fill="auto"/>
            <w:vAlign w:val="center"/>
          </w:tcPr>
          <w:p w14:paraId="2DF47E25" w14:textId="66C09E90" w:rsidR="00FC2089" w:rsidRPr="0031221C" w:rsidRDefault="00465DF4"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 xml:space="preserve">Apraksts par to, kā iestāde definē </w:t>
            </w:r>
            <w:r>
              <w:rPr>
                <w:rFonts w:ascii="Times New Roman" w:hAnsi="Times New Roman"/>
                <w:b/>
                <w:i/>
                <w:color w:val="000000"/>
                <w:sz w:val="24"/>
              </w:rPr>
              <w:t>IRRBB</w:t>
            </w:r>
            <w:r>
              <w:rPr>
                <w:rFonts w:ascii="Times New Roman" w:hAnsi="Times New Roman"/>
                <w:b/>
                <w:color w:val="000000"/>
                <w:sz w:val="24"/>
              </w:rPr>
              <w:t xml:space="preserve"> riska kontroles un mērīšanas nolūkā</w:t>
            </w:r>
          </w:p>
          <w:p w14:paraId="3FB34713" w14:textId="03A80E6F" w:rsidR="00FC2089" w:rsidRPr="0031221C" w:rsidRDefault="00133E44" w:rsidP="00721ADE">
            <w:pPr>
              <w:spacing w:before="120" w:after="120"/>
              <w:jc w:val="both"/>
              <w:rPr>
                <w:rFonts w:ascii="Times New Roman" w:eastAsia="Times New Roman" w:hAnsi="Times New Roman" w:cs="Times New Roman"/>
                <w:b/>
                <w:color w:val="000000"/>
                <w:sz w:val="24"/>
                <w:szCs w:val="22"/>
              </w:rPr>
            </w:pPr>
            <w:r>
              <w:rPr>
                <w:rFonts w:ascii="Times New Roman" w:hAnsi="Times New Roman"/>
                <w:color w:val="000000"/>
              </w:rPr>
              <w:t xml:space="preserve">Saskaņā ar Regulas (ES) Nr. 575/2013 448. panta 1. punkta e) apakšpunktu iestādēm ir jāsniedz vispārīgs apraksts par to, kā definē, mēra, mazina un kontrolē procentu likmes risku, kas izriet no to </w:t>
            </w:r>
            <w:proofErr w:type="spellStart"/>
            <w:r>
              <w:rPr>
                <w:rFonts w:ascii="Times New Roman" w:hAnsi="Times New Roman"/>
                <w:color w:val="000000"/>
              </w:rPr>
              <w:t>netirdzniecības</w:t>
            </w:r>
            <w:proofErr w:type="spellEnd"/>
            <w:r>
              <w:rPr>
                <w:rFonts w:ascii="Times New Roman" w:hAnsi="Times New Roman"/>
                <w:color w:val="000000"/>
              </w:rPr>
              <w:t xml:space="preserve"> portfeļa darbībām, kompetento iestāžu pārbaudes vajadzībām saskaņā ar Direktīvas 2013/36/ES 84. pantu.</w:t>
            </w:r>
          </w:p>
        </w:tc>
      </w:tr>
      <w:tr w:rsidR="00465DF4" w:rsidRPr="0031221C" w14:paraId="68082CB2" w14:textId="77777777" w:rsidTr="00F930E4">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474795CC" w14:textId="1C705731" w:rsidR="00465DF4" w:rsidRPr="0031221C" w:rsidRDefault="00465DF4" w:rsidP="00F930E4">
            <w:pPr>
              <w:jc w:val="center"/>
              <w:rPr>
                <w:rFonts w:ascii="Times New Roman" w:eastAsia="Times New Roman" w:hAnsi="Times New Roman" w:cs="Times New Roman"/>
                <w:color w:val="000000"/>
                <w:szCs w:val="22"/>
              </w:rPr>
            </w:pPr>
            <w:r>
              <w:rPr>
                <w:rFonts w:ascii="Times New Roman" w:hAnsi="Times New Roman"/>
                <w:color w:val="000000"/>
              </w:rPr>
              <w:t>b)</w:t>
            </w:r>
          </w:p>
        </w:tc>
        <w:tc>
          <w:tcPr>
            <w:tcW w:w="7371" w:type="dxa"/>
            <w:tcBorders>
              <w:top w:val="single" w:sz="4" w:space="0" w:color="auto"/>
              <w:left w:val="nil"/>
              <w:bottom w:val="single" w:sz="4" w:space="0" w:color="auto"/>
              <w:right w:val="single" w:sz="4" w:space="0" w:color="auto"/>
            </w:tcBorders>
            <w:shd w:val="clear" w:color="auto" w:fill="auto"/>
            <w:vAlign w:val="center"/>
          </w:tcPr>
          <w:p w14:paraId="602EFF4A" w14:textId="20E6E488" w:rsidR="00465DF4" w:rsidRPr="0031221C" w:rsidRDefault="00EA2452"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 xml:space="preserve">Apraksts par iestādes vispārējo </w:t>
            </w:r>
            <w:r>
              <w:rPr>
                <w:rFonts w:ascii="Times New Roman" w:hAnsi="Times New Roman"/>
                <w:b/>
                <w:i/>
                <w:color w:val="000000"/>
                <w:sz w:val="24"/>
              </w:rPr>
              <w:t>IRRBB</w:t>
            </w:r>
            <w:r>
              <w:rPr>
                <w:rFonts w:ascii="Times New Roman" w:hAnsi="Times New Roman"/>
                <w:b/>
                <w:color w:val="000000"/>
                <w:sz w:val="24"/>
              </w:rPr>
              <w:t xml:space="preserve"> pārvaldības un mazināšanas stratēģiju</w:t>
            </w:r>
          </w:p>
          <w:p w14:paraId="204A9378" w14:textId="5470BAC2" w:rsidR="005F58E6" w:rsidRPr="0031221C" w:rsidRDefault="005F58E6" w:rsidP="007012E2">
            <w:pPr>
              <w:spacing w:before="120" w:after="120"/>
              <w:jc w:val="both"/>
              <w:rPr>
                <w:rFonts w:ascii="Times New Roman" w:eastAsia="Times New Roman" w:hAnsi="Times New Roman" w:cs="Times New Roman"/>
                <w:color w:val="000000"/>
                <w:sz w:val="24"/>
                <w:szCs w:val="22"/>
              </w:rPr>
            </w:pPr>
            <w:r>
              <w:rPr>
                <w:rFonts w:ascii="Times New Roman" w:hAnsi="Times New Roman"/>
                <w:color w:val="000000"/>
              </w:rPr>
              <w:t xml:space="preserve">Saskaņā ar Regulas (ES) Nr. 575/2013 448. panta 1. punkta f) apakšpunktu iestādēm jāsniedz vispārīgs apraksts par vispārējo </w:t>
            </w:r>
            <w:r>
              <w:rPr>
                <w:rFonts w:ascii="Times New Roman" w:hAnsi="Times New Roman"/>
                <w:i/>
                <w:color w:val="000000"/>
              </w:rPr>
              <w:t>IRRBB</w:t>
            </w:r>
            <w:r>
              <w:rPr>
                <w:rFonts w:ascii="Times New Roman" w:hAnsi="Times New Roman"/>
                <w:color w:val="000000"/>
              </w:rPr>
              <w:t xml:space="preserve"> pārvaldības un mazināšanas stratēģiju, tajā skaitā: pašu kapitāla ekonomiskās vērtības un neto procentu ienākuma uzraudzību attiecībā uz noteiktajiem limitiem, riska ierobežošanas praksi, stresa testu veikšanu, rezultātu analīzi, neatkarīgas revīzijas lomu, aktīvu un saistību pārvaldības komitejas lomu un praksi, iestādes praksi, lai nodrošinātu pienācīgu modeļu apstiprināšanu, un savlaicīgu modeļu atjaunināšanu, reaģējot uz mainīgajiem tirgus apstākļiem.</w:t>
            </w:r>
          </w:p>
        </w:tc>
      </w:tr>
      <w:tr w:rsidR="00EA2452" w:rsidRPr="0031221C" w14:paraId="00B80900" w14:textId="77777777" w:rsidTr="00C41D59">
        <w:trPr>
          <w:trHeight w:val="841"/>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201763AB" w14:textId="4C8DCD01" w:rsidR="00EA2452" w:rsidRPr="0031221C" w:rsidRDefault="00EA2452" w:rsidP="00EA2452">
            <w:pPr>
              <w:jc w:val="center"/>
              <w:rPr>
                <w:rFonts w:ascii="Times New Roman" w:eastAsia="Times New Roman" w:hAnsi="Times New Roman" w:cs="Times New Roman"/>
                <w:color w:val="000000"/>
                <w:szCs w:val="22"/>
              </w:rPr>
            </w:pPr>
            <w:r>
              <w:rPr>
                <w:rFonts w:ascii="Times New Roman" w:hAnsi="Times New Roman"/>
                <w:color w:val="000000"/>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3F78C5C7" w14:textId="77777777" w:rsidR="008F617B" w:rsidRPr="0031221C" w:rsidRDefault="008F617B" w:rsidP="00B650A9">
            <w:pPr>
              <w:spacing w:after="120"/>
              <w:jc w:val="both"/>
              <w:rPr>
                <w:rFonts w:ascii="Times New Roman" w:eastAsia="Times New Roman" w:hAnsi="Times New Roman" w:cs="Times New Roman"/>
                <w:color w:val="000000"/>
                <w:szCs w:val="22"/>
                <w:lang w:eastAsia="en-GB"/>
              </w:rPr>
            </w:pPr>
          </w:p>
          <w:p w14:paraId="074838C9" w14:textId="79671406" w:rsidR="00716636" w:rsidRPr="0031221C" w:rsidRDefault="00716636" w:rsidP="00B650A9">
            <w:pPr>
              <w:spacing w:after="120"/>
              <w:jc w:val="both"/>
              <w:rPr>
                <w:rFonts w:ascii="Times New Roman" w:eastAsia="Times New Roman" w:hAnsi="Times New Roman" w:cs="Times New Roman"/>
                <w:b/>
                <w:color w:val="000000"/>
                <w:szCs w:val="22"/>
              </w:rPr>
            </w:pPr>
            <w:r>
              <w:rPr>
                <w:rFonts w:ascii="Times New Roman" w:hAnsi="Times New Roman"/>
                <w:b/>
                <w:color w:val="000000"/>
              </w:rPr>
              <w:t xml:space="preserve">Iestādes </w:t>
            </w:r>
            <w:r>
              <w:rPr>
                <w:rFonts w:ascii="Times New Roman" w:hAnsi="Times New Roman"/>
                <w:b/>
                <w:i/>
                <w:color w:val="000000"/>
              </w:rPr>
              <w:t>IRRBB</w:t>
            </w:r>
            <w:r>
              <w:rPr>
                <w:rFonts w:ascii="Times New Roman" w:hAnsi="Times New Roman"/>
                <w:b/>
                <w:color w:val="000000"/>
              </w:rPr>
              <w:t xml:space="preserve"> pasākumu aprēķināšanas periodiskums un apraksts par konkrētiem pasākumiem, kurus iestāde izmanto, lai novērtētu tās jutīgumu pret </w:t>
            </w:r>
            <w:r>
              <w:rPr>
                <w:rFonts w:ascii="Times New Roman" w:hAnsi="Times New Roman"/>
                <w:b/>
                <w:i/>
                <w:color w:val="000000"/>
              </w:rPr>
              <w:t>IRRBB</w:t>
            </w:r>
          </w:p>
          <w:p w14:paraId="6FC20A2F" w14:textId="7F1E505C" w:rsidR="00EA2452" w:rsidRPr="0031221C" w:rsidRDefault="00716636"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Saskaņā ar Regulas (ES) Nr. 575/2013 448. panta 1. punkta e) apakšpunkta i) un v) punktu iestādēm jāsniedz vispārīgs apraksts par konkrētajiem riska pasākumiem, ko izmanto, lai aplēstu izmaiņas pašu kapitāla ekonomiskajā vērtībā un neto procentu ienākumā, un jānorāda procentu likmes risku novērtējuma periodiskums.</w:t>
            </w:r>
          </w:p>
          <w:p w14:paraId="3C576B31" w14:textId="6E0F133A" w:rsidR="0013410F" w:rsidRPr="0031221C" w:rsidRDefault="0013410F" w:rsidP="00721ADE">
            <w:pPr>
              <w:spacing w:after="120"/>
              <w:jc w:val="both"/>
              <w:rPr>
                <w:rFonts w:ascii="Times New Roman" w:eastAsia="Times New Roman" w:hAnsi="Times New Roman" w:cs="Times New Roman"/>
                <w:color w:val="000000"/>
                <w:szCs w:val="22"/>
              </w:rPr>
            </w:pPr>
            <w:r>
              <w:rPr>
                <w:rFonts w:ascii="Times New Roman" w:hAnsi="Times New Roman"/>
                <w:color w:val="000000"/>
              </w:rPr>
              <w:t xml:space="preserve">Saskaņā ar Regulas (ES) Nr. 575/2013 448. panta 2. punktu apraksts par konkrētajiem riska pasākumiem, ko izmanto, lai novērtētu jutīgumu pret </w:t>
            </w:r>
            <w:r>
              <w:rPr>
                <w:rFonts w:ascii="Times New Roman" w:hAnsi="Times New Roman"/>
                <w:i/>
                <w:color w:val="000000"/>
              </w:rPr>
              <w:t>IRRBB</w:t>
            </w:r>
            <w:r>
              <w:rPr>
                <w:rFonts w:ascii="Times New Roman" w:hAnsi="Times New Roman"/>
                <w:color w:val="000000"/>
              </w:rPr>
              <w:t xml:space="preserve">, </w:t>
            </w:r>
            <w:r>
              <w:rPr>
                <w:rFonts w:ascii="Times New Roman" w:hAnsi="Times New Roman"/>
                <w:color w:val="000000"/>
              </w:rPr>
              <w:lastRenderedPageBreak/>
              <w:t>nav piemērojams iestādēm, kas izmanto Direktīvas 2013/36/ES 84. panta 1. punktā minēto standartizēto metodoloģiju vai vienkāršotu standartizēto metodoloģiju.</w:t>
            </w:r>
          </w:p>
        </w:tc>
      </w:tr>
      <w:tr w:rsidR="00716636" w:rsidRPr="0031221C" w14:paraId="3452DFD3" w14:textId="77777777" w:rsidTr="00C143B2">
        <w:trPr>
          <w:trHeight w:val="197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293A998" w14:textId="3472E13E" w:rsidR="00716636" w:rsidRPr="0031221C" w:rsidRDefault="00716636" w:rsidP="00F930E4">
            <w:pPr>
              <w:jc w:val="center"/>
              <w:rPr>
                <w:rFonts w:ascii="Times New Roman" w:eastAsia="Times New Roman" w:hAnsi="Times New Roman" w:cs="Times New Roman"/>
                <w:color w:val="000000"/>
                <w:szCs w:val="22"/>
              </w:rPr>
            </w:pPr>
            <w:r>
              <w:rPr>
                <w:rFonts w:ascii="Times New Roman" w:hAnsi="Times New Roman"/>
                <w:color w:val="000000"/>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086EC818" w14:textId="713F89A4" w:rsidR="00716636" w:rsidRPr="0031221C" w:rsidRDefault="00716636" w:rsidP="00716636">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Apraksts par procentu likmes satricinājuma un stresa scenārijiem, ko iestāde izmanto, lai aplēstu izmaiņas ekonomiskajā vērtībā un neto procentu ienākumā (attiecīgā gadījumā)</w:t>
            </w:r>
          </w:p>
          <w:p w14:paraId="24AB856B" w14:textId="5DBA799D" w:rsidR="00716636" w:rsidRPr="0031221C" w:rsidRDefault="00716636" w:rsidP="00226654">
            <w:pPr>
              <w:spacing w:before="120" w:after="120"/>
              <w:jc w:val="both"/>
              <w:rPr>
                <w:rFonts w:ascii="Times New Roman" w:eastAsia="Times New Roman" w:hAnsi="Times New Roman" w:cs="Times New Roman"/>
                <w:color w:val="000000"/>
                <w:szCs w:val="22"/>
              </w:rPr>
            </w:pPr>
            <w:r>
              <w:rPr>
                <w:rFonts w:ascii="Times New Roman" w:hAnsi="Times New Roman"/>
                <w:color w:val="000000"/>
              </w:rPr>
              <w:t>Saskaņā ar Regulas (ES) Nr. 575/2013 448. panta 1. punkta e) apakšpunkta iii) punktu iestādēm jāsniedz vispārīgs apraksts par procentu likmes satricinājuma scenārijiem, ko izmanto procentu likmes riska aplēsēm.</w:t>
            </w:r>
          </w:p>
          <w:p w14:paraId="05DE1832" w14:textId="3AF43FAB" w:rsidR="0013410F" w:rsidRPr="0031221C" w:rsidRDefault="0013410F" w:rsidP="00721ADE">
            <w:pPr>
              <w:spacing w:before="120" w:after="120"/>
              <w:jc w:val="both"/>
              <w:rPr>
                <w:rFonts w:ascii="Times New Roman" w:eastAsia="Times New Roman" w:hAnsi="Times New Roman" w:cs="Times New Roman"/>
                <w:color w:val="000000"/>
                <w:sz w:val="24"/>
                <w:szCs w:val="22"/>
              </w:rPr>
            </w:pPr>
            <w:r>
              <w:rPr>
                <w:rFonts w:ascii="Times New Roman" w:hAnsi="Times New Roman"/>
                <w:color w:val="000000"/>
              </w:rPr>
              <w:t>Saskaņā ar Regulas (ES) Nr. 575/2013 448. panta 2. punktu minētās informācijas atklāšanas prasības nav piemērojamas iestādēm, kas izmanto Direktīvas 2013/36/ES 84. panta 1. punktā minēto standartizēto metodoloģiju vai vienkāršotu standartizēto metodoloģiju.</w:t>
            </w:r>
          </w:p>
        </w:tc>
      </w:tr>
      <w:tr w:rsidR="00716636" w:rsidRPr="0031221C" w14:paraId="7F74CA5A" w14:textId="77777777" w:rsidTr="00005B93">
        <w:trPr>
          <w:trHeight w:val="2966"/>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A210618" w14:textId="7713D88E" w:rsidR="00716636" w:rsidRPr="0031221C" w:rsidRDefault="00716636" w:rsidP="00F930E4">
            <w:pPr>
              <w:jc w:val="center"/>
              <w:rPr>
                <w:rFonts w:ascii="Times New Roman" w:eastAsia="Times New Roman" w:hAnsi="Times New Roman" w:cs="Times New Roman"/>
                <w:color w:val="000000"/>
                <w:szCs w:val="22"/>
              </w:rPr>
            </w:pPr>
            <w:r>
              <w:rPr>
                <w:rFonts w:ascii="Times New Roman" w:hAnsi="Times New Roman"/>
                <w:color w:val="000000"/>
              </w:rPr>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576C839" w14:textId="00FE41FE" w:rsidR="0094340A" w:rsidRPr="0031221C" w:rsidRDefault="0094340A"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Apraksts par galvenajiem modelēšanas un parametru pieņēmumiem, kas atšķiras no tiem, kurus izmanto informācijas atklāšanai veidnē EU IRRBB1 (attiecīgā gadījumā)</w:t>
            </w:r>
          </w:p>
          <w:p w14:paraId="15A00557" w14:textId="4EC63038" w:rsidR="00716636" w:rsidRPr="0031221C" w:rsidRDefault="0094340A" w:rsidP="0094340A">
            <w:pPr>
              <w:spacing w:before="120" w:after="120"/>
              <w:jc w:val="both"/>
              <w:rPr>
                <w:rFonts w:ascii="Times New Roman" w:eastAsia="Times New Roman" w:hAnsi="Times New Roman" w:cs="Times New Roman"/>
                <w:color w:val="000000"/>
                <w:szCs w:val="22"/>
              </w:rPr>
            </w:pPr>
            <w:r>
              <w:rPr>
                <w:rFonts w:ascii="Times New Roman" w:hAnsi="Times New Roman"/>
                <w:color w:val="000000"/>
              </w:rPr>
              <w:t>Saskaņā ar Regulas (ES) Nr. 575/2013 448. panta 1. punkta e) apakšpunkta ii) punktu, ja galvenie modelēšanas un parametru pieņēmumi, kas izmantoti iestādes iekšējās mērījumu sistēmās, atšķiras no Direktīvas 2013/36/ES 98. panta 5.a punktā minētajiem pieņēmumiem, kas izmantoti informācijas atklāšanai veidnē EU IRRBB1, iestādei ir jāsniedz vispārīgs šo pieņēmumu apraksts, tajā skaitā šo atšķirību pamatojums (piemēram, vēsturiskie dati, publicētie pētījumi, vadības vērtējums un analīze utt.).</w:t>
            </w:r>
          </w:p>
          <w:p w14:paraId="3FF39A57" w14:textId="5F109832" w:rsidR="003B1160" w:rsidRPr="0031221C" w:rsidRDefault="0013410F" w:rsidP="00721ADE">
            <w:pPr>
              <w:spacing w:before="120" w:after="120"/>
              <w:jc w:val="both"/>
              <w:rPr>
                <w:rFonts w:ascii="Times New Roman" w:eastAsia="Times New Roman" w:hAnsi="Times New Roman" w:cs="Times New Roman"/>
                <w:b/>
                <w:color w:val="000000"/>
                <w:sz w:val="24"/>
                <w:szCs w:val="22"/>
              </w:rPr>
            </w:pPr>
            <w:r>
              <w:rPr>
                <w:rFonts w:ascii="Times New Roman" w:hAnsi="Times New Roman"/>
                <w:color w:val="000000"/>
              </w:rPr>
              <w:t>Saskaņā ar Regulas (ES) Nr. 575/2013 448. panta 2. punktu minētās informācijas atklāšanas prasības nav piemērojamas iestādēm, kas izmanto Direktīvas 2013/36/ES 84. panta 1. punktā minēto standartizēto metodoloģiju vai vienkāršotu standartizēto metodoloģiju.</w:t>
            </w:r>
          </w:p>
        </w:tc>
      </w:tr>
      <w:tr w:rsidR="0094340A" w:rsidRPr="0031221C" w14:paraId="766E1A7E" w14:textId="77777777" w:rsidTr="00005B93">
        <w:trPr>
          <w:trHeight w:val="230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39BE99" w14:textId="6073D3B2" w:rsidR="0094340A" w:rsidRPr="0031221C" w:rsidRDefault="0094340A" w:rsidP="00F930E4">
            <w:pPr>
              <w:jc w:val="center"/>
              <w:rPr>
                <w:rFonts w:ascii="Times New Roman" w:eastAsia="Times New Roman" w:hAnsi="Times New Roman" w:cs="Times New Roman"/>
                <w:color w:val="000000"/>
                <w:szCs w:val="22"/>
              </w:rPr>
            </w:pPr>
            <w:r>
              <w:rPr>
                <w:rFonts w:ascii="Times New Roman" w:hAnsi="Times New Roman"/>
                <w:color w:val="000000"/>
              </w:rPr>
              <w:t>f)</w:t>
            </w:r>
          </w:p>
        </w:tc>
        <w:tc>
          <w:tcPr>
            <w:tcW w:w="7371" w:type="dxa"/>
            <w:tcBorders>
              <w:top w:val="single" w:sz="4" w:space="0" w:color="auto"/>
              <w:left w:val="nil"/>
              <w:bottom w:val="single" w:sz="4" w:space="0" w:color="auto"/>
              <w:right w:val="single" w:sz="4" w:space="0" w:color="auto"/>
            </w:tcBorders>
            <w:shd w:val="clear" w:color="auto" w:fill="auto"/>
            <w:vAlign w:val="center"/>
          </w:tcPr>
          <w:p w14:paraId="0384639B" w14:textId="05CA8B66" w:rsidR="0094340A" w:rsidRPr="0031221C" w:rsidRDefault="001A6E70" w:rsidP="00B650A9">
            <w:pPr>
              <w:spacing w:after="120"/>
              <w:jc w:val="both"/>
              <w:rPr>
                <w:rFonts w:ascii="Times New Roman" w:eastAsia="Times New Roman" w:hAnsi="Times New Roman" w:cs="Times New Roman"/>
                <w:b/>
                <w:color w:val="000000"/>
                <w:szCs w:val="22"/>
              </w:rPr>
            </w:pPr>
            <w:r>
              <w:rPr>
                <w:rFonts w:ascii="Times New Roman" w:hAnsi="Times New Roman"/>
                <w:b/>
                <w:color w:val="000000"/>
              </w:rPr>
              <w:t xml:space="preserve">Plašs apraksts par to, kā iestāde ierobežo </w:t>
            </w:r>
            <w:r>
              <w:rPr>
                <w:rFonts w:ascii="Times New Roman" w:hAnsi="Times New Roman"/>
                <w:b/>
                <w:i/>
                <w:color w:val="000000"/>
              </w:rPr>
              <w:t>IRRBB</w:t>
            </w:r>
            <w:r>
              <w:rPr>
                <w:rFonts w:ascii="Times New Roman" w:hAnsi="Times New Roman"/>
                <w:b/>
                <w:color w:val="000000"/>
              </w:rPr>
              <w:t>, kā arī ar to saistītā grāmatvedības metode (attiecīgā gadījumā)</w:t>
            </w:r>
          </w:p>
          <w:p w14:paraId="70B99ACF" w14:textId="007FE981" w:rsidR="0094340A" w:rsidRPr="0031221C" w:rsidRDefault="001A6E70"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Konkrētāk, saskaņā ar Regulas (ES) Nr. 575/2013 448. panta 1. punkta e) apakšpunkta iv) punktu iestādēm ir jānosaka ietekme, kāda ir procentu likmes risku ierobežošanai, tajā skaitā iekšējai riska ierobežošanai, kas atbilst Regulas (ES) Nr. 575/2013 106. panta 3. punkta prasībām.</w:t>
            </w:r>
          </w:p>
          <w:p w14:paraId="4C51BA8A" w14:textId="2771AF79" w:rsidR="0013410F" w:rsidRPr="0031221C" w:rsidRDefault="0013410F" w:rsidP="00721ADE">
            <w:pPr>
              <w:spacing w:after="120"/>
              <w:jc w:val="both"/>
              <w:rPr>
                <w:rFonts w:ascii="Times New Roman" w:eastAsia="Times New Roman" w:hAnsi="Times New Roman" w:cs="Times New Roman"/>
                <w:color w:val="000000"/>
                <w:szCs w:val="22"/>
              </w:rPr>
            </w:pPr>
            <w:r>
              <w:rPr>
                <w:rFonts w:ascii="Times New Roman" w:hAnsi="Times New Roman"/>
                <w:color w:val="000000"/>
              </w:rPr>
              <w:t>Saskaņā ar Regulas (ES) Nr. 575/2013 448. panta 2. punktu minētās informācijas atklāšanas prasības nav piemērojamas iestādēm, kas izmanto Direktīvas 2013/36/ES 84. panta 1. punktā minēto standartizēto metodoloģiju vai vienkāršotu standartizēto metodoloģiju.</w:t>
            </w:r>
          </w:p>
        </w:tc>
      </w:tr>
      <w:tr w:rsidR="00CD3692" w:rsidRPr="0031221C" w14:paraId="6344348E" w14:textId="77777777" w:rsidTr="0064412E">
        <w:trPr>
          <w:trHeight w:val="140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2B4B5" w14:textId="349E9B67" w:rsidR="00CD3692" w:rsidRPr="0031221C" w:rsidRDefault="00CF6849" w:rsidP="00F930E4">
            <w:pPr>
              <w:jc w:val="center"/>
              <w:rPr>
                <w:rFonts w:ascii="Times New Roman" w:eastAsia="Times New Roman" w:hAnsi="Times New Roman" w:cs="Times New Roman"/>
                <w:color w:val="000000"/>
                <w:szCs w:val="22"/>
              </w:rPr>
            </w:pPr>
            <w:r>
              <w:rPr>
                <w:rFonts w:ascii="Times New Roman" w:hAnsi="Times New Roman"/>
                <w:color w:val="000000"/>
              </w:rPr>
              <w:t>g)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01DB3390" w14:textId="6E2E0F9E" w:rsidR="00CD3692" w:rsidRPr="0031221C" w:rsidRDefault="00EA1CF8" w:rsidP="00B650A9">
            <w:pPr>
              <w:spacing w:before="120" w:after="120"/>
              <w:jc w:val="both"/>
              <w:rPr>
                <w:rFonts w:ascii="Times New Roman" w:eastAsia="Times New Roman" w:hAnsi="Times New Roman" w:cs="Times New Roman"/>
                <w:color w:val="000000"/>
                <w:sz w:val="24"/>
                <w:szCs w:val="22"/>
              </w:rPr>
            </w:pPr>
            <w:r>
              <w:rPr>
                <w:rFonts w:ascii="Times New Roman" w:hAnsi="Times New Roman"/>
                <w:b/>
                <w:color w:val="000000"/>
                <w:sz w:val="24"/>
              </w:rPr>
              <w:t xml:space="preserve">Apraksts par galvenajiem modelēšanas un parametru pieņēmumiem, kurus izmanto </w:t>
            </w:r>
            <w:r>
              <w:rPr>
                <w:rFonts w:ascii="Times New Roman" w:hAnsi="Times New Roman"/>
                <w:b/>
                <w:i/>
                <w:color w:val="000000"/>
                <w:sz w:val="24"/>
              </w:rPr>
              <w:t>IRRBB</w:t>
            </w:r>
            <w:r>
              <w:rPr>
                <w:rFonts w:ascii="Times New Roman" w:hAnsi="Times New Roman"/>
                <w:b/>
                <w:color w:val="000000"/>
                <w:sz w:val="24"/>
              </w:rPr>
              <w:t xml:space="preserve"> pasākumiem veidnē EU IRRBB1 (attiecīgā gadījumā)</w:t>
            </w:r>
          </w:p>
          <w:p w14:paraId="083A4172" w14:textId="093A90CF" w:rsidR="00CD3692" w:rsidRPr="0031221C" w:rsidRDefault="00133E44" w:rsidP="00B650A9">
            <w:pPr>
              <w:jc w:val="both"/>
              <w:rPr>
                <w:rFonts w:ascii="Times New Roman" w:eastAsia="Times New Roman" w:hAnsi="Times New Roman" w:cs="Times New Roman"/>
                <w:color w:val="000000"/>
                <w:szCs w:val="22"/>
              </w:rPr>
            </w:pPr>
            <w:r>
              <w:rPr>
                <w:rFonts w:ascii="Times New Roman" w:hAnsi="Times New Roman"/>
                <w:color w:val="000000"/>
              </w:rPr>
              <w:t>Saskaņā ar Regulas (ES) Nr. 575/2013 448. panta 1. punkta c) apakšpunktu iestādēm ir jāsniedz vispārīgs apraksts par galvenajiem modelēšanas un parametru pieņēmumiem, kas nav Direktīvas 2013/36/ES 98. panta 5.a punkta b) un c) apakšpunktā minētie un kas izmantoti, lai aprēķinātu pašu kapitāla ekonomiskās vērtības un neto procentu ienākuma izmaiņas veidnē EU IRRBB1. Šajā vispārīgajā aprakstā jāiekļauj vismaz:</w:t>
            </w:r>
          </w:p>
          <w:p w14:paraId="26388E97" w14:textId="6114187E" w:rsidR="00843F8C" w:rsidRPr="0031221C" w:rsidRDefault="0016128F"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lastRenderedPageBreak/>
              <w:t>tas, kā ir noteikts beztermiņa noguldījumu vidējais pārcenošanas termiņš, tajā skaitā jebkādas unikālas produkta iezīmes, kas ietekmē pieņemto rīcības noteiktas pārcenošanas datumu;</w:t>
            </w:r>
          </w:p>
          <w:p w14:paraId="01CB0AA3" w14:textId="2D904141" w:rsidR="00843F8C" w:rsidRPr="0031221C" w:rsidRDefault="00843F8C"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t>metodoloģija, kas izmantota, lai aplēstu aizdevuma priekšapmaksas likmes un/vai termiņnoguldījumu priekšlaicīgas izņemšanas likmes, un citus būtiskus pieņēmumus;</w:t>
            </w:r>
          </w:p>
          <w:p w14:paraId="1BD4D78B" w14:textId="273602CC" w:rsidR="00AE69B7" w:rsidRPr="0031221C" w:rsidRDefault="00745B25"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t xml:space="preserve">jebkādi citi pieņēmumi, tajā skaitā attiecībā uz instrumentiem ar rīcības noteiktas izvēles iespējām, kam ir būtiska ietekme uz veidnē EU IRRBB1 atklātajiem </w:t>
            </w:r>
            <w:r>
              <w:rPr>
                <w:rFonts w:ascii="Times New Roman" w:hAnsi="Times New Roman"/>
                <w:i/>
                <w:color w:val="000000"/>
              </w:rPr>
              <w:t>IRRBB</w:t>
            </w:r>
            <w:r>
              <w:rPr>
                <w:rFonts w:ascii="Times New Roman" w:hAnsi="Times New Roman"/>
                <w:color w:val="000000"/>
              </w:rPr>
              <w:t xml:space="preserve"> pasākumiem, tajā skaitā skaidrojums, kāpēc tie ir būtiski.</w:t>
            </w:r>
          </w:p>
          <w:p w14:paraId="2195D942" w14:textId="77777777" w:rsidR="005E2B3A" w:rsidRPr="0031221C" w:rsidRDefault="005E2B3A" w:rsidP="00B650A9">
            <w:pPr>
              <w:jc w:val="both"/>
              <w:rPr>
                <w:rFonts w:ascii="Times New Roman" w:eastAsia="Times New Roman" w:hAnsi="Times New Roman" w:cs="Times New Roman"/>
                <w:color w:val="000000"/>
                <w:szCs w:val="22"/>
                <w:lang w:eastAsia="en-GB"/>
              </w:rPr>
            </w:pPr>
          </w:p>
          <w:p w14:paraId="5155CA71" w14:textId="23D5624A" w:rsidR="005E2B3A" w:rsidRPr="0031221C" w:rsidRDefault="005E2B3A" w:rsidP="00721ADE">
            <w:pPr>
              <w:jc w:val="both"/>
              <w:rPr>
                <w:rFonts w:ascii="Times New Roman" w:eastAsia="Times New Roman" w:hAnsi="Times New Roman" w:cs="Times New Roman"/>
                <w:color w:val="000000"/>
                <w:szCs w:val="22"/>
              </w:rPr>
            </w:pPr>
            <w:r>
              <w:rPr>
                <w:rFonts w:ascii="Times New Roman" w:hAnsi="Times New Roman"/>
                <w:color w:val="000000"/>
              </w:rPr>
              <w:t>Saskaņā ar Regulas (ES) Nr. 575/2013 448. panta 2. punktu minētās informācijas atklāšanas prasības nav piemērojamas iestādēm, kas izmanto Direktīvas 2013/36/ES 84. panta 1. punktā minēto standartizēto metodoloģiju vai vienkāršotu standartizēto metodoloģiju.</w:t>
            </w:r>
          </w:p>
        </w:tc>
      </w:tr>
      <w:tr w:rsidR="00CD3692" w:rsidRPr="0031221C" w14:paraId="124DC3B1" w14:textId="77777777" w:rsidTr="00F930E4">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AA124D2" w14:textId="3A2AB43A" w:rsidR="00CD3692" w:rsidRPr="0031221C" w:rsidRDefault="00C143B2" w:rsidP="00F930E4">
            <w:pPr>
              <w:jc w:val="center"/>
              <w:rPr>
                <w:rFonts w:ascii="Times New Roman" w:eastAsia="Times New Roman" w:hAnsi="Times New Roman" w:cs="Times New Roman"/>
                <w:color w:val="000000"/>
                <w:szCs w:val="22"/>
              </w:rPr>
            </w:pPr>
            <w:r>
              <w:rPr>
                <w:rFonts w:ascii="Times New Roman" w:hAnsi="Times New Roman"/>
                <w:color w:val="000000"/>
              </w:rPr>
              <w:lastRenderedPageBreak/>
              <w:t>h)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7794F6D" w14:textId="6C923999" w:rsidR="003C310D" w:rsidRPr="0031221C" w:rsidRDefault="003C310D"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 xml:space="preserve">Skaidrojums par </w:t>
            </w:r>
            <w:r>
              <w:rPr>
                <w:rFonts w:ascii="Times New Roman" w:hAnsi="Times New Roman"/>
                <w:b/>
                <w:i/>
                <w:color w:val="000000"/>
                <w:sz w:val="24"/>
              </w:rPr>
              <w:t>IRRBB</w:t>
            </w:r>
            <w:r>
              <w:rPr>
                <w:rFonts w:ascii="Times New Roman" w:hAnsi="Times New Roman"/>
                <w:b/>
                <w:color w:val="000000"/>
                <w:sz w:val="24"/>
              </w:rPr>
              <w:t xml:space="preserve"> pasākumu nozīmību un par to būtiskajām izmaiņām kopš iepriekšējās informācijas atklāšanas</w:t>
            </w:r>
          </w:p>
          <w:p w14:paraId="79D598A4" w14:textId="45AA4311" w:rsidR="00CD3692" w:rsidRPr="0031221C" w:rsidRDefault="00133E44" w:rsidP="00942E61">
            <w:pPr>
              <w:spacing w:after="120"/>
              <w:jc w:val="both"/>
              <w:rPr>
                <w:rFonts w:ascii="Times New Roman" w:eastAsia="Times New Roman" w:hAnsi="Times New Roman" w:cs="Times New Roman"/>
                <w:color w:val="000000"/>
                <w:szCs w:val="22"/>
              </w:rPr>
            </w:pPr>
            <w:r>
              <w:rPr>
                <w:rFonts w:ascii="Times New Roman" w:hAnsi="Times New Roman"/>
                <w:color w:val="000000"/>
              </w:rPr>
              <w:t xml:space="preserve">Saskaņā ar Regulas (ES) Nr. 575/2013 448. panta 1. punkta d) apakšpunktu iestādēm ir jāsniedz vispārīgs skaidrojums par veidnē EU IRRBB1 atklāto </w:t>
            </w:r>
            <w:r>
              <w:rPr>
                <w:rFonts w:ascii="Times New Roman" w:hAnsi="Times New Roman"/>
                <w:i/>
                <w:color w:val="000000"/>
              </w:rPr>
              <w:t>IRRBB</w:t>
            </w:r>
            <w:r>
              <w:rPr>
                <w:rFonts w:ascii="Times New Roman" w:hAnsi="Times New Roman"/>
                <w:color w:val="000000"/>
              </w:rPr>
              <w:t xml:space="preserve"> pasākumu nozīmību un par būtiskām izmaiņām minētajos </w:t>
            </w:r>
            <w:r>
              <w:rPr>
                <w:rFonts w:ascii="Times New Roman" w:hAnsi="Times New Roman"/>
                <w:i/>
                <w:color w:val="000000"/>
              </w:rPr>
              <w:t>IRRBB</w:t>
            </w:r>
            <w:r>
              <w:rPr>
                <w:rFonts w:ascii="Times New Roman" w:hAnsi="Times New Roman"/>
                <w:color w:val="000000"/>
              </w:rPr>
              <w:t xml:space="preserve"> pasākumos kopš iepriekšējā informācijas atklāšanas atsauces datuma.</w:t>
            </w:r>
          </w:p>
        </w:tc>
      </w:tr>
      <w:tr w:rsidR="007573CB" w:rsidRPr="0031221C" w14:paraId="7AE95BD0"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04CEE7D5" w14:textId="3CB7C340" w:rsidR="007573CB" w:rsidRPr="0031221C" w:rsidRDefault="00912FEC" w:rsidP="00F930E4">
            <w:pPr>
              <w:jc w:val="center"/>
              <w:rPr>
                <w:rFonts w:ascii="Times New Roman" w:eastAsia="Times New Roman" w:hAnsi="Times New Roman" w:cs="Times New Roman"/>
                <w:color w:val="000000"/>
                <w:szCs w:val="22"/>
              </w:rPr>
            </w:pPr>
            <w:r>
              <w:rPr>
                <w:rFonts w:ascii="Times New Roman" w:hAnsi="Times New Roman"/>
                <w:color w:val="000000"/>
              </w:rPr>
              <w:t>i)</w:t>
            </w:r>
          </w:p>
        </w:tc>
        <w:tc>
          <w:tcPr>
            <w:tcW w:w="7371" w:type="dxa"/>
            <w:tcBorders>
              <w:top w:val="single" w:sz="4" w:space="0" w:color="auto"/>
              <w:left w:val="nil"/>
              <w:bottom w:val="single" w:sz="4" w:space="0" w:color="auto"/>
              <w:right w:val="single" w:sz="4" w:space="0" w:color="auto"/>
            </w:tcBorders>
            <w:shd w:val="clear" w:color="auto" w:fill="auto"/>
            <w:vAlign w:val="center"/>
          </w:tcPr>
          <w:p w14:paraId="45D4BD64" w14:textId="782047AF" w:rsidR="007573CB" w:rsidRPr="0031221C" w:rsidRDefault="007573CB"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 xml:space="preserve">Jebkura cita būtiska informācija par veidnē EU IRRBB1 atklātajiem </w:t>
            </w:r>
            <w:r>
              <w:rPr>
                <w:rFonts w:ascii="Times New Roman" w:hAnsi="Times New Roman"/>
                <w:b/>
                <w:i/>
                <w:color w:val="000000"/>
                <w:sz w:val="24"/>
              </w:rPr>
              <w:t>IRRBB</w:t>
            </w:r>
            <w:r>
              <w:rPr>
                <w:rFonts w:ascii="Times New Roman" w:hAnsi="Times New Roman"/>
                <w:b/>
                <w:color w:val="000000"/>
                <w:sz w:val="24"/>
              </w:rPr>
              <w:t xml:space="preserve"> pasākumiem (pēc izvēles)</w:t>
            </w:r>
          </w:p>
          <w:p w14:paraId="4A261DD1" w14:textId="6EDF41BA" w:rsidR="007F15BF" w:rsidRPr="0031221C" w:rsidRDefault="007573CB"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 xml:space="preserve">Jebkura cita būtiska informācija, ko iestādes vēlas atklāt par veidnē EU IRRBB1 iekļautajiem </w:t>
            </w:r>
            <w:r>
              <w:rPr>
                <w:rFonts w:ascii="Times New Roman" w:hAnsi="Times New Roman"/>
                <w:i/>
                <w:color w:val="000000"/>
              </w:rPr>
              <w:t>IRRBB</w:t>
            </w:r>
            <w:r>
              <w:rPr>
                <w:rFonts w:ascii="Times New Roman" w:hAnsi="Times New Roman"/>
                <w:color w:val="000000"/>
              </w:rPr>
              <w:t xml:space="preserve"> pasākumiem. </w:t>
            </w:r>
          </w:p>
          <w:p w14:paraId="10A0910D" w14:textId="43AEBA65" w:rsidR="007573CB" w:rsidRPr="0031221C" w:rsidRDefault="002B630E" w:rsidP="002B630E">
            <w:pPr>
              <w:spacing w:after="120"/>
              <w:jc w:val="both"/>
              <w:rPr>
                <w:rFonts w:ascii="Times New Roman" w:eastAsia="Times New Roman" w:hAnsi="Times New Roman" w:cs="Times New Roman"/>
                <w:color w:val="000000"/>
                <w:szCs w:val="22"/>
              </w:rPr>
            </w:pPr>
            <w:r>
              <w:rPr>
                <w:rFonts w:ascii="Times New Roman" w:hAnsi="Times New Roman"/>
                <w:color w:val="000000"/>
              </w:rPr>
              <w:t xml:space="preserve">. </w:t>
            </w:r>
            <w:r>
              <w:t xml:space="preserve"> </w:t>
            </w:r>
            <w:r>
              <w:rPr>
                <w:rFonts w:ascii="Times New Roman" w:hAnsi="Times New Roman"/>
                <w:color w:val="000000"/>
              </w:rPr>
              <w:t xml:space="preserve">Kamēr ir piemērojami Direktīvas 2013/36/ES 84. panta 6. punktā noteiktie pamatnostādņu kritēriji un Direktīvas 2013/36/ES 98. panta 5.a punktā uzskaitītie papildu elementi, iestādēm ir jāatklāj parametri, ko izmanto uzraudzības satricinājuma scenārijiem, neto procentu ienākuma definīcija, ko tās izmanto, un jebkāda cita būtiska informācija, lai izprastu, kā veidnē EU IRRBB1 ir aprēķinātas neto procentu ienākuma izmaiņas. </w:t>
            </w:r>
          </w:p>
        </w:tc>
      </w:tr>
      <w:tr w:rsidR="004F5466" w:rsidRPr="0031221C" w14:paraId="3C02208B"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7AC3EA22" w14:textId="416D163F" w:rsidR="004F5466" w:rsidRPr="0031221C" w:rsidRDefault="00EA1CF8" w:rsidP="00F930E4">
            <w:pPr>
              <w:jc w:val="center"/>
              <w:rPr>
                <w:rFonts w:ascii="Times New Roman" w:eastAsia="Times New Roman" w:hAnsi="Times New Roman" w:cs="Times New Roman"/>
                <w:color w:val="000000"/>
                <w:szCs w:val="22"/>
              </w:rPr>
            </w:pPr>
            <w:r>
              <w:rPr>
                <w:rFonts w:ascii="Times New Roman" w:hAnsi="Times New Roman"/>
                <w:color w:val="000000"/>
              </w:rPr>
              <w:t>1), 2)</w:t>
            </w:r>
          </w:p>
        </w:tc>
        <w:tc>
          <w:tcPr>
            <w:tcW w:w="7371" w:type="dxa"/>
            <w:tcBorders>
              <w:top w:val="single" w:sz="4" w:space="0" w:color="auto"/>
              <w:left w:val="nil"/>
              <w:bottom w:val="single" w:sz="4" w:space="0" w:color="auto"/>
              <w:right w:val="single" w:sz="4" w:space="0" w:color="auto"/>
            </w:tcBorders>
            <w:shd w:val="clear" w:color="auto" w:fill="auto"/>
            <w:vAlign w:val="center"/>
          </w:tcPr>
          <w:p w14:paraId="25E7AF10" w14:textId="2D31C73F" w:rsidR="00065C44" w:rsidRPr="0031221C" w:rsidRDefault="00EA1CF8"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Informācijas atklāšana par vidējo un ilgāko pārcenošanas termiņu, kas noteikts beztermiņa noguldījumiem</w:t>
            </w:r>
          </w:p>
          <w:p w14:paraId="48FA0E44" w14:textId="035E5E4B" w:rsidR="004F5466" w:rsidRPr="0031221C" w:rsidRDefault="00065C44" w:rsidP="00942E61">
            <w:pPr>
              <w:spacing w:after="120"/>
              <w:jc w:val="both"/>
              <w:rPr>
                <w:rFonts w:ascii="Times New Roman" w:eastAsia="Times New Roman" w:hAnsi="Times New Roman" w:cs="Times New Roman"/>
                <w:b/>
                <w:color w:val="000000"/>
                <w:sz w:val="24"/>
                <w:szCs w:val="22"/>
              </w:rPr>
            </w:pPr>
            <w:r>
              <w:rPr>
                <w:rFonts w:ascii="Times New Roman" w:hAnsi="Times New Roman"/>
                <w:color w:val="000000"/>
              </w:rPr>
              <w:t xml:space="preserve">Saskaņā ar Regulas (ES) Nr. 575/2013 448. panta 1. punkta g) apakšpunktu iestādēm jāatklāj vidējais un ilgākais pārcenošanas termiņš, kas noteikts privāto un </w:t>
            </w:r>
            <w:proofErr w:type="spellStart"/>
            <w:r>
              <w:rPr>
                <w:rFonts w:ascii="Times New Roman" w:hAnsi="Times New Roman"/>
                <w:color w:val="000000"/>
              </w:rPr>
              <w:t>nefinanšu</w:t>
            </w:r>
            <w:proofErr w:type="spellEnd"/>
            <w:r>
              <w:rPr>
                <w:rFonts w:ascii="Times New Roman" w:hAnsi="Times New Roman"/>
                <w:color w:val="000000"/>
              </w:rPr>
              <w:t xml:space="preserve"> korporatīvo darījuma partneru beztermiņa noguldījumiem. Informācijas atklāšana attiecas atsevišķi uz privāto un </w:t>
            </w:r>
            <w:proofErr w:type="spellStart"/>
            <w:r>
              <w:rPr>
                <w:rFonts w:ascii="Times New Roman" w:hAnsi="Times New Roman"/>
                <w:color w:val="000000"/>
              </w:rPr>
              <w:t>nefinanšu</w:t>
            </w:r>
            <w:proofErr w:type="spellEnd"/>
            <w:r>
              <w:rPr>
                <w:rFonts w:ascii="Times New Roman" w:hAnsi="Times New Roman"/>
                <w:color w:val="000000"/>
              </w:rPr>
              <w:t xml:space="preserve"> korporatīvo darījuma partneru beztermiņa noguldījumu pamatdaļu un pilnu summu.</w:t>
            </w:r>
          </w:p>
        </w:tc>
      </w:tr>
    </w:tbl>
    <w:p w14:paraId="7CCC608C" w14:textId="665437C9" w:rsidR="00CD3692" w:rsidRPr="0031221C" w:rsidRDefault="00CD3692" w:rsidP="0054744B">
      <w:pPr>
        <w:jc w:val="both"/>
        <w:rPr>
          <w:rFonts w:ascii="Times New Roman" w:hAnsi="Times New Roman"/>
          <w:b/>
          <w:bCs/>
          <w:sz w:val="24"/>
        </w:rPr>
      </w:pPr>
    </w:p>
    <w:p w14:paraId="47ECF7AE" w14:textId="68E6A9FF" w:rsidR="00CD3692" w:rsidRPr="0031221C" w:rsidRDefault="00CD3692" w:rsidP="0054744B">
      <w:pPr>
        <w:jc w:val="both"/>
        <w:rPr>
          <w:rFonts w:ascii="Times New Roman" w:hAnsi="Times New Roman"/>
          <w:b/>
          <w:bCs/>
          <w:sz w:val="24"/>
        </w:rPr>
      </w:pPr>
    </w:p>
    <w:p w14:paraId="2CCE4A80" w14:textId="7996A576" w:rsidR="00CD3692" w:rsidRDefault="00CD3692" w:rsidP="0054744B">
      <w:pPr>
        <w:jc w:val="both"/>
        <w:rPr>
          <w:rFonts w:ascii="Times New Roman" w:hAnsi="Times New Roman"/>
          <w:b/>
          <w:bCs/>
          <w:sz w:val="24"/>
        </w:rPr>
      </w:pPr>
    </w:p>
    <w:p w14:paraId="23569941" w14:textId="4C420FFB" w:rsidR="000D6C4D" w:rsidRDefault="000D6C4D" w:rsidP="0054744B">
      <w:pPr>
        <w:jc w:val="both"/>
        <w:rPr>
          <w:rFonts w:ascii="Times New Roman" w:hAnsi="Times New Roman"/>
          <w:b/>
          <w:bCs/>
          <w:sz w:val="24"/>
        </w:rPr>
      </w:pPr>
    </w:p>
    <w:p w14:paraId="1D6BE0F5" w14:textId="4EA1E980" w:rsidR="000D6C4D" w:rsidRDefault="000D6C4D" w:rsidP="0054744B">
      <w:pPr>
        <w:jc w:val="both"/>
        <w:rPr>
          <w:rFonts w:ascii="Times New Roman" w:hAnsi="Times New Roman"/>
          <w:b/>
          <w:bCs/>
          <w:sz w:val="24"/>
        </w:rPr>
      </w:pPr>
    </w:p>
    <w:p w14:paraId="3487ACD1" w14:textId="53FD952F" w:rsidR="000D6C4D" w:rsidRDefault="000D6C4D" w:rsidP="0054744B">
      <w:pPr>
        <w:jc w:val="both"/>
        <w:rPr>
          <w:rFonts w:ascii="Times New Roman" w:hAnsi="Times New Roman"/>
          <w:b/>
          <w:bCs/>
          <w:sz w:val="24"/>
        </w:rPr>
      </w:pPr>
    </w:p>
    <w:p w14:paraId="4250FBF3" w14:textId="37DE64E1" w:rsidR="000D6C4D" w:rsidRDefault="000D6C4D" w:rsidP="0054744B">
      <w:pPr>
        <w:jc w:val="both"/>
        <w:rPr>
          <w:rFonts w:ascii="Times New Roman" w:hAnsi="Times New Roman"/>
          <w:b/>
          <w:bCs/>
          <w:sz w:val="24"/>
        </w:rPr>
      </w:pPr>
    </w:p>
    <w:p w14:paraId="69D0F024" w14:textId="0F997E35" w:rsidR="000D6C4D" w:rsidRDefault="000D6C4D" w:rsidP="0054744B">
      <w:pPr>
        <w:jc w:val="both"/>
        <w:rPr>
          <w:rFonts w:ascii="Times New Roman" w:hAnsi="Times New Roman"/>
          <w:b/>
          <w:bCs/>
          <w:sz w:val="24"/>
        </w:rPr>
      </w:pPr>
    </w:p>
    <w:p w14:paraId="0E8B64AA" w14:textId="14A18415" w:rsidR="000D6C4D" w:rsidRDefault="000D6C4D" w:rsidP="0054744B">
      <w:pPr>
        <w:jc w:val="both"/>
        <w:rPr>
          <w:rFonts w:ascii="Times New Roman" w:hAnsi="Times New Roman"/>
          <w:b/>
          <w:bCs/>
          <w:sz w:val="24"/>
        </w:rPr>
      </w:pPr>
    </w:p>
    <w:p w14:paraId="1354E78F" w14:textId="3B4408D4" w:rsidR="000D6C4D" w:rsidRDefault="000D6C4D" w:rsidP="0054744B">
      <w:pPr>
        <w:jc w:val="both"/>
        <w:rPr>
          <w:rFonts w:ascii="Times New Roman" w:hAnsi="Times New Roman"/>
          <w:b/>
          <w:bCs/>
          <w:sz w:val="24"/>
        </w:rPr>
      </w:pPr>
    </w:p>
    <w:p w14:paraId="3C13897A" w14:textId="548DECB4" w:rsidR="000D6C4D" w:rsidRDefault="000D6C4D" w:rsidP="0054744B">
      <w:pPr>
        <w:jc w:val="both"/>
        <w:rPr>
          <w:rFonts w:ascii="Times New Roman" w:hAnsi="Times New Roman"/>
          <w:b/>
          <w:bCs/>
          <w:sz w:val="24"/>
        </w:rPr>
      </w:pPr>
    </w:p>
    <w:p w14:paraId="63BE97FF" w14:textId="21D9ECFA" w:rsidR="000D6C4D" w:rsidRDefault="000D6C4D" w:rsidP="0054744B">
      <w:pPr>
        <w:jc w:val="both"/>
        <w:rPr>
          <w:rFonts w:ascii="Times New Roman" w:hAnsi="Times New Roman"/>
          <w:b/>
          <w:bCs/>
          <w:sz w:val="24"/>
        </w:rPr>
      </w:pPr>
    </w:p>
    <w:p w14:paraId="4064F668" w14:textId="77777777" w:rsidR="000D6C4D" w:rsidRPr="0031221C" w:rsidRDefault="000D6C4D" w:rsidP="0054744B">
      <w:pPr>
        <w:jc w:val="both"/>
        <w:rPr>
          <w:rFonts w:ascii="Times New Roman" w:hAnsi="Times New Roman"/>
          <w:b/>
          <w:bCs/>
          <w:sz w:val="24"/>
        </w:rPr>
      </w:pPr>
    </w:p>
    <w:p w14:paraId="287F28AF" w14:textId="08831685" w:rsidR="0054744B" w:rsidRPr="0031221C" w:rsidRDefault="00906CCA" w:rsidP="0054744B">
      <w:pPr>
        <w:jc w:val="both"/>
        <w:rPr>
          <w:rFonts w:ascii="Times New Roman" w:hAnsi="Times New Roman"/>
          <w:bCs/>
          <w:sz w:val="24"/>
        </w:rPr>
      </w:pPr>
      <w:r>
        <w:rPr>
          <w:rFonts w:ascii="Times New Roman" w:hAnsi="Times New Roman"/>
          <w:b/>
          <w:sz w:val="24"/>
        </w:rPr>
        <w:t xml:space="preserve">Norādījumi par informācijas atklāšanu attiecībā uz veidni EU IRRBB1 </w:t>
      </w:r>
    </w:p>
    <w:p w14:paraId="31489412" w14:textId="77777777" w:rsidR="0054744B" w:rsidRPr="0031221C" w:rsidRDefault="0054744B" w:rsidP="0054744B">
      <w:pPr>
        <w:ind w:left="360"/>
        <w:jc w:val="both"/>
        <w:rPr>
          <w:rFonts w:ascii="Times New Roman" w:hAnsi="Times New Roman"/>
          <w:bCs/>
          <w:sz w:val="24"/>
        </w:rPr>
      </w:pPr>
    </w:p>
    <w:p w14:paraId="341C6BAB" w14:textId="32CD6F45" w:rsidR="00580D58" w:rsidRPr="0031221C" w:rsidRDefault="00580D58" w:rsidP="000D6C4D">
      <w:pPr>
        <w:ind w:left="360"/>
        <w:jc w:val="both"/>
        <w:rPr>
          <w:bCs/>
        </w:rPr>
      </w:pPr>
    </w:p>
    <w:p w14:paraId="59C5AC78" w14:textId="3A1AFFF1" w:rsidR="00AC7CEB" w:rsidRPr="0031221C" w:rsidRDefault="00580D58" w:rsidP="0064406C">
      <w:pPr>
        <w:numPr>
          <w:ilvl w:val="0"/>
          <w:numId w:val="9"/>
        </w:numPr>
        <w:jc w:val="both"/>
        <w:rPr>
          <w:rFonts w:ascii="Times New Roman" w:hAnsi="Times New Roman"/>
          <w:bCs/>
          <w:sz w:val="24"/>
        </w:rPr>
      </w:pPr>
      <w:r>
        <w:rPr>
          <w:rFonts w:ascii="Times New Roman" w:hAnsi="Times New Roman"/>
          <w:sz w:val="24"/>
        </w:rPr>
        <w:t xml:space="preserve">Iestādēm jānovērtē </w:t>
      </w:r>
      <w:proofErr w:type="spellStart"/>
      <w:r>
        <w:rPr>
          <w:rFonts w:ascii="Times New Roman" w:hAnsi="Times New Roman"/>
          <w:sz w:val="24"/>
        </w:rPr>
        <w:t>netirdzniecības</w:t>
      </w:r>
      <w:proofErr w:type="spellEnd"/>
      <w:r>
        <w:rPr>
          <w:rFonts w:ascii="Times New Roman" w:hAnsi="Times New Roman"/>
          <w:sz w:val="24"/>
        </w:rPr>
        <w:t xml:space="preserve"> portfeļa darbību procentu likmes risks, pamatojoties uz iekšējās mērījumu sistēmas metodoloģiju, </w:t>
      </w:r>
      <w:r>
        <w:rPr>
          <w:rFonts w:ascii="Times New Roman" w:hAnsi="Times New Roman"/>
          <w:color w:val="000000"/>
          <w:sz w:val="24"/>
        </w:rPr>
        <w:t>standartizēto metodoloģiju vai vienkāršotu standartizēto metodoloģiju</w:t>
      </w:r>
      <w:r>
        <w:rPr>
          <w:rFonts w:ascii="Times New Roman" w:hAnsi="Times New Roman"/>
          <w:sz w:val="24"/>
        </w:rPr>
        <w:t xml:space="preserve"> </w:t>
      </w:r>
      <w:r>
        <w:rPr>
          <w:rFonts w:ascii="Times New Roman" w:hAnsi="Times New Roman"/>
          <w:color w:val="000000"/>
          <w:sz w:val="24"/>
        </w:rPr>
        <w:t>attiecīgā gadījumā</w:t>
      </w:r>
      <w:r>
        <w:rPr>
          <w:rFonts w:ascii="Times New Roman" w:hAnsi="Times New Roman"/>
          <w:sz w:val="24"/>
        </w:rPr>
        <w:t>, kas noteikta saskaņā ar Direktīvas 2013/36/ES 84. pantu, ņemot vērā uzraudzības satricinājuma scenārijus un kopējos modelēšanas un parametru pieņēmumus, kuri noteikti Direktīvas 2013/36/ES 98.</w:t>
      </w:r>
      <w:r w:rsidR="00F909A1">
        <w:rPr>
          <w:rFonts w:ascii="Times New Roman" w:hAnsi="Times New Roman"/>
          <w:sz w:val="24"/>
        </w:rPr>
        <w:t> </w:t>
      </w:r>
      <w:r>
        <w:rPr>
          <w:rFonts w:ascii="Times New Roman" w:hAnsi="Times New Roman"/>
          <w:sz w:val="24"/>
        </w:rPr>
        <w:t>panta 5.a punktā.</w:t>
      </w:r>
    </w:p>
    <w:p w14:paraId="18595772" w14:textId="50D032F2" w:rsidR="00580D58" w:rsidRPr="0031221C" w:rsidRDefault="00580D58" w:rsidP="000D6C4D">
      <w:pPr>
        <w:ind w:left="360"/>
        <w:jc w:val="both"/>
        <w:rPr>
          <w:rFonts w:ascii="Times New Roman" w:hAnsi="Times New Roman"/>
          <w:bCs/>
          <w:sz w:val="24"/>
        </w:rPr>
      </w:pPr>
    </w:p>
    <w:p w14:paraId="5E3F5B28" w14:textId="0B4D03FC" w:rsidR="00AC7CEB" w:rsidRPr="0031221C" w:rsidRDefault="00AC7CEB" w:rsidP="0064406C">
      <w:pPr>
        <w:numPr>
          <w:ilvl w:val="0"/>
          <w:numId w:val="9"/>
        </w:numPr>
        <w:jc w:val="both"/>
        <w:rPr>
          <w:rFonts w:ascii="Times New Roman" w:hAnsi="Times New Roman"/>
          <w:bCs/>
          <w:sz w:val="24"/>
        </w:rPr>
      </w:pPr>
      <w:r>
        <w:rPr>
          <w:rFonts w:ascii="Times New Roman" w:hAnsi="Times New Roman"/>
          <w:sz w:val="24"/>
        </w:rPr>
        <w:t xml:space="preserve">Šie norādījumi ir izstrādāti, pamatojoties uz Regulas (ES) Nr. 575/2013 448. panta prasībām un saskaņā ar Bāzeles 3. pīlāra informācijas atklāšanas standartu. </w:t>
      </w:r>
    </w:p>
    <w:p w14:paraId="71B54BD0" w14:textId="77777777" w:rsidR="00227FDC" w:rsidRPr="0031221C" w:rsidRDefault="00227FDC" w:rsidP="00A81E4E">
      <w:pPr>
        <w:jc w:val="both"/>
        <w:rPr>
          <w:rFonts w:ascii="Times New Roman" w:hAnsi="Times New Roman"/>
          <w:bCs/>
          <w:sz w:val="24"/>
        </w:rPr>
      </w:pPr>
    </w:p>
    <w:p w14:paraId="532A60CC" w14:textId="38E17551" w:rsidR="0054744B" w:rsidRPr="0031221C" w:rsidRDefault="005B5611" w:rsidP="0064406C">
      <w:pPr>
        <w:numPr>
          <w:ilvl w:val="0"/>
          <w:numId w:val="9"/>
        </w:numPr>
        <w:jc w:val="both"/>
        <w:rPr>
          <w:rFonts w:ascii="Times New Roman" w:hAnsi="Times New Roman"/>
          <w:bCs/>
          <w:sz w:val="24"/>
        </w:rPr>
      </w:pPr>
      <w:r>
        <w:rPr>
          <w:rFonts w:ascii="Times New Roman" w:hAnsi="Times New Roman"/>
          <w:sz w:val="24"/>
        </w:rPr>
        <w:t>Iestādēm, pirmo reizi atklājot informāciju, nav jāsniedz informācija par iepriekšējo periodu.</w:t>
      </w:r>
    </w:p>
    <w:p w14:paraId="4329A1AB" w14:textId="77777777" w:rsidR="00CE0D17" w:rsidRPr="0031221C" w:rsidRDefault="00CE0D17" w:rsidP="00CE0D17">
      <w:pPr>
        <w:pStyle w:val="ListParagraph"/>
        <w:rPr>
          <w:rFonts w:ascii="Times New Roman" w:hAnsi="Times New Roman"/>
          <w:bCs/>
          <w:sz w:val="24"/>
        </w:rPr>
      </w:pPr>
    </w:p>
    <w:p w14:paraId="6EDD9A3D" w14:textId="77777777" w:rsidR="0060489A" w:rsidRPr="0031221C" w:rsidRDefault="0060489A"/>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54744B" w:rsidRPr="0031221C" w14:paraId="4761A8A4" w14:textId="77777777" w:rsidTr="0095024C">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110B" w14:textId="04B554CD" w:rsidR="0054744B" w:rsidRPr="0031221C" w:rsidRDefault="0054744B" w:rsidP="0054744B">
            <w:pPr>
              <w:pStyle w:val="TableTitle"/>
              <w:jc w:val="left"/>
              <w:rPr>
                <w:rFonts w:ascii="Times New Roman" w:hAnsi="Times New Roman"/>
                <w:noProof w:val="0"/>
                <w:sz w:val="24"/>
              </w:rPr>
            </w:pPr>
            <w:r>
              <w:rPr>
                <w:rFonts w:ascii="Times New Roman" w:hAnsi="Times New Roman"/>
              </w:rPr>
              <w:t>Norādījumi par informācijas atklāšanas veidnes EU IRRBB1 aizpildīšanu</w:t>
            </w:r>
          </w:p>
        </w:tc>
      </w:tr>
      <w:tr w:rsidR="0054744B" w:rsidRPr="0031221C" w14:paraId="4DCD406D" w14:textId="77777777" w:rsidTr="007C351F">
        <w:trPr>
          <w:trHeight w:val="238"/>
        </w:trPr>
        <w:tc>
          <w:tcPr>
            <w:tcW w:w="1271" w:type="dxa"/>
            <w:tcBorders>
              <w:bottom w:val="nil"/>
            </w:tcBorders>
            <w:shd w:val="clear" w:color="auto" w:fill="D9D9D9" w:themeFill="background1" w:themeFillShade="D9"/>
          </w:tcPr>
          <w:p w14:paraId="088F66A9" w14:textId="77777777" w:rsidR="0054744B" w:rsidRPr="0031221C" w:rsidRDefault="0054744B" w:rsidP="0060489A">
            <w:pPr>
              <w:autoSpaceDE w:val="0"/>
              <w:autoSpaceDN w:val="0"/>
              <w:adjustRightInd w:val="0"/>
              <w:rPr>
                <w:rFonts w:ascii="Times New Roman" w:hAnsi="Times New Roman" w:cs="Times New Roman"/>
                <w:b/>
                <w:szCs w:val="22"/>
              </w:rPr>
            </w:pPr>
            <w:r>
              <w:rPr>
                <w:rFonts w:ascii="Times New Roman" w:hAnsi="Times New Roman"/>
                <w:b/>
              </w:rPr>
              <w:t>Aile</w:t>
            </w:r>
          </w:p>
        </w:tc>
        <w:tc>
          <w:tcPr>
            <w:tcW w:w="7768" w:type="dxa"/>
            <w:tcBorders>
              <w:bottom w:val="nil"/>
            </w:tcBorders>
            <w:shd w:val="clear" w:color="auto" w:fill="D9D9D9" w:themeFill="background1" w:themeFillShade="D9"/>
          </w:tcPr>
          <w:p w14:paraId="00621506" w14:textId="77777777" w:rsidR="0054744B" w:rsidRPr="0031221C" w:rsidRDefault="0054744B" w:rsidP="0060489A">
            <w:pPr>
              <w:autoSpaceDE w:val="0"/>
              <w:autoSpaceDN w:val="0"/>
              <w:adjustRightInd w:val="0"/>
              <w:rPr>
                <w:rFonts w:ascii="Times New Roman" w:hAnsi="Times New Roman" w:cs="Times New Roman"/>
                <w:color w:val="000000"/>
                <w:szCs w:val="22"/>
              </w:rPr>
            </w:pPr>
            <w:r>
              <w:rPr>
                <w:rFonts w:ascii="Times New Roman" w:hAnsi="Times New Roman"/>
                <w:b/>
              </w:rPr>
              <w:t>Paskaidrojums</w:t>
            </w:r>
          </w:p>
        </w:tc>
      </w:tr>
      <w:tr w:rsidR="0054744B" w:rsidRPr="0031221C" w14:paraId="53AAFC46" w14:textId="77777777" w:rsidTr="007C351F">
        <w:trPr>
          <w:trHeight w:val="238"/>
        </w:trPr>
        <w:tc>
          <w:tcPr>
            <w:tcW w:w="1271" w:type="dxa"/>
            <w:shd w:val="clear" w:color="auto" w:fill="FFFFFF" w:themeFill="background1"/>
          </w:tcPr>
          <w:p w14:paraId="562D66BF" w14:textId="1E0A8346" w:rsidR="0054744B" w:rsidRPr="0031221C" w:rsidRDefault="00316B9A" w:rsidP="00F55DB0">
            <w:pPr>
              <w:autoSpaceDE w:val="0"/>
              <w:autoSpaceDN w:val="0"/>
              <w:adjustRightInd w:val="0"/>
              <w:spacing w:before="60"/>
              <w:jc w:val="center"/>
              <w:rPr>
                <w:rFonts w:ascii="Times New Roman" w:hAnsi="Times New Roman" w:cs="Times New Roman"/>
                <w:b/>
                <w:szCs w:val="22"/>
              </w:rPr>
            </w:pPr>
            <w:r>
              <w:rPr>
                <w:rFonts w:ascii="Times New Roman" w:hAnsi="Times New Roman"/>
                <w:b/>
              </w:rPr>
              <w:t>a, b</w:t>
            </w:r>
          </w:p>
        </w:tc>
        <w:tc>
          <w:tcPr>
            <w:tcW w:w="7768" w:type="dxa"/>
            <w:shd w:val="clear" w:color="auto" w:fill="FFFFFF" w:themeFill="background1"/>
          </w:tcPr>
          <w:p w14:paraId="26CB8AC0" w14:textId="3A3B49B8" w:rsidR="00793890" w:rsidRPr="0031221C" w:rsidRDefault="004E6BD5" w:rsidP="0060489A">
            <w:pPr>
              <w:spacing w:before="60" w:after="120"/>
              <w:jc w:val="both"/>
              <w:rPr>
                <w:rFonts w:ascii="Times New Roman" w:eastAsia="Times New Roman" w:hAnsi="Times New Roman" w:cs="Times New Roman"/>
                <w:b/>
                <w:szCs w:val="22"/>
              </w:rPr>
            </w:pPr>
            <w:r>
              <w:rPr>
                <w:rFonts w:ascii="Times New Roman" w:hAnsi="Times New Roman"/>
                <w:b/>
              </w:rPr>
              <w:t>Pašu kapitāla ekonomiskās vērtības izmaiņas</w:t>
            </w:r>
          </w:p>
          <w:p w14:paraId="7E84F9AE" w14:textId="3C5E67A3" w:rsidR="002F2E04" w:rsidRPr="0031221C" w:rsidRDefault="009C3247" w:rsidP="009C3247">
            <w:pPr>
              <w:spacing w:before="60" w:after="120"/>
              <w:jc w:val="both"/>
              <w:rPr>
                <w:rFonts w:ascii="Times New Roman" w:hAnsi="Times New Roman" w:cs="Times New Roman"/>
                <w:szCs w:val="22"/>
              </w:rPr>
            </w:pPr>
            <w:r>
              <w:rPr>
                <w:rFonts w:ascii="Times New Roman" w:hAnsi="Times New Roman"/>
                <w:color w:val="000000"/>
              </w:rPr>
              <w:t>Regulas (ES) Nr. 575/2013</w:t>
            </w:r>
            <w:r>
              <w:rPr>
                <w:rFonts w:ascii="Times New Roman" w:hAnsi="Times New Roman"/>
              </w:rPr>
              <w:t xml:space="preserve"> 448. panta 1. punkta a) apakšpunkts. </w:t>
            </w:r>
          </w:p>
          <w:p w14:paraId="4C9FBFE2" w14:textId="0CBAAF6F" w:rsidR="009C2377" w:rsidRPr="0031221C" w:rsidRDefault="009C3247" w:rsidP="009C3247">
            <w:pPr>
              <w:spacing w:before="60" w:after="120"/>
              <w:jc w:val="both"/>
              <w:rPr>
                <w:rFonts w:ascii="Times New Roman" w:hAnsi="Times New Roman" w:cs="Times New Roman"/>
                <w:szCs w:val="22"/>
              </w:rPr>
            </w:pPr>
            <w:r>
              <w:rPr>
                <w:rFonts w:ascii="Times New Roman" w:hAnsi="Times New Roman"/>
              </w:rPr>
              <w:t>Iestādes saskaņā ar Direktīvas 2013/36/ES 84. panta un 98. panta 5. punkta prasībām uzrāda pašu kapitāla ekonomiskās vērtības izmaiņas saskaņā ar katru uzraudzības procentu likmju satricinājuma scenāriju par kārtējo un iepriekšējo periodu.</w:t>
            </w:r>
          </w:p>
          <w:p w14:paraId="6996A7A9" w14:textId="72F54AA8" w:rsidR="009D7A7D" w:rsidRPr="0031221C" w:rsidRDefault="009D7A7D" w:rsidP="009D7A7D">
            <w:pPr>
              <w:spacing w:before="60" w:after="120"/>
              <w:jc w:val="both"/>
              <w:rPr>
                <w:rFonts w:ascii="Times New Roman" w:hAnsi="Times New Roman" w:cs="Times New Roman"/>
                <w:szCs w:val="22"/>
              </w:rPr>
            </w:pPr>
          </w:p>
        </w:tc>
      </w:tr>
      <w:tr w:rsidR="0054744B" w:rsidRPr="0031221C" w14:paraId="6583A42B" w14:textId="77777777" w:rsidTr="007C351F">
        <w:trPr>
          <w:trHeight w:val="238"/>
        </w:trPr>
        <w:tc>
          <w:tcPr>
            <w:tcW w:w="1271" w:type="dxa"/>
            <w:shd w:val="clear" w:color="auto" w:fill="FFFFFF" w:themeFill="background1"/>
          </w:tcPr>
          <w:p w14:paraId="619CE943" w14:textId="5F0011ED" w:rsidR="0054744B" w:rsidRPr="0031221C" w:rsidRDefault="00316B9A" w:rsidP="0060489A">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c, d</w:t>
            </w:r>
          </w:p>
        </w:tc>
        <w:tc>
          <w:tcPr>
            <w:tcW w:w="7768" w:type="dxa"/>
            <w:shd w:val="clear" w:color="auto" w:fill="FFFFFF" w:themeFill="background1"/>
          </w:tcPr>
          <w:p w14:paraId="5BAD9564" w14:textId="213A9B28" w:rsidR="00305C67" w:rsidRPr="0031221C" w:rsidRDefault="00316B9A" w:rsidP="00305C67">
            <w:pPr>
              <w:spacing w:before="60" w:after="120"/>
              <w:jc w:val="both"/>
              <w:rPr>
                <w:rFonts w:ascii="Times New Roman" w:eastAsia="Times New Roman" w:hAnsi="Times New Roman" w:cs="Times New Roman"/>
                <w:b/>
                <w:szCs w:val="22"/>
              </w:rPr>
            </w:pPr>
            <w:r>
              <w:rPr>
                <w:rFonts w:ascii="Times New Roman" w:hAnsi="Times New Roman"/>
                <w:b/>
              </w:rPr>
              <w:t>Neto procentu ienākuma izmaiņas</w:t>
            </w:r>
          </w:p>
          <w:p w14:paraId="0ED8B6C6" w14:textId="70E8F948" w:rsidR="002F2E04" w:rsidRPr="0031221C" w:rsidRDefault="00CE0D17" w:rsidP="00B81100">
            <w:pPr>
              <w:spacing w:before="60" w:after="120"/>
              <w:jc w:val="both"/>
              <w:rPr>
                <w:rFonts w:ascii="Times New Roman" w:hAnsi="Times New Roman" w:cs="Times New Roman"/>
                <w:szCs w:val="22"/>
              </w:rPr>
            </w:pPr>
            <w:r>
              <w:rPr>
                <w:rFonts w:ascii="Times New Roman" w:hAnsi="Times New Roman"/>
                <w:color w:val="000000"/>
              </w:rPr>
              <w:t>Regulas (ES) Nr. 575/2013</w:t>
            </w:r>
            <w:r>
              <w:rPr>
                <w:rFonts w:ascii="Times New Roman" w:hAnsi="Times New Roman"/>
              </w:rPr>
              <w:t xml:space="preserve"> 448. panta 1. punkta b) apakšpunkts. </w:t>
            </w:r>
          </w:p>
          <w:p w14:paraId="629DC825" w14:textId="34B035B2" w:rsidR="008E005A" w:rsidRPr="0031221C" w:rsidRDefault="00CE0D17" w:rsidP="00B81100">
            <w:pPr>
              <w:spacing w:before="60" w:after="120"/>
              <w:jc w:val="both"/>
              <w:rPr>
                <w:rFonts w:ascii="Times New Roman" w:hAnsi="Times New Roman" w:cs="Times New Roman"/>
                <w:szCs w:val="22"/>
              </w:rPr>
            </w:pPr>
            <w:r>
              <w:rPr>
                <w:rFonts w:ascii="Times New Roman" w:hAnsi="Times New Roman"/>
              </w:rPr>
              <w:t xml:space="preserve">Iestādes saskaņā ar Direktīvas 2013/36/ES 84. panta un 98. panta 5. punkta prasībām uzrāda neto procentu ienākuma izmaiņas saskaņā ar veidnē paredzētajiem abiem uzraudzības procentu likmju satricinājuma scenārijiem par kārtējo un iepriekšējo periodu. </w:t>
            </w:r>
          </w:p>
          <w:p w14:paraId="2D49064E" w14:textId="1AFABC17" w:rsidR="00C41D59" w:rsidRPr="0031221C" w:rsidRDefault="00C24484" w:rsidP="00C24484">
            <w:pPr>
              <w:spacing w:before="60" w:after="120"/>
              <w:jc w:val="both"/>
              <w:rPr>
                <w:rFonts w:ascii="Times New Roman" w:hAnsi="Times New Roman" w:cs="Times New Roman"/>
                <w:szCs w:val="22"/>
              </w:rPr>
            </w:pPr>
            <w:r>
              <w:rPr>
                <w:rFonts w:ascii="Times New Roman" w:hAnsi="Times New Roman"/>
                <w:color w:val="000000"/>
              </w:rPr>
              <w:t xml:space="preserve"> Kamēr ir piemērojami Direktīvas 2013/36/ES 84. panta 6. punktā noteiktie pamatnostādņu kritēriji un Direktīvas 2013/36/ES 98. panta 5.a punktā uzskaitītie papildu elementi</w:t>
            </w:r>
            <w:r>
              <w:rPr>
                <w:rFonts w:ascii="Times New Roman" w:hAnsi="Times New Roman"/>
              </w:rPr>
              <w:t xml:space="preserve">, iestādes apraksta to neto procentu ienākuma definīciju un galvenās iezīmes (scenāriji, pieņēmumi un </w:t>
            </w:r>
            <w:r>
              <w:rPr>
                <w:rFonts w:ascii="Times New Roman" w:hAnsi="Times New Roman"/>
                <w:color w:val="000000"/>
              </w:rPr>
              <w:t>neto procentu ienākuma</w:t>
            </w:r>
            <w:r>
              <w:rPr>
                <w:rFonts w:ascii="Times New Roman" w:hAnsi="Times New Roman"/>
              </w:rPr>
              <w:t xml:space="preserve"> periodi), ko tās izmanto tabulas EU IRRBBA i) punktā, vai, ja tās atstāj šīs ailes tukšas, tās paskaidro iemeslus tabulas EU IRRBBA i) punktā. </w:t>
            </w:r>
          </w:p>
        </w:tc>
      </w:tr>
      <w:tr w:rsidR="00227FDC" w:rsidRPr="0031221C" w14:paraId="55BAD1A1" w14:textId="77777777" w:rsidTr="00A81E4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7CBAA6" w14:textId="77777777" w:rsidR="00227FDC" w:rsidRPr="0031221C" w:rsidRDefault="00227FDC" w:rsidP="00A81E4E">
            <w:pPr>
              <w:autoSpaceDE w:val="0"/>
              <w:autoSpaceDN w:val="0"/>
              <w:adjustRightInd w:val="0"/>
              <w:rPr>
                <w:rFonts w:ascii="Times New Roman" w:hAnsi="Times New Roman" w:cs="Times New Roman"/>
                <w:b/>
                <w:szCs w:val="22"/>
              </w:rPr>
            </w:pPr>
            <w:r>
              <w:rPr>
                <w:rFonts w:ascii="Times New Roman" w:hAnsi="Times New Roman"/>
                <w:b/>
              </w:rPr>
              <w:t xml:space="preserve">Rinda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112B66" w14:textId="77777777" w:rsidR="00227FDC" w:rsidRPr="0031221C" w:rsidRDefault="00227FDC" w:rsidP="00A81E4E">
            <w:pPr>
              <w:rPr>
                <w:rFonts w:ascii="Times New Roman" w:hAnsi="Times New Roman" w:cs="Times New Roman"/>
                <w:b/>
                <w:szCs w:val="22"/>
              </w:rPr>
            </w:pPr>
            <w:r>
              <w:rPr>
                <w:rFonts w:ascii="Times New Roman" w:hAnsi="Times New Roman"/>
                <w:b/>
              </w:rPr>
              <w:t>Paskaidrojums</w:t>
            </w:r>
          </w:p>
        </w:tc>
      </w:tr>
      <w:tr w:rsidR="00227FDC" w:rsidRPr="0031221C" w14:paraId="58E34903"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08E4B4" w14:textId="7F6176AD"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3AB7B7" w14:textId="385B87B7"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Paralēls uz augšu</w:t>
            </w:r>
          </w:p>
          <w:p w14:paraId="460792B5" w14:textId="200E6EE9" w:rsidR="0080384B" w:rsidRPr="0031221C" w:rsidRDefault="00615DB8" w:rsidP="00B9107D">
            <w:pPr>
              <w:spacing w:before="60" w:after="120"/>
              <w:jc w:val="both"/>
              <w:rPr>
                <w:rFonts w:ascii="Times New Roman" w:hAnsi="Times New Roman" w:cs="Times New Roman"/>
                <w:szCs w:val="22"/>
              </w:rPr>
            </w:pPr>
            <w:r>
              <w:rPr>
                <w:rFonts w:ascii="Times New Roman" w:hAnsi="Times New Roman"/>
              </w:rPr>
              <w:t xml:space="preserve">Iestādēm jāatklāj pašu kapitāla ekonomiskās vērtības izmaiņas un neto procentu ienākuma izmaiņas, ko nosaka ienesīguma līknes pakļaušana pastāvīgam paralēlam </w:t>
            </w:r>
            <w:proofErr w:type="spellStart"/>
            <w:r>
              <w:rPr>
                <w:rFonts w:ascii="Times New Roman" w:hAnsi="Times New Roman"/>
              </w:rPr>
              <w:t>augšupvērstam</w:t>
            </w:r>
            <w:proofErr w:type="spellEnd"/>
            <w:r>
              <w:rPr>
                <w:rFonts w:ascii="Times New Roman" w:hAnsi="Times New Roman"/>
              </w:rPr>
              <w:t xml:space="preserve"> satricinājumam. </w:t>
            </w:r>
          </w:p>
          <w:p w14:paraId="2AA6B7BB" w14:textId="14575B1E" w:rsidR="0084271D" w:rsidRPr="0031221C" w:rsidRDefault="00C24484" w:rsidP="00C24484">
            <w:pPr>
              <w:spacing w:before="60" w:after="120"/>
              <w:jc w:val="both"/>
              <w:rPr>
                <w:rFonts w:ascii="Times New Roman" w:hAnsi="Times New Roman" w:cs="Times New Roman"/>
                <w:szCs w:val="22"/>
              </w:rPr>
            </w:pPr>
            <w:r>
              <w:rPr>
                <w:rFonts w:ascii="Times New Roman" w:hAnsi="Times New Roman"/>
              </w:rPr>
              <w:t xml:space="preserve"> </w:t>
            </w:r>
            <w:r>
              <w:rPr>
                <w:rFonts w:ascii="Times New Roman" w:hAnsi="Times New Roman"/>
                <w:color w:val="000000"/>
              </w:rPr>
              <w:t xml:space="preserve">Kamēr ir piemērojami Direktīvas 2013/36/ES 84. panta 6. punktā noteiktie pamatnostādņu kritēriji un Direktīvas 2013/36/ES 98. panta 5.a punktā uzskaitītie </w:t>
            </w:r>
            <w:r>
              <w:rPr>
                <w:rFonts w:ascii="Times New Roman" w:hAnsi="Times New Roman"/>
                <w:color w:val="000000"/>
              </w:rPr>
              <w:lastRenderedPageBreak/>
              <w:t>papildu elementi,</w:t>
            </w:r>
            <w:r>
              <w:rPr>
                <w:rFonts w:ascii="Times New Roman" w:hAnsi="Times New Roman"/>
              </w:rPr>
              <w:t xml:space="preserve"> šim scenārijam izmantotos parametrus apraksta tabulas EU IRRBBA i) punktā.</w:t>
            </w:r>
          </w:p>
        </w:tc>
      </w:tr>
      <w:tr w:rsidR="00227FDC" w:rsidRPr="0031221C" w14:paraId="544FB1F8"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74EE41" w14:textId="424C34BA"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lastRenderedPageBreak/>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AE4F83F" w14:textId="3625939B"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Paralēls uz leju</w:t>
            </w:r>
          </w:p>
          <w:p w14:paraId="1C16CAC1" w14:textId="764F4FC2" w:rsidR="0080384B" w:rsidRPr="0031221C" w:rsidRDefault="0084271D" w:rsidP="00B9107D">
            <w:pPr>
              <w:spacing w:before="60" w:after="120"/>
              <w:jc w:val="both"/>
              <w:rPr>
                <w:rFonts w:ascii="Times New Roman" w:hAnsi="Times New Roman" w:cs="Times New Roman"/>
                <w:szCs w:val="22"/>
              </w:rPr>
            </w:pPr>
            <w:r>
              <w:rPr>
                <w:rFonts w:ascii="Times New Roman" w:hAnsi="Times New Roman"/>
              </w:rPr>
              <w:t xml:space="preserve">Iestādēm jāatklāj pašu kapitāla ekonomiskās vērtības izmaiņas un neto procentu ienākuma izmaiņas, ko nosaka ienesīguma līknes pakļaušana pastāvīgam paralēlam lejupvērstam satricinājumam. </w:t>
            </w:r>
          </w:p>
          <w:p w14:paraId="3D14716A" w14:textId="5D1C74C8" w:rsidR="0084271D" w:rsidRPr="0031221C" w:rsidRDefault="00C24484" w:rsidP="00C24484">
            <w:pPr>
              <w:spacing w:before="60" w:after="120"/>
              <w:jc w:val="both"/>
              <w:rPr>
                <w:rFonts w:ascii="Times New Roman" w:hAnsi="Times New Roman" w:cs="Times New Roman"/>
                <w:szCs w:val="22"/>
              </w:rPr>
            </w:pPr>
            <w:r>
              <w:rPr>
                <w:rFonts w:ascii="Times New Roman" w:hAnsi="Times New Roman"/>
                <w:color w:val="000000"/>
              </w:rPr>
              <w:t>Kamēr ir piemērojami Direktīvas 2013/36/ES 84. panta 6. punktā noteiktie pamatnostādņu kritēriji un Direktīvas 2013/36/ES 98. panta 5.a punktā uzskaitītie papildu elementi,</w:t>
            </w:r>
            <w:r>
              <w:rPr>
                <w:rFonts w:ascii="Times New Roman" w:hAnsi="Times New Roman"/>
              </w:rPr>
              <w:t xml:space="preserve"> šim scenārijam izmantotos parametrus apraksta tabulas EU IRRBBA i) punktā. </w:t>
            </w:r>
          </w:p>
        </w:tc>
      </w:tr>
      <w:tr w:rsidR="00227FDC" w:rsidRPr="0031221C" w14:paraId="39F33934"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06B555B" w14:textId="0BCBC177"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0B64ADF" w14:textId="1E50F678" w:rsidR="00227FDC" w:rsidRPr="0031221C" w:rsidRDefault="003E3A89" w:rsidP="00227FDC">
            <w:pPr>
              <w:spacing w:before="60" w:after="120"/>
              <w:jc w:val="both"/>
              <w:rPr>
                <w:rStyle w:val="InstructionsTabelleberschrift"/>
                <w:rFonts w:ascii="Times New Roman" w:eastAsia="Times New Roman" w:hAnsi="Times New Roman"/>
                <w:bCs w:val="0"/>
                <w:sz w:val="22"/>
                <w:szCs w:val="22"/>
                <w:u w:val="none"/>
              </w:rPr>
            </w:pPr>
            <w:r>
              <w:rPr>
                <w:rStyle w:val="InstructionsTabelleberschrift"/>
                <w:rFonts w:ascii="Times New Roman" w:hAnsi="Times New Roman"/>
                <w:sz w:val="22"/>
                <w:u w:val="none"/>
              </w:rPr>
              <w:t>Paaugstinātājs</w:t>
            </w:r>
          </w:p>
          <w:p w14:paraId="1FAE89D5" w14:textId="27B90C73" w:rsidR="0080384B" w:rsidRPr="0031221C" w:rsidRDefault="003F5907" w:rsidP="00B9107D">
            <w:pPr>
              <w:spacing w:before="60" w:after="120"/>
              <w:jc w:val="both"/>
              <w:rPr>
                <w:rFonts w:ascii="Times New Roman" w:eastAsia="Times New Roman" w:hAnsi="Times New Roman" w:cs="Times New Roman"/>
                <w:szCs w:val="22"/>
              </w:rPr>
            </w:pPr>
            <w:r>
              <w:rPr>
                <w:rFonts w:ascii="Times New Roman" w:hAnsi="Times New Roman"/>
              </w:rPr>
              <w:t xml:space="preserve">Iestādēm jāatklāj pašu kapitāla ekonomiskās vērtības izmaiņas atbilstīgi ienesīguma līknes scenārijam ar īso likmju pazeminājumu un garo likmju paaugstinājumu. </w:t>
            </w:r>
          </w:p>
          <w:p w14:paraId="2B14043C" w14:textId="013A1877" w:rsidR="0084271D" w:rsidRPr="0031221C" w:rsidRDefault="00C24484" w:rsidP="00C24484">
            <w:pPr>
              <w:spacing w:before="60" w:after="120"/>
              <w:jc w:val="both"/>
              <w:rPr>
                <w:rFonts w:ascii="Times New Roman" w:eastAsia="Times New Roman" w:hAnsi="Times New Roman" w:cs="Times New Roman"/>
                <w:szCs w:val="22"/>
              </w:rPr>
            </w:pPr>
            <w:r>
              <w:rPr>
                <w:rFonts w:ascii="Times New Roman" w:hAnsi="Times New Roman"/>
              </w:rPr>
              <w:t xml:space="preserve"> </w:t>
            </w:r>
            <w:r>
              <w:rPr>
                <w:rFonts w:ascii="Times New Roman" w:hAnsi="Times New Roman"/>
                <w:color w:val="000000"/>
              </w:rPr>
              <w:t>Kamēr ir piemērojami Direktīvas 2013/36/ES 84. panta 6. punktā noteiktie pamatnostādņu kritēriji un Direktīvas 2013/36/ES 98. panta 5.a punktā uzskaitītie papildu elementi,</w:t>
            </w:r>
            <w:r>
              <w:rPr>
                <w:rFonts w:ascii="Times New Roman" w:hAnsi="Times New Roman"/>
              </w:rPr>
              <w:t xml:space="preserve"> šim scenārijam izmantotos parametrus apraksta tabulas EU IRRBBA i) punktā. </w:t>
            </w:r>
          </w:p>
        </w:tc>
      </w:tr>
      <w:tr w:rsidR="00227FDC" w:rsidRPr="0031221C" w14:paraId="6BC8352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2E65DB3" w14:textId="300BBE37"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A585C1" w14:textId="65969A28" w:rsidR="00227FDC" w:rsidRPr="0031221C" w:rsidRDefault="003E3A89" w:rsidP="00227FDC">
            <w:pPr>
              <w:spacing w:before="60" w:after="120"/>
              <w:jc w:val="both"/>
              <w:rPr>
                <w:rStyle w:val="InstructionsTabelleberschrift"/>
                <w:rFonts w:ascii="Times New Roman" w:eastAsia="Times New Roman" w:hAnsi="Times New Roman"/>
                <w:bCs w:val="0"/>
                <w:sz w:val="22"/>
                <w:szCs w:val="22"/>
                <w:u w:val="none"/>
              </w:rPr>
            </w:pPr>
            <w:r>
              <w:rPr>
                <w:rStyle w:val="InstructionsTabelleberschrift"/>
                <w:rFonts w:ascii="Times New Roman" w:hAnsi="Times New Roman"/>
                <w:sz w:val="22"/>
                <w:u w:val="none"/>
              </w:rPr>
              <w:t>Pazeminātājs</w:t>
            </w:r>
          </w:p>
          <w:p w14:paraId="3D4F63A7" w14:textId="2CC94F2B"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 xml:space="preserve">Iestādēm jāatklāj pašu kapitāla ekonomiskās vērtības izmaiņas atbilstīgi ienesīguma līknes scenārijam ar īso likmju paaugstinājumu un garo likmju pazeminājumu. </w:t>
            </w:r>
          </w:p>
          <w:p w14:paraId="68AA63EC" w14:textId="159AECB7" w:rsidR="003C7BCD" w:rsidRPr="0031221C" w:rsidRDefault="00C24484" w:rsidP="00C24484">
            <w:pPr>
              <w:spacing w:before="60" w:after="120"/>
              <w:jc w:val="both"/>
              <w:rPr>
                <w:rFonts w:ascii="Times New Roman" w:eastAsia="Times New Roman" w:hAnsi="Times New Roman" w:cs="Times New Roman"/>
                <w:szCs w:val="22"/>
              </w:rPr>
            </w:pPr>
            <w:r>
              <w:rPr>
                <w:rFonts w:ascii="Times New Roman" w:hAnsi="Times New Roman"/>
                <w:color w:val="000000"/>
              </w:rPr>
              <w:t>Kamēr ir piemērojami Direktīvas 2013/36/ES 84. panta 6. punktā noteiktie pamatnostādņu kritēriji un Direktīvas 2013/36/ES 98. panta 5.a punktā uzskaitītie papildu elementi,</w:t>
            </w:r>
            <w:r>
              <w:rPr>
                <w:rFonts w:ascii="Times New Roman" w:hAnsi="Times New Roman"/>
              </w:rPr>
              <w:t xml:space="preserve"> šim scenārijam izmantotos parametrus apraksta tabulas EU IRRBBA i) punktā. </w:t>
            </w:r>
          </w:p>
        </w:tc>
      </w:tr>
      <w:tr w:rsidR="00227FDC" w:rsidRPr="0031221C" w14:paraId="5A47760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AAC9AB1" w14:textId="59E27251"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AB7840B" w14:textId="0C1AAD14"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Īso likmju paaugstinājums</w:t>
            </w:r>
          </w:p>
          <w:p w14:paraId="68A86533" w14:textId="7377DB6E"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 xml:space="preserve">Iestādēm jāatklāj pašu kapitāla ekonomiskās vērtības izmaiņas atbilstīgi ienesīguma līknes scenārijam ar īso likmju paaugstinājumu. </w:t>
            </w:r>
          </w:p>
          <w:p w14:paraId="6A69073C" w14:textId="59D58E63" w:rsidR="003C7BCD" w:rsidRPr="0031221C" w:rsidRDefault="00C24484" w:rsidP="00C24484">
            <w:pPr>
              <w:spacing w:before="60" w:after="120"/>
              <w:jc w:val="both"/>
              <w:rPr>
                <w:rFonts w:ascii="Times New Roman" w:eastAsia="Times New Roman" w:hAnsi="Times New Roman" w:cs="Times New Roman"/>
                <w:b/>
                <w:szCs w:val="22"/>
              </w:rPr>
            </w:pPr>
            <w:r>
              <w:rPr>
                <w:rFonts w:ascii="Times New Roman" w:hAnsi="Times New Roman"/>
                <w:color w:val="000000"/>
              </w:rPr>
              <w:t>Kamēr ir piemērojami Direktīvas 2013/36/ES 84. panta 6. punktā noteiktie pamatnostādņu kritēriji un Direktīvas 2013/36/ES 98. panta 5.a punktā uzskaitītie papildu elementi,</w:t>
            </w:r>
            <w:r>
              <w:rPr>
                <w:rFonts w:ascii="Times New Roman" w:hAnsi="Times New Roman"/>
              </w:rPr>
              <w:t xml:space="preserve"> šim scenārijam izmantotos parametrus apraksta tabulas EU IRRBBA i) punktā. </w:t>
            </w:r>
          </w:p>
        </w:tc>
      </w:tr>
      <w:tr w:rsidR="00CE0D17" w:rsidRPr="0031221C" w14:paraId="54BF60AA"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DCDA67F" w14:textId="4CEC3E89" w:rsidR="00CE0D17" w:rsidRPr="0031221C" w:rsidRDefault="00CE0D17"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CC8A263" w14:textId="77777777" w:rsidR="00CE0D17"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Īso likmju pazeminājums</w:t>
            </w:r>
          </w:p>
          <w:p w14:paraId="52648BA1" w14:textId="70C444CA"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 xml:space="preserve">Iestādēm jāatklāj pašu kapitāla ekonomiskās vērtības izmaiņas atbilstīgi ienesīguma līknes scenārijam ar īso likmju pazeminājumu. </w:t>
            </w:r>
          </w:p>
          <w:p w14:paraId="45792CFB" w14:textId="3D985205" w:rsidR="003C7BCD" w:rsidRPr="0031221C" w:rsidRDefault="00C24484" w:rsidP="00C24484">
            <w:pPr>
              <w:spacing w:before="60" w:after="120"/>
              <w:jc w:val="both"/>
              <w:rPr>
                <w:rFonts w:ascii="Times New Roman" w:eastAsia="Times New Roman" w:hAnsi="Times New Roman" w:cs="Times New Roman"/>
                <w:b/>
                <w:szCs w:val="22"/>
              </w:rPr>
            </w:pPr>
            <w:r>
              <w:rPr>
                <w:rFonts w:ascii="Times New Roman" w:hAnsi="Times New Roman"/>
                <w:color w:val="000000"/>
              </w:rPr>
              <w:t>Kamēr ir piemērojami Direktīvas 2013/36/ES 84. panta 6. punktā noteiktie pamatnostādņu kritēriji un Direktīvas 2013/36/ES 98. panta 5.a punktā uzskaitītie papildu elementi,</w:t>
            </w:r>
            <w:r>
              <w:rPr>
                <w:rFonts w:ascii="Times New Roman" w:hAnsi="Times New Roman"/>
              </w:rPr>
              <w:t xml:space="preserve"> šim scenārijam izmantotos parametrus apraksta tabulas EU IRRBBA i) punktā. </w:t>
            </w:r>
          </w:p>
        </w:tc>
      </w:tr>
    </w:tbl>
    <w:p w14:paraId="3452EC82" w14:textId="7F3D1507" w:rsidR="00FE2CB5" w:rsidRPr="0031221C" w:rsidRDefault="00FE2CB5" w:rsidP="00FE2CB5">
      <w:pPr>
        <w:jc w:val="both"/>
        <w:rPr>
          <w:rFonts w:ascii="Calibri" w:eastAsia="Times New Roman" w:hAnsi="Calibri" w:cs="Times New Roman"/>
          <w:color w:val="000000"/>
          <w:szCs w:val="22"/>
          <w:lang w:eastAsia="en-GB"/>
        </w:rPr>
      </w:pPr>
    </w:p>
    <w:p w14:paraId="7DD927F3" w14:textId="7DB8FF08" w:rsidR="00FE2CB5" w:rsidRPr="00482070" w:rsidRDefault="005B5611" w:rsidP="00A81E4E">
      <w:r>
        <w:t>”</w:t>
      </w:r>
    </w:p>
    <w:sectPr w:rsidR="00FE2CB5" w:rsidRPr="0048207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B82AC" w14:textId="77777777" w:rsidR="00B86ED4" w:rsidRDefault="00B86ED4" w:rsidP="003B5C57">
      <w:r>
        <w:separator/>
      </w:r>
    </w:p>
  </w:endnote>
  <w:endnote w:type="continuationSeparator" w:id="0">
    <w:p w14:paraId="76F692C0" w14:textId="77777777" w:rsidR="00B86ED4" w:rsidRDefault="00B86ED4" w:rsidP="003B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C445" w14:textId="77777777" w:rsidR="004B327C" w:rsidRDefault="004B3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B5D18" w14:textId="77777777" w:rsidR="004B327C" w:rsidRDefault="004B32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6B9CC" w14:textId="77777777" w:rsidR="004B327C" w:rsidRDefault="004B3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7AD1B" w14:textId="77777777" w:rsidR="00B86ED4" w:rsidRDefault="00B86ED4" w:rsidP="003B5C57">
      <w:r>
        <w:separator/>
      </w:r>
    </w:p>
  </w:footnote>
  <w:footnote w:type="continuationSeparator" w:id="0">
    <w:p w14:paraId="14714B02" w14:textId="77777777" w:rsidR="00B86ED4" w:rsidRDefault="00B86ED4" w:rsidP="003B5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0BA4" w14:textId="77777777" w:rsidR="004B327C" w:rsidRDefault="004B3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53384" w14:textId="77777777" w:rsidR="004B327C" w:rsidRDefault="004B32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2324C" w14:textId="77777777" w:rsidR="004B327C" w:rsidRDefault="004B3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4820"/>
    <w:multiLevelType w:val="hybridMultilevel"/>
    <w:tmpl w:val="9008071A"/>
    <w:lvl w:ilvl="0" w:tplc="328800F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4667BC"/>
    <w:multiLevelType w:val="hybridMultilevel"/>
    <w:tmpl w:val="A320B384"/>
    <w:lvl w:ilvl="0" w:tplc="0809001B">
      <w:start w:val="1"/>
      <w:numFmt w:val="lowerRoman"/>
      <w:lvlText w:val="%1."/>
      <w:lvlJc w:val="righ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 w15:restartNumberingAfterBreak="0">
    <w:nsid w:val="2466072A"/>
    <w:multiLevelType w:val="multilevel"/>
    <w:tmpl w:val="3566011E"/>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 w15:restartNumberingAfterBreak="0">
    <w:nsid w:val="507845AC"/>
    <w:multiLevelType w:val="hybridMultilevel"/>
    <w:tmpl w:val="98463E24"/>
    <w:lvl w:ilvl="0" w:tplc="6CE4CC1C">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9CD6352"/>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 w15:restartNumberingAfterBreak="0">
    <w:nsid w:val="60BC6196"/>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2D1428"/>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4767C0"/>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775903611">
    <w:abstractNumId w:val="8"/>
  </w:num>
  <w:num w:numId="2" w16cid:durableId="885987491">
    <w:abstractNumId w:val="3"/>
  </w:num>
  <w:num w:numId="3" w16cid:durableId="378406776">
    <w:abstractNumId w:val="1"/>
  </w:num>
  <w:num w:numId="4" w16cid:durableId="1949502753">
    <w:abstractNumId w:val="0"/>
  </w:num>
  <w:num w:numId="5" w16cid:durableId="191387446">
    <w:abstractNumId w:val="6"/>
  </w:num>
  <w:num w:numId="6" w16cid:durableId="1152791991">
    <w:abstractNumId w:val="2"/>
  </w:num>
  <w:num w:numId="7" w16cid:durableId="1234001529">
    <w:abstractNumId w:val="7"/>
  </w:num>
  <w:num w:numId="8" w16cid:durableId="555900828">
    <w:abstractNumId w:val="4"/>
  </w:num>
  <w:num w:numId="9" w16cid:durableId="21224512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defaultTabStop w:val="720"/>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4744B"/>
    <w:rsid w:val="00005B93"/>
    <w:rsid w:val="00013240"/>
    <w:rsid w:val="00025422"/>
    <w:rsid w:val="000469EE"/>
    <w:rsid w:val="00047E00"/>
    <w:rsid w:val="00053035"/>
    <w:rsid w:val="00060307"/>
    <w:rsid w:val="0006327F"/>
    <w:rsid w:val="00063CE6"/>
    <w:rsid w:val="00065C44"/>
    <w:rsid w:val="00067516"/>
    <w:rsid w:val="000A10FC"/>
    <w:rsid w:val="000A53EF"/>
    <w:rsid w:val="000B212C"/>
    <w:rsid w:val="000B28B3"/>
    <w:rsid w:val="000D6C4D"/>
    <w:rsid w:val="000F5EAA"/>
    <w:rsid w:val="000F6E3B"/>
    <w:rsid w:val="000F720A"/>
    <w:rsid w:val="0010640D"/>
    <w:rsid w:val="00110370"/>
    <w:rsid w:val="00111970"/>
    <w:rsid w:val="001163B7"/>
    <w:rsid w:val="00125B00"/>
    <w:rsid w:val="00133E44"/>
    <w:rsid w:val="0013410F"/>
    <w:rsid w:val="00146A3F"/>
    <w:rsid w:val="00146DB4"/>
    <w:rsid w:val="0016128F"/>
    <w:rsid w:val="00166CAA"/>
    <w:rsid w:val="00166FFE"/>
    <w:rsid w:val="00167A62"/>
    <w:rsid w:val="0017255F"/>
    <w:rsid w:val="00177088"/>
    <w:rsid w:val="001810BE"/>
    <w:rsid w:val="00186FD4"/>
    <w:rsid w:val="00187547"/>
    <w:rsid w:val="0019262D"/>
    <w:rsid w:val="001A538C"/>
    <w:rsid w:val="001A6E70"/>
    <w:rsid w:val="001A7DE4"/>
    <w:rsid w:val="001D0BA8"/>
    <w:rsid w:val="001D3283"/>
    <w:rsid w:val="001E248D"/>
    <w:rsid w:val="001E68FA"/>
    <w:rsid w:val="001F11D4"/>
    <w:rsid w:val="001F2FE9"/>
    <w:rsid w:val="00226654"/>
    <w:rsid w:val="00227A69"/>
    <w:rsid w:val="00227FDC"/>
    <w:rsid w:val="0024072B"/>
    <w:rsid w:val="002711B6"/>
    <w:rsid w:val="00271375"/>
    <w:rsid w:val="00292CEC"/>
    <w:rsid w:val="002931F0"/>
    <w:rsid w:val="002B52BC"/>
    <w:rsid w:val="002B630E"/>
    <w:rsid w:val="002B6C39"/>
    <w:rsid w:val="002D655D"/>
    <w:rsid w:val="002E597B"/>
    <w:rsid w:val="002E7E2E"/>
    <w:rsid w:val="002F10D0"/>
    <w:rsid w:val="002F2E04"/>
    <w:rsid w:val="002F726C"/>
    <w:rsid w:val="00305C67"/>
    <w:rsid w:val="0031221C"/>
    <w:rsid w:val="00316B9A"/>
    <w:rsid w:val="003364BD"/>
    <w:rsid w:val="00367A62"/>
    <w:rsid w:val="0037080E"/>
    <w:rsid w:val="00371201"/>
    <w:rsid w:val="00371886"/>
    <w:rsid w:val="0038371B"/>
    <w:rsid w:val="003942C9"/>
    <w:rsid w:val="003A2001"/>
    <w:rsid w:val="003A5365"/>
    <w:rsid w:val="003B1160"/>
    <w:rsid w:val="003B4F8B"/>
    <w:rsid w:val="003B5C57"/>
    <w:rsid w:val="003C03B3"/>
    <w:rsid w:val="003C310D"/>
    <w:rsid w:val="003C78DE"/>
    <w:rsid w:val="003C7BCD"/>
    <w:rsid w:val="003D086C"/>
    <w:rsid w:val="003E1403"/>
    <w:rsid w:val="003E3A89"/>
    <w:rsid w:val="003F5907"/>
    <w:rsid w:val="004018B3"/>
    <w:rsid w:val="00416C73"/>
    <w:rsid w:val="0042024E"/>
    <w:rsid w:val="00426CEC"/>
    <w:rsid w:val="0043059C"/>
    <w:rsid w:val="0045248D"/>
    <w:rsid w:val="00453AC4"/>
    <w:rsid w:val="00465DF4"/>
    <w:rsid w:val="00470043"/>
    <w:rsid w:val="00482070"/>
    <w:rsid w:val="004858AF"/>
    <w:rsid w:val="00487F1C"/>
    <w:rsid w:val="0049568B"/>
    <w:rsid w:val="004979A6"/>
    <w:rsid w:val="004A12CC"/>
    <w:rsid w:val="004B0B2A"/>
    <w:rsid w:val="004B327C"/>
    <w:rsid w:val="004D27DD"/>
    <w:rsid w:val="004E2266"/>
    <w:rsid w:val="004E6BD5"/>
    <w:rsid w:val="004F5466"/>
    <w:rsid w:val="00503DC1"/>
    <w:rsid w:val="00504410"/>
    <w:rsid w:val="00512477"/>
    <w:rsid w:val="00520421"/>
    <w:rsid w:val="00523FE8"/>
    <w:rsid w:val="005470E3"/>
    <w:rsid w:val="0054744B"/>
    <w:rsid w:val="00550EA4"/>
    <w:rsid w:val="00565F5A"/>
    <w:rsid w:val="00573FD3"/>
    <w:rsid w:val="00580D58"/>
    <w:rsid w:val="00586B82"/>
    <w:rsid w:val="00593C4B"/>
    <w:rsid w:val="00595903"/>
    <w:rsid w:val="005A5573"/>
    <w:rsid w:val="005B367A"/>
    <w:rsid w:val="005B5611"/>
    <w:rsid w:val="005D48C1"/>
    <w:rsid w:val="005E2B3A"/>
    <w:rsid w:val="005F4729"/>
    <w:rsid w:val="005F58E6"/>
    <w:rsid w:val="006001A4"/>
    <w:rsid w:val="00604339"/>
    <w:rsid w:val="0060489A"/>
    <w:rsid w:val="00607494"/>
    <w:rsid w:val="00615DB8"/>
    <w:rsid w:val="00616CF0"/>
    <w:rsid w:val="0064406C"/>
    <w:rsid w:val="0064412E"/>
    <w:rsid w:val="006473E8"/>
    <w:rsid w:val="00653207"/>
    <w:rsid w:val="00681608"/>
    <w:rsid w:val="00697A36"/>
    <w:rsid w:val="006A78BA"/>
    <w:rsid w:val="006B3947"/>
    <w:rsid w:val="006C2CA1"/>
    <w:rsid w:val="006C6FD2"/>
    <w:rsid w:val="006D4BE6"/>
    <w:rsid w:val="006D6B49"/>
    <w:rsid w:val="006D6C52"/>
    <w:rsid w:val="006F391A"/>
    <w:rsid w:val="006F69ED"/>
    <w:rsid w:val="007012E2"/>
    <w:rsid w:val="00711138"/>
    <w:rsid w:val="00716636"/>
    <w:rsid w:val="00721ADE"/>
    <w:rsid w:val="007269B1"/>
    <w:rsid w:val="00745B25"/>
    <w:rsid w:val="007573CB"/>
    <w:rsid w:val="00763C4D"/>
    <w:rsid w:val="00765030"/>
    <w:rsid w:val="007700DF"/>
    <w:rsid w:val="00775FD9"/>
    <w:rsid w:val="0078309E"/>
    <w:rsid w:val="00793890"/>
    <w:rsid w:val="007A1366"/>
    <w:rsid w:val="007A4AA0"/>
    <w:rsid w:val="007A7AFA"/>
    <w:rsid w:val="007B3033"/>
    <w:rsid w:val="007C351F"/>
    <w:rsid w:val="007D1AE4"/>
    <w:rsid w:val="007F15BF"/>
    <w:rsid w:val="007F71C4"/>
    <w:rsid w:val="0080384B"/>
    <w:rsid w:val="00804CDC"/>
    <w:rsid w:val="008220B0"/>
    <w:rsid w:val="00834F07"/>
    <w:rsid w:val="00835D8A"/>
    <w:rsid w:val="0084271D"/>
    <w:rsid w:val="00842C3A"/>
    <w:rsid w:val="00843F8C"/>
    <w:rsid w:val="00844CC6"/>
    <w:rsid w:val="00862897"/>
    <w:rsid w:val="0086459A"/>
    <w:rsid w:val="0087249C"/>
    <w:rsid w:val="008766A5"/>
    <w:rsid w:val="00885EBE"/>
    <w:rsid w:val="0088622B"/>
    <w:rsid w:val="00886EB3"/>
    <w:rsid w:val="008A053C"/>
    <w:rsid w:val="008A5827"/>
    <w:rsid w:val="008B589A"/>
    <w:rsid w:val="008E005A"/>
    <w:rsid w:val="008F617B"/>
    <w:rsid w:val="00904C4D"/>
    <w:rsid w:val="00906CCA"/>
    <w:rsid w:val="00912FEC"/>
    <w:rsid w:val="009222ED"/>
    <w:rsid w:val="00925221"/>
    <w:rsid w:val="00926D41"/>
    <w:rsid w:val="00942E61"/>
    <w:rsid w:val="0094340A"/>
    <w:rsid w:val="0094354B"/>
    <w:rsid w:val="00947B6C"/>
    <w:rsid w:val="0095024C"/>
    <w:rsid w:val="00952741"/>
    <w:rsid w:val="009528FB"/>
    <w:rsid w:val="0095538A"/>
    <w:rsid w:val="0095708D"/>
    <w:rsid w:val="00976355"/>
    <w:rsid w:val="0098778C"/>
    <w:rsid w:val="009A3E6C"/>
    <w:rsid w:val="009A42C9"/>
    <w:rsid w:val="009C2377"/>
    <w:rsid w:val="009C3247"/>
    <w:rsid w:val="009D1BA6"/>
    <w:rsid w:val="009D7A7D"/>
    <w:rsid w:val="00A0381B"/>
    <w:rsid w:val="00A05663"/>
    <w:rsid w:val="00A1733E"/>
    <w:rsid w:val="00A2202B"/>
    <w:rsid w:val="00A22F00"/>
    <w:rsid w:val="00A56B74"/>
    <w:rsid w:val="00A64295"/>
    <w:rsid w:val="00A67645"/>
    <w:rsid w:val="00A77093"/>
    <w:rsid w:val="00A81E4E"/>
    <w:rsid w:val="00A8375D"/>
    <w:rsid w:val="00A930B2"/>
    <w:rsid w:val="00AB382F"/>
    <w:rsid w:val="00AC7CEB"/>
    <w:rsid w:val="00AC7DCE"/>
    <w:rsid w:val="00AD6D9C"/>
    <w:rsid w:val="00AE69B7"/>
    <w:rsid w:val="00AF252C"/>
    <w:rsid w:val="00AF3439"/>
    <w:rsid w:val="00B4159D"/>
    <w:rsid w:val="00B44524"/>
    <w:rsid w:val="00B54332"/>
    <w:rsid w:val="00B56EBF"/>
    <w:rsid w:val="00B650A9"/>
    <w:rsid w:val="00B66A3D"/>
    <w:rsid w:val="00B81100"/>
    <w:rsid w:val="00B82005"/>
    <w:rsid w:val="00B8650B"/>
    <w:rsid w:val="00B86ED4"/>
    <w:rsid w:val="00B9107D"/>
    <w:rsid w:val="00B923DC"/>
    <w:rsid w:val="00B94237"/>
    <w:rsid w:val="00BB39FB"/>
    <w:rsid w:val="00BB574D"/>
    <w:rsid w:val="00BC025C"/>
    <w:rsid w:val="00BF2E73"/>
    <w:rsid w:val="00C006B4"/>
    <w:rsid w:val="00C07A00"/>
    <w:rsid w:val="00C143B2"/>
    <w:rsid w:val="00C1556C"/>
    <w:rsid w:val="00C206DE"/>
    <w:rsid w:val="00C24484"/>
    <w:rsid w:val="00C307AB"/>
    <w:rsid w:val="00C41D59"/>
    <w:rsid w:val="00C42692"/>
    <w:rsid w:val="00C4502B"/>
    <w:rsid w:val="00C4547F"/>
    <w:rsid w:val="00C612FA"/>
    <w:rsid w:val="00C71181"/>
    <w:rsid w:val="00C76C94"/>
    <w:rsid w:val="00C77A9E"/>
    <w:rsid w:val="00CA2AD5"/>
    <w:rsid w:val="00CD3692"/>
    <w:rsid w:val="00CE0D17"/>
    <w:rsid w:val="00CF6849"/>
    <w:rsid w:val="00D14F4A"/>
    <w:rsid w:val="00D267B0"/>
    <w:rsid w:val="00D31F66"/>
    <w:rsid w:val="00D6257E"/>
    <w:rsid w:val="00D6294D"/>
    <w:rsid w:val="00D727B4"/>
    <w:rsid w:val="00D76DCA"/>
    <w:rsid w:val="00D7725E"/>
    <w:rsid w:val="00D97456"/>
    <w:rsid w:val="00DB6997"/>
    <w:rsid w:val="00DC1B4D"/>
    <w:rsid w:val="00DD20B0"/>
    <w:rsid w:val="00DF18F3"/>
    <w:rsid w:val="00DF58CB"/>
    <w:rsid w:val="00E0485C"/>
    <w:rsid w:val="00E05113"/>
    <w:rsid w:val="00E0540C"/>
    <w:rsid w:val="00E05823"/>
    <w:rsid w:val="00E22DED"/>
    <w:rsid w:val="00E251C6"/>
    <w:rsid w:val="00E4184D"/>
    <w:rsid w:val="00E47444"/>
    <w:rsid w:val="00E74FF6"/>
    <w:rsid w:val="00E825AF"/>
    <w:rsid w:val="00EA0ADF"/>
    <w:rsid w:val="00EA1CF8"/>
    <w:rsid w:val="00EA2452"/>
    <w:rsid w:val="00EA5AA0"/>
    <w:rsid w:val="00EA5C4B"/>
    <w:rsid w:val="00EC3E7F"/>
    <w:rsid w:val="00EE3ECC"/>
    <w:rsid w:val="00EF335F"/>
    <w:rsid w:val="00F01CEA"/>
    <w:rsid w:val="00F070E6"/>
    <w:rsid w:val="00F10FFC"/>
    <w:rsid w:val="00F24E72"/>
    <w:rsid w:val="00F441CD"/>
    <w:rsid w:val="00F470EA"/>
    <w:rsid w:val="00F55DB0"/>
    <w:rsid w:val="00F666E7"/>
    <w:rsid w:val="00F720A8"/>
    <w:rsid w:val="00F909A1"/>
    <w:rsid w:val="00F931AD"/>
    <w:rsid w:val="00FA7485"/>
    <w:rsid w:val="00FB03B8"/>
    <w:rsid w:val="00FB0584"/>
    <w:rsid w:val="00FC2089"/>
    <w:rsid w:val="00FC55A8"/>
    <w:rsid w:val="00FD20DB"/>
    <w:rsid w:val="00FD6A8F"/>
    <w:rsid w:val="00FD7503"/>
    <w:rsid w:val="00FE2CB5"/>
    <w:rsid w:val="00FF04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6743B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44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Title"/>
    <w:basedOn w:val="Normal"/>
    <w:next w:val="Normal"/>
    <w:link w:val="TableTitleChar"/>
    <w:rsid w:val="0054744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54744B"/>
    <w:rPr>
      <w:rFonts w:ascii="Arial" w:eastAsia="MS Mincho" w:hAnsi="Arial" w:cs="Times New Roman"/>
      <w:b/>
      <w:noProof/>
      <w:szCs w:val="20"/>
    </w:rPr>
  </w:style>
  <w:style w:type="character" w:customStyle="1" w:styleId="InstructionsTabelleberschrift">
    <w:name w:val="Instructions Tabelle Überschrift"/>
    <w:qFormat/>
    <w:rsid w:val="00BB39FB"/>
    <w:rPr>
      <w:rFonts w:ascii="Verdana" w:hAnsi="Verdana" w:cs="Times New Roman"/>
      <w:b/>
      <w:bCs/>
      <w:sz w:val="20"/>
      <w:u w:val="single"/>
    </w:rPr>
  </w:style>
  <w:style w:type="character" w:customStyle="1" w:styleId="InstructionsTabelleText">
    <w:name w:val="Instructions Tabelle Text"/>
    <w:rsid w:val="00BB39FB"/>
    <w:rPr>
      <w:rFonts w:ascii="Verdana" w:hAnsi="Verdana" w:cs="Times New Roman"/>
      <w:sz w:val="20"/>
    </w:rPr>
  </w:style>
  <w:style w:type="paragraph" w:customStyle="1" w:styleId="InstructionsText2">
    <w:name w:val="Instructions Text 2"/>
    <w:basedOn w:val="Normal"/>
    <w:qFormat/>
    <w:rsid w:val="002B52BC"/>
    <w:pPr>
      <w:numPr>
        <w:numId w:val="2"/>
      </w:numPr>
      <w:spacing w:after="240"/>
      <w:jc w:val="both"/>
    </w:pPr>
    <w:rPr>
      <w:rFonts w:ascii="Times New Roman" w:eastAsia="Times New Roman" w:hAnsi="Times New Roman" w:cs="Times New Roman"/>
      <w:sz w:val="24"/>
      <w:lang w:eastAsia="de-DE"/>
    </w:rPr>
  </w:style>
  <w:style w:type="character" w:styleId="CommentReference">
    <w:name w:val="annotation reference"/>
    <w:basedOn w:val="DefaultParagraphFont"/>
    <w:uiPriority w:val="99"/>
    <w:semiHidden/>
    <w:unhideWhenUsed/>
    <w:rsid w:val="00E05823"/>
    <w:rPr>
      <w:sz w:val="16"/>
      <w:szCs w:val="16"/>
    </w:rPr>
  </w:style>
  <w:style w:type="paragraph" w:styleId="CommentText">
    <w:name w:val="annotation text"/>
    <w:basedOn w:val="Normal"/>
    <w:link w:val="CommentTextChar"/>
    <w:uiPriority w:val="99"/>
    <w:unhideWhenUsed/>
    <w:rsid w:val="00E05823"/>
    <w:rPr>
      <w:sz w:val="20"/>
      <w:szCs w:val="20"/>
    </w:rPr>
  </w:style>
  <w:style w:type="character" w:customStyle="1" w:styleId="CommentTextChar">
    <w:name w:val="Comment Text Char"/>
    <w:basedOn w:val="DefaultParagraphFont"/>
    <w:link w:val="CommentText"/>
    <w:uiPriority w:val="99"/>
    <w:rsid w:val="00E05823"/>
    <w:rPr>
      <w:rFonts w:eastAsiaTheme="minorEastAsia"/>
      <w:sz w:val="20"/>
      <w:szCs w:val="20"/>
      <w:lang w:val="lv-LV"/>
    </w:rPr>
  </w:style>
  <w:style w:type="paragraph" w:styleId="CommentSubject">
    <w:name w:val="annotation subject"/>
    <w:basedOn w:val="CommentText"/>
    <w:next w:val="CommentText"/>
    <w:link w:val="CommentSubjectChar"/>
    <w:uiPriority w:val="99"/>
    <w:semiHidden/>
    <w:unhideWhenUsed/>
    <w:rsid w:val="00E05823"/>
    <w:rPr>
      <w:b/>
      <w:bCs/>
    </w:rPr>
  </w:style>
  <w:style w:type="character" w:customStyle="1" w:styleId="CommentSubjectChar">
    <w:name w:val="Comment Subject Char"/>
    <w:basedOn w:val="CommentTextChar"/>
    <w:link w:val="CommentSubject"/>
    <w:uiPriority w:val="99"/>
    <w:semiHidden/>
    <w:rsid w:val="00E05823"/>
    <w:rPr>
      <w:rFonts w:eastAsiaTheme="minorEastAsia"/>
      <w:b/>
      <w:bCs/>
      <w:sz w:val="20"/>
      <w:szCs w:val="20"/>
      <w:lang w:val="lv-LV"/>
    </w:rPr>
  </w:style>
  <w:style w:type="paragraph" w:styleId="BalloonText">
    <w:name w:val="Balloon Text"/>
    <w:basedOn w:val="Normal"/>
    <w:link w:val="BalloonTextChar"/>
    <w:uiPriority w:val="99"/>
    <w:semiHidden/>
    <w:unhideWhenUsed/>
    <w:rsid w:val="00E058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823"/>
    <w:rPr>
      <w:rFonts w:ascii="Segoe UI" w:eastAsiaTheme="minorEastAsia" w:hAnsi="Segoe UI" w:cs="Segoe UI"/>
      <w:sz w:val="18"/>
      <w:szCs w:val="18"/>
      <w:lang w:val="lv-LV"/>
    </w:rPr>
  </w:style>
  <w:style w:type="paragraph" w:styleId="ListParagraph">
    <w:name w:val="List Paragraph"/>
    <w:basedOn w:val="Normal"/>
    <w:uiPriority w:val="34"/>
    <w:qFormat/>
    <w:rsid w:val="00A81E4E"/>
    <w:pPr>
      <w:ind w:left="720"/>
      <w:contextualSpacing/>
    </w:pPr>
  </w:style>
  <w:style w:type="paragraph" w:customStyle="1" w:styleId="Annexetitre">
    <w:name w:val="Annexe titre"/>
    <w:basedOn w:val="Normal"/>
    <w:next w:val="Normal"/>
    <w:rsid w:val="006A78BA"/>
    <w:pPr>
      <w:spacing w:before="120" w:after="120"/>
      <w:jc w:val="center"/>
    </w:pPr>
    <w:rPr>
      <w:rFonts w:ascii="Times New Roman" w:eastAsia="Times New Roman" w:hAnsi="Times New Roman" w:cs="Times New Roman"/>
      <w:b/>
      <w:sz w:val="24"/>
      <w:u w:val="single"/>
    </w:rPr>
  </w:style>
  <w:style w:type="paragraph" w:customStyle="1" w:styleId="CM1">
    <w:name w:val="CM1"/>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customStyle="1" w:styleId="CM3">
    <w:name w:val="CM3"/>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styleId="Revision">
    <w:name w:val="Revision"/>
    <w:hidden/>
    <w:uiPriority w:val="99"/>
    <w:semiHidden/>
    <w:rsid w:val="00F441CD"/>
    <w:pPr>
      <w:spacing w:after="0" w:line="240" w:lineRule="auto"/>
    </w:pPr>
    <w:rPr>
      <w:rFonts w:eastAsiaTheme="minorEastAsia"/>
      <w:szCs w:val="24"/>
    </w:rPr>
  </w:style>
  <w:style w:type="character" w:styleId="Hyperlink">
    <w:name w:val="Hyperlink"/>
    <w:basedOn w:val="DefaultParagraphFont"/>
    <w:uiPriority w:val="99"/>
    <w:semiHidden/>
    <w:unhideWhenUsed/>
    <w:rsid w:val="00616CF0"/>
    <w:rPr>
      <w:color w:val="0000FF"/>
      <w:u w:val="single"/>
    </w:rPr>
  </w:style>
  <w:style w:type="paragraph" w:styleId="Header">
    <w:name w:val="header"/>
    <w:basedOn w:val="Normal"/>
    <w:link w:val="HeaderChar"/>
    <w:uiPriority w:val="99"/>
    <w:unhideWhenUsed/>
    <w:rsid w:val="004B327C"/>
    <w:pPr>
      <w:tabs>
        <w:tab w:val="center" w:pos="4680"/>
        <w:tab w:val="right" w:pos="9360"/>
      </w:tabs>
    </w:pPr>
  </w:style>
  <w:style w:type="character" w:customStyle="1" w:styleId="HeaderChar">
    <w:name w:val="Header Char"/>
    <w:basedOn w:val="DefaultParagraphFont"/>
    <w:link w:val="Header"/>
    <w:uiPriority w:val="99"/>
    <w:rsid w:val="004B327C"/>
    <w:rPr>
      <w:rFonts w:eastAsiaTheme="minorEastAsia"/>
      <w:szCs w:val="24"/>
    </w:rPr>
  </w:style>
  <w:style w:type="paragraph" w:styleId="Footer">
    <w:name w:val="footer"/>
    <w:basedOn w:val="Normal"/>
    <w:link w:val="FooterChar"/>
    <w:uiPriority w:val="99"/>
    <w:unhideWhenUsed/>
    <w:rsid w:val="004B327C"/>
    <w:pPr>
      <w:tabs>
        <w:tab w:val="center" w:pos="4680"/>
        <w:tab w:val="right" w:pos="9360"/>
      </w:tabs>
    </w:pPr>
  </w:style>
  <w:style w:type="character" w:customStyle="1" w:styleId="FooterChar">
    <w:name w:val="Footer Char"/>
    <w:basedOn w:val="DefaultParagraphFont"/>
    <w:link w:val="Footer"/>
    <w:uiPriority w:val="99"/>
    <w:rsid w:val="004B327C"/>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194359">
      <w:bodyDiv w:val="1"/>
      <w:marLeft w:val="0"/>
      <w:marRight w:val="0"/>
      <w:marTop w:val="0"/>
      <w:marBottom w:val="0"/>
      <w:divBdr>
        <w:top w:val="none" w:sz="0" w:space="0" w:color="auto"/>
        <w:left w:val="none" w:sz="0" w:space="0" w:color="auto"/>
        <w:bottom w:val="none" w:sz="0" w:space="0" w:color="auto"/>
        <w:right w:val="none" w:sz="0" w:space="0" w:color="auto"/>
      </w:divBdr>
    </w:div>
    <w:div w:id="188043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9A7153-8381-41E6-B52D-20FA0B8D4F22}">
  <ds:schemaRefs>
    <ds:schemaRef ds:uri="http://schemas.openxmlformats.org/officeDocument/2006/bibliography"/>
  </ds:schemaRefs>
</ds:datastoreItem>
</file>

<file path=customXml/itemProps2.xml><?xml version="1.0" encoding="utf-8"?>
<ds:datastoreItem xmlns:ds="http://schemas.openxmlformats.org/officeDocument/2006/customXml" ds:itemID="{51A63A61-8FCF-4CD7-AD5D-AA6E9A8963CB}"/>
</file>

<file path=customXml/itemProps3.xml><?xml version="1.0" encoding="utf-8"?>
<ds:datastoreItem xmlns:ds="http://schemas.openxmlformats.org/officeDocument/2006/customXml" ds:itemID="{FF940D68-2BEF-4902-B512-F0445BD0ED57}"/>
</file>

<file path=customXml/itemProps4.xml><?xml version="1.0" encoding="utf-8"?>
<ds:datastoreItem xmlns:ds="http://schemas.openxmlformats.org/officeDocument/2006/customXml" ds:itemID="{B61448B4-05F7-42B1-9369-E8EC04F2723D}"/>
</file>

<file path=docProps/app.xml><?xml version="1.0" encoding="utf-8"?>
<Properties xmlns="http://schemas.openxmlformats.org/officeDocument/2006/extended-properties" xmlns:vt="http://schemas.openxmlformats.org/officeDocument/2006/docPropsVTypes">
  <Template>Normal</Template>
  <TotalTime>0</TotalTime>
  <Pages>5</Pages>
  <Words>1599</Words>
  <Characters>10719</Characters>
  <Application>Microsoft Office Word</Application>
  <DocSecurity>0</DocSecurity>
  <Lines>249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2022-01-27T09:43:00Z</dcterms:created>
  <dcterms:modified xsi:type="dcterms:W3CDTF">2024-10-18T12:50:00Z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