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4E002576" w:rsidR="001A67EA" w:rsidRPr="006B02A0" w:rsidRDefault="001A67EA" w:rsidP="001A67EA">
      <w:pPr>
        <w:pStyle w:val="Annexetitre"/>
        <w:spacing w:before="0"/>
      </w:pPr>
      <w:r w:rsidRPr="006B02A0">
        <w:t>PRÍLOHA XVIII – Zverejňovanie informácií</w:t>
      </w:r>
      <w:r w:rsidR="006B02A0">
        <w:t xml:space="preserve"> o </w:t>
      </w:r>
      <w:r w:rsidRPr="006B02A0">
        <w:t>používaní postupov zmierňovania kreditného rizika</w:t>
      </w:r>
    </w:p>
    <w:p w14:paraId="180377CB" w14:textId="77777777" w:rsidR="001A67EA" w:rsidRPr="006B02A0" w:rsidRDefault="001A67EA" w:rsidP="001A67EA">
      <w:pPr>
        <w:spacing w:after="120"/>
        <w:rPr>
          <w:rFonts w:ascii="Times New Roman" w:hAnsi="Times New Roman" w:cs="Times New Roman"/>
          <w:sz w:val="24"/>
        </w:rPr>
      </w:pPr>
    </w:p>
    <w:p w14:paraId="58177053" w14:textId="77777777" w:rsidR="001A67EA" w:rsidRPr="006B02A0" w:rsidRDefault="001A67EA" w:rsidP="001A67EA">
      <w:pPr>
        <w:spacing w:after="120"/>
        <w:rPr>
          <w:rFonts w:ascii="Times New Roman" w:hAnsi="Times New Roman"/>
          <w:sz w:val="24"/>
        </w:rPr>
      </w:pPr>
      <w:r w:rsidRPr="006B02A0">
        <w:rPr>
          <w:rFonts w:ascii="Times New Roman" w:hAnsi="Times New Roman"/>
          <w:b/>
          <w:sz w:val="24"/>
        </w:rPr>
        <w:t>Tabuľka EU CRC – Požiadavky na zverejňovanie kvalitatívnych informácií týkajúcich sa postupov zmierňovania kreditného rizika. Flexibilná tabuľka</w:t>
      </w:r>
    </w:p>
    <w:p w14:paraId="163D083B" w14:textId="4E02D2CA" w:rsidR="001A67EA" w:rsidRPr="006B02A0" w:rsidRDefault="001A67EA" w:rsidP="001A67EA">
      <w:pPr>
        <w:spacing w:after="120"/>
        <w:jc w:val="both"/>
        <w:rPr>
          <w:rFonts w:ascii="Times New Roman" w:hAnsi="Times New Roman" w:cs="Times New Roman"/>
          <w:sz w:val="24"/>
        </w:rPr>
      </w:pPr>
      <w:r w:rsidRPr="006B02A0">
        <w:rPr>
          <w:rFonts w:ascii="Times New Roman" w:hAnsi="Times New Roman"/>
          <w:sz w:val="24"/>
        </w:rPr>
        <w:t>Inštitúcie zverejňujú informácie uvedené</w:t>
      </w:r>
      <w:r w:rsidR="006B02A0">
        <w:rPr>
          <w:rFonts w:ascii="Times New Roman" w:hAnsi="Times New Roman"/>
          <w:sz w:val="24"/>
        </w:rPr>
        <w:t xml:space="preserve"> v </w:t>
      </w:r>
      <w:r w:rsidRPr="006B02A0">
        <w:rPr>
          <w:rFonts w:ascii="Times New Roman" w:hAnsi="Times New Roman"/>
          <w:sz w:val="24"/>
        </w:rPr>
        <w:t xml:space="preserve">článku 453 písm. a) až e) nariadenia (EÚ) </w:t>
      </w:r>
      <w:r w:rsidR="006B02A0">
        <w:rPr>
          <w:rFonts w:ascii="Times New Roman" w:hAnsi="Times New Roman"/>
          <w:sz w:val="24"/>
        </w:rPr>
        <w:t>č. </w:t>
      </w:r>
      <w:r w:rsidRPr="006B02A0">
        <w:rPr>
          <w:rFonts w:ascii="Times New Roman" w:hAnsi="Times New Roman"/>
          <w:sz w:val="24"/>
        </w:rPr>
        <w:t>575/2013</w:t>
      </w:r>
      <w:r w:rsidRPr="006B02A0">
        <w:rPr>
          <w:rStyle w:val="FootnoteReference"/>
          <w:rFonts w:ascii="Times New Roman" w:hAnsi="Times New Roman" w:cs="Times New Roman"/>
          <w:sz w:val="24"/>
        </w:rPr>
        <w:footnoteReference w:id="1"/>
      </w:r>
      <w:r w:rsidRPr="006B02A0">
        <w:rPr>
          <w:rFonts w:ascii="Times New Roman" w:hAnsi="Times New Roman"/>
          <w:sz w:val="24"/>
        </w:rPr>
        <w:t xml:space="preserve"> („CRR“) podľa pokynov uvedených nižšie</w:t>
      </w:r>
      <w:r w:rsidR="006B02A0">
        <w:rPr>
          <w:rFonts w:ascii="Times New Roman" w:hAnsi="Times New Roman"/>
          <w:sz w:val="24"/>
        </w:rPr>
        <w:t xml:space="preserve"> v </w:t>
      </w:r>
      <w:r w:rsidRPr="006B02A0">
        <w:rPr>
          <w:rFonts w:ascii="Times New Roman" w:hAnsi="Times New Roman"/>
          <w:sz w:val="24"/>
        </w:rPr>
        <w:t>tejto prílohe</w:t>
      </w:r>
      <w:r w:rsidR="006B02A0">
        <w:rPr>
          <w:rFonts w:ascii="Times New Roman" w:hAnsi="Times New Roman"/>
          <w:sz w:val="24"/>
        </w:rPr>
        <w:t xml:space="preserve"> s </w:t>
      </w:r>
      <w:r w:rsidRPr="006B02A0">
        <w:rPr>
          <w:rFonts w:ascii="Times New Roman" w:hAnsi="Times New Roman"/>
          <w:sz w:val="24"/>
        </w:rPr>
        <w:t>cieľom vyplniť vzor EU CRC, ktorý je uvedený</w:t>
      </w:r>
      <w:r w:rsidR="006B02A0">
        <w:rPr>
          <w:rFonts w:ascii="Times New Roman" w:hAnsi="Times New Roman"/>
          <w:sz w:val="24"/>
        </w:rPr>
        <w:t xml:space="preserve"> v </w:t>
      </w:r>
      <w:r w:rsidRPr="006B02A0">
        <w:rPr>
          <w:rFonts w:ascii="Times New Roman" w:hAnsi="Times New Roman"/>
          <w:sz w:val="24"/>
        </w:rPr>
        <w:t>prílohe XVII dokumentu</w:t>
      </w:r>
      <w:r w:rsidR="006B02A0">
        <w:rPr>
          <w:rFonts w:ascii="Times New Roman" w:hAnsi="Times New Roman"/>
          <w:sz w:val="24"/>
        </w:rPr>
        <w:t xml:space="preserve"> s </w:t>
      </w:r>
      <w:r w:rsidRPr="006B02A0">
        <w:rPr>
          <w:rFonts w:ascii="Times New Roman" w:hAnsi="Times New Roman"/>
          <w:sz w:val="24"/>
        </w:rPr>
        <w:t>IT riešeniami orgánu EBA.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6B02A0"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6B02A0" w:rsidRDefault="001A67EA" w:rsidP="004F3087">
            <w:pPr>
              <w:autoSpaceDE w:val="0"/>
              <w:autoSpaceDN w:val="0"/>
              <w:adjustRightInd w:val="0"/>
              <w:spacing w:after="120"/>
              <w:rPr>
                <w:rFonts w:ascii="Times New Roman" w:hAnsi="Times New Roman" w:cs="Times New Roman"/>
                <w:b/>
                <w:sz w:val="24"/>
              </w:rPr>
            </w:pPr>
            <w:r w:rsidRPr="006B02A0">
              <w:rPr>
                <w:rFonts w:ascii="Times New Roman" w:hAnsi="Times New Roman"/>
                <w:b/>
                <w:sz w:val="24"/>
              </w:rPr>
              <w:t>Riadok</w:t>
            </w:r>
          </w:p>
          <w:p w14:paraId="2309F288" w14:textId="77777777" w:rsidR="001A67EA" w:rsidRPr="006B02A0" w:rsidRDefault="001A67EA" w:rsidP="004F3087">
            <w:pPr>
              <w:autoSpaceDE w:val="0"/>
              <w:autoSpaceDN w:val="0"/>
              <w:adjustRightInd w:val="0"/>
              <w:spacing w:after="120"/>
              <w:rPr>
                <w:rFonts w:ascii="Times New Roman" w:hAnsi="Times New Roman" w:cs="Times New Roman"/>
                <w:b/>
                <w:sz w:val="24"/>
              </w:rPr>
            </w:pPr>
            <w:r w:rsidRPr="006B02A0">
              <w:rPr>
                <w:rFonts w:ascii="Times New Roman" w:hAnsi="Times New Roman"/>
                <w:b/>
                <w:sz w:val="24"/>
              </w:rPr>
              <w:t>odkaz</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26BC4BD3" w:rsidR="001A67EA" w:rsidRPr="006B02A0" w:rsidRDefault="001A67EA" w:rsidP="004F3087">
            <w:pPr>
              <w:spacing w:after="120"/>
              <w:rPr>
                <w:rFonts w:ascii="Times New Roman" w:hAnsi="Times New Roman" w:cs="Times New Roman"/>
                <w:b/>
                <w:sz w:val="24"/>
              </w:rPr>
            </w:pPr>
            <w:r w:rsidRPr="006B02A0">
              <w:rPr>
                <w:rFonts w:ascii="Times New Roman" w:hAnsi="Times New Roman"/>
                <w:b/>
                <w:sz w:val="24"/>
              </w:rPr>
              <w:t>Odkazy na právne predpisy</w:t>
            </w:r>
            <w:r w:rsidR="006B02A0">
              <w:rPr>
                <w:rFonts w:ascii="Times New Roman" w:hAnsi="Times New Roman"/>
                <w:b/>
                <w:sz w:val="24"/>
              </w:rPr>
              <w:t xml:space="preserve"> a </w:t>
            </w:r>
            <w:r w:rsidRPr="006B02A0">
              <w:rPr>
                <w:rFonts w:ascii="Times New Roman" w:hAnsi="Times New Roman"/>
                <w:b/>
                <w:sz w:val="24"/>
              </w:rPr>
              <w:t>pokyny</w:t>
            </w:r>
          </w:p>
        </w:tc>
      </w:tr>
      <w:tr w:rsidR="001A67EA" w:rsidRPr="006B02A0"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6B02A0"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6B02A0" w:rsidRDefault="001A67EA" w:rsidP="004F3087">
            <w:pPr>
              <w:spacing w:after="120"/>
              <w:rPr>
                <w:rFonts w:ascii="Times New Roman" w:hAnsi="Times New Roman" w:cs="Times New Roman"/>
                <w:b/>
                <w:sz w:val="24"/>
              </w:rPr>
            </w:pPr>
            <w:r w:rsidRPr="006B02A0">
              <w:rPr>
                <w:rFonts w:ascii="Times New Roman" w:hAnsi="Times New Roman"/>
                <w:b/>
                <w:sz w:val="24"/>
              </w:rPr>
              <w:t>Vysvetlenie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87"/>
        <w:gridCol w:w="1003"/>
        <w:gridCol w:w="6682"/>
      </w:tblGrid>
      <w:tr w:rsidR="001A67EA" w:rsidRPr="006B02A0"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color w:val="000000"/>
                <w:sz w:val="24"/>
                <w:lang w:val="sk-SK"/>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Článok 453 písm. a)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26C66256"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Inštitúcie pri zverejňovaní informácií</w:t>
            </w:r>
            <w:r w:rsidR="006B02A0">
              <w:rPr>
                <w:rFonts w:ascii="Times New Roman" w:hAnsi="Times New Roman"/>
                <w:sz w:val="24"/>
                <w:lang w:val="sk-SK"/>
              </w:rPr>
              <w:t xml:space="preserve"> o </w:t>
            </w:r>
            <w:r w:rsidRPr="006B02A0">
              <w:rPr>
                <w:rFonts w:ascii="Times New Roman" w:hAnsi="Times New Roman"/>
                <w:sz w:val="24"/>
                <w:lang w:val="sk-SK"/>
              </w:rPr>
              <w:t>svojich politikách vzájomného započítavania</w:t>
            </w:r>
            <w:r w:rsidR="006B02A0">
              <w:rPr>
                <w:rFonts w:ascii="Times New Roman" w:hAnsi="Times New Roman"/>
                <w:sz w:val="24"/>
                <w:lang w:val="sk-SK"/>
              </w:rPr>
              <w:t xml:space="preserve"> a </w:t>
            </w:r>
            <w:r w:rsidRPr="006B02A0">
              <w:rPr>
                <w:rFonts w:ascii="Times New Roman" w:hAnsi="Times New Roman"/>
                <w:sz w:val="24"/>
                <w:lang w:val="sk-SK"/>
              </w:rPr>
              <w:t>využívaní vzájomného započítavania</w:t>
            </w:r>
            <w:r w:rsidR="006B02A0">
              <w:rPr>
                <w:rFonts w:ascii="Times New Roman" w:hAnsi="Times New Roman"/>
                <w:sz w:val="24"/>
                <w:lang w:val="sk-SK"/>
              </w:rPr>
              <w:t xml:space="preserve"> v </w:t>
            </w:r>
            <w:r w:rsidRPr="006B02A0">
              <w:rPr>
                <w:rFonts w:ascii="Times New Roman" w:hAnsi="Times New Roman"/>
                <w:sz w:val="24"/>
                <w:lang w:val="sk-SK"/>
              </w:rPr>
              <w:t>súlade</w:t>
            </w:r>
            <w:r w:rsidR="006B02A0">
              <w:rPr>
                <w:rFonts w:ascii="Times New Roman" w:hAnsi="Times New Roman"/>
                <w:sz w:val="24"/>
                <w:lang w:val="sk-SK"/>
              </w:rPr>
              <w:t xml:space="preserve"> s </w:t>
            </w:r>
            <w:r w:rsidRPr="006B02A0">
              <w:rPr>
                <w:rFonts w:ascii="Times New Roman" w:hAnsi="Times New Roman"/>
                <w:sz w:val="24"/>
                <w:lang w:val="sk-SK"/>
              </w:rPr>
              <w:t>článkom 453 písm. a) CRR poskytujú jasný opis politík</w:t>
            </w:r>
            <w:r w:rsidR="006B02A0">
              <w:rPr>
                <w:rFonts w:ascii="Times New Roman" w:hAnsi="Times New Roman"/>
                <w:sz w:val="24"/>
                <w:lang w:val="sk-SK"/>
              </w:rPr>
              <w:t xml:space="preserve"> a </w:t>
            </w:r>
            <w:r w:rsidRPr="006B02A0">
              <w:rPr>
                <w:rFonts w:ascii="Times New Roman" w:hAnsi="Times New Roman"/>
                <w:sz w:val="24"/>
                <w:lang w:val="sk-SK"/>
              </w:rPr>
              <w:t>postupov zmierňovania kreditného rizika týkajúcich sa vzájomného započítavania</w:t>
            </w:r>
            <w:r w:rsidR="006B02A0">
              <w:rPr>
                <w:rFonts w:ascii="Times New Roman" w:hAnsi="Times New Roman"/>
                <w:sz w:val="24"/>
                <w:lang w:val="sk-SK"/>
              </w:rPr>
              <w:t xml:space="preserve"> v </w:t>
            </w:r>
            <w:r w:rsidRPr="006B02A0">
              <w:rPr>
                <w:rFonts w:ascii="Times New Roman" w:hAnsi="Times New Roman"/>
                <w:sz w:val="24"/>
                <w:lang w:val="sk-SK"/>
              </w:rPr>
              <w:t>súvahe</w:t>
            </w:r>
            <w:r w:rsidR="006B02A0">
              <w:rPr>
                <w:rFonts w:ascii="Times New Roman" w:hAnsi="Times New Roman"/>
                <w:sz w:val="24"/>
                <w:lang w:val="sk-SK"/>
              </w:rPr>
              <w:t xml:space="preserve"> a </w:t>
            </w:r>
            <w:proofErr w:type="spellStart"/>
            <w:r w:rsidRPr="006B02A0">
              <w:rPr>
                <w:rFonts w:ascii="Times New Roman" w:hAnsi="Times New Roman"/>
                <w:sz w:val="24"/>
                <w:lang w:val="sk-SK"/>
              </w:rPr>
              <w:t>podsúvahe</w:t>
            </w:r>
            <w:proofErr w:type="spellEnd"/>
            <w:r w:rsidR="006B02A0">
              <w:rPr>
                <w:rFonts w:ascii="Times New Roman" w:hAnsi="Times New Roman"/>
                <w:sz w:val="24"/>
                <w:lang w:val="sk-SK"/>
              </w:rPr>
              <w:t xml:space="preserve"> a </w:t>
            </w:r>
            <w:r w:rsidRPr="006B02A0">
              <w:rPr>
                <w:rFonts w:ascii="Times New Roman" w:hAnsi="Times New Roman"/>
                <w:sz w:val="24"/>
                <w:lang w:val="sk-SK"/>
              </w:rPr>
              <w:t>rámcových dohôd</w:t>
            </w:r>
            <w:r w:rsidR="006B02A0">
              <w:rPr>
                <w:rFonts w:ascii="Times New Roman" w:hAnsi="Times New Roman"/>
                <w:sz w:val="24"/>
                <w:lang w:val="sk-SK"/>
              </w:rPr>
              <w:t xml:space="preserve"> o </w:t>
            </w:r>
            <w:r w:rsidRPr="006B02A0">
              <w:rPr>
                <w:rFonts w:ascii="Times New Roman" w:hAnsi="Times New Roman"/>
                <w:sz w:val="24"/>
                <w:lang w:val="sk-SK"/>
              </w:rPr>
              <w:t>vzájomnom započítavaní. Takisto uvádzajú, do akej miery sa vzájomné započítavanie</w:t>
            </w:r>
            <w:r w:rsidR="006B02A0">
              <w:rPr>
                <w:rFonts w:ascii="Times New Roman" w:hAnsi="Times New Roman"/>
                <w:sz w:val="24"/>
                <w:lang w:val="sk-SK"/>
              </w:rPr>
              <w:t xml:space="preserve"> v </w:t>
            </w:r>
            <w:r w:rsidRPr="006B02A0">
              <w:rPr>
                <w:rFonts w:ascii="Times New Roman" w:hAnsi="Times New Roman"/>
                <w:sz w:val="24"/>
                <w:lang w:val="sk-SK"/>
              </w:rPr>
              <w:t>súvahe</w:t>
            </w:r>
            <w:r w:rsidR="006B02A0">
              <w:rPr>
                <w:rFonts w:ascii="Times New Roman" w:hAnsi="Times New Roman"/>
                <w:sz w:val="24"/>
                <w:lang w:val="sk-SK"/>
              </w:rPr>
              <w:t xml:space="preserve"> a </w:t>
            </w:r>
            <w:proofErr w:type="spellStart"/>
            <w:r w:rsidRPr="006B02A0">
              <w:rPr>
                <w:rFonts w:ascii="Times New Roman" w:hAnsi="Times New Roman"/>
                <w:sz w:val="24"/>
                <w:lang w:val="sk-SK"/>
              </w:rPr>
              <w:t>podsúvahe</w:t>
            </w:r>
            <w:proofErr w:type="spellEnd"/>
            <w:r w:rsidR="006B02A0">
              <w:rPr>
                <w:rFonts w:ascii="Times New Roman" w:hAnsi="Times New Roman"/>
                <w:sz w:val="24"/>
                <w:lang w:val="sk-SK"/>
              </w:rPr>
              <w:t xml:space="preserve"> a </w:t>
            </w:r>
            <w:r w:rsidRPr="006B02A0">
              <w:rPr>
                <w:rFonts w:ascii="Times New Roman" w:hAnsi="Times New Roman"/>
                <w:sz w:val="24"/>
                <w:lang w:val="sk-SK"/>
              </w:rPr>
              <w:t>rámcové dohody</w:t>
            </w:r>
            <w:r w:rsidR="006B02A0">
              <w:rPr>
                <w:rFonts w:ascii="Times New Roman" w:hAnsi="Times New Roman"/>
                <w:sz w:val="24"/>
                <w:lang w:val="sk-SK"/>
              </w:rPr>
              <w:t xml:space="preserve"> o </w:t>
            </w:r>
            <w:r w:rsidRPr="006B02A0">
              <w:rPr>
                <w:rFonts w:ascii="Times New Roman" w:hAnsi="Times New Roman"/>
                <w:sz w:val="24"/>
                <w:lang w:val="sk-SK"/>
              </w:rPr>
              <w:t>vzájomnom započítavaní využívali, ako aj ich dôležitosť</w:t>
            </w:r>
            <w:r w:rsidR="006B02A0">
              <w:rPr>
                <w:rFonts w:ascii="Times New Roman" w:hAnsi="Times New Roman"/>
                <w:sz w:val="24"/>
                <w:lang w:val="sk-SK"/>
              </w:rPr>
              <w:t xml:space="preserve"> v </w:t>
            </w:r>
            <w:r w:rsidRPr="006B02A0">
              <w:rPr>
                <w:rFonts w:ascii="Times New Roman" w:hAnsi="Times New Roman"/>
                <w:sz w:val="24"/>
                <w:lang w:val="sk-SK"/>
              </w:rPr>
              <w:t>súvislosti</w:t>
            </w:r>
            <w:r w:rsidR="006B02A0">
              <w:rPr>
                <w:rFonts w:ascii="Times New Roman" w:hAnsi="Times New Roman"/>
                <w:sz w:val="24"/>
                <w:lang w:val="sk-SK"/>
              </w:rPr>
              <w:t xml:space="preserve"> s </w:t>
            </w:r>
            <w:r w:rsidRPr="006B02A0">
              <w:rPr>
                <w:rFonts w:ascii="Times New Roman" w:hAnsi="Times New Roman"/>
                <w:sz w:val="24"/>
                <w:lang w:val="sk-SK"/>
              </w:rPr>
              <w:t>riadením kreditného rizika. Inštitúcie by mohli uvádzať najmä podrobnosti</w:t>
            </w:r>
            <w:r w:rsidR="006B02A0">
              <w:rPr>
                <w:rFonts w:ascii="Times New Roman" w:hAnsi="Times New Roman"/>
                <w:sz w:val="24"/>
                <w:lang w:val="sk-SK"/>
              </w:rPr>
              <w:t xml:space="preserve"> o </w:t>
            </w:r>
            <w:r w:rsidRPr="006B02A0">
              <w:rPr>
                <w:rFonts w:ascii="Times New Roman" w:hAnsi="Times New Roman"/>
                <w:sz w:val="24"/>
                <w:lang w:val="sk-SK"/>
              </w:rPr>
              <w:t>používaných postupoch, ako aj</w:t>
            </w:r>
            <w:r w:rsidR="006B02A0">
              <w:rPr>
                <w:rFonts w:ascii="Times New Roman" w:hAnsi="Times New Roman"/>
                <w:sz w:val="24"/>
                <w:lang w:val="sk-SK"/>
              </w:rPr>
              <w:t xml:space="preserve"> o </w:t>
            </w:r>
            <w:r w:rsidRPr="006B02A0">
              <w:rPr>
                <w:rFonts w:ascii="Times New Roman" w:hAnsi="Times New Roman"/>
                <w:sz w:val="24"/>
                <w:lang w:val="sk-SK"/>
              </w:rPr>
              <w:t>pozíciách, na ktoré sa vzťahujú dohody</w:t>
            </w:r>
            <w:r w:rsidR="006B02A0">
              <w:rPr>
                <w:rFonts w:ascii="Times New Roman" w:hAnsi="Times New Roman"/>
                <w:sz w:val="24"/>
                <w:lang w:val="sk-SK"/>
              </w:rPr>
              <w:t xml:space="preserve"> o </w:t>
            </w:r>
            <w:r w:rsidRPr="006B02A0">
              <w:rPr>
                <w:rFonts w:ascii="Times New Roman" w:hAnsi="Times New Roman"/>
                <w:sz w:val="24"/>
                <w:lang w:val="sk-SK"/>
              </w:rPr>
              <w:t>vzájomnom započítaní</w:t>
            </w:r>
            <w:r w:rsidR="006B02A0">
              <w:rPr>
                <w:rFonts w:ascii="Times New Roman" w:hAnsi="Times New Roman"/>
                <w:sz w:val="24"/>
                <w:lang w:val="sk-SK"/>
              </w:rPr>
              <w:t xml:space="preserve"> v </w:t>
            </w:r>
            <w:r w:rsidRPr="006B02A0">
              <w:rPr>
                <w:rFonts w:ascii="Times New Roman" w:hAnsi="Times New Roman"/>
                <w:sz w:val="24"/>
                <w:lang w:val="sk-SK"/>
              </w:rPr>
              <w:t>súvahe,</w:t>
            </w:r>
            <w:r w:rsidR="006B02A0">
              <w:rPr>
                <w:rFonts w:ascii="Times New Roman" w:hAnsi="Times New Roman"/>
                <w:sz w:val="24"/>
                <w:lang w:val="sk-SK"/>
              </w:rPr>
              <w:t xml:space="preserve"> a o </w:t>
            </w:r>
            <w:r w:rsidRPr="006B02A0">
              <w:rPr>
                <w:rFonts w:ascii="Times New Roman" w:hAnsi="Times New Roman"/>
                <w:sz w:val="24"/>
                <w:lang w:val="sk-SK"/>
              </w:rPr>
              <w:t>finančných nástrojoch zahrnutých do rámcových dohôd</w:t>
            </w:r>
            <w:r w:rsidR="006B02A0">
              <w:rPr>
                <w:rFonts w:ascii="Times New Roman" w:hAnsi="Times New Roman"/>
                <w:sz w:val="24"/>
                <w:lang w:val="sk-SK"/>
              </w:rPr>
              <w:t xml:space="preserve"> o </w:t>
            </w:r>
            <w:r w:rsidRPr="006B02A0">
              <w:rPr>
                <w:rFonts w:ascii="Times New Roman" w:hAnsi="Times New Roman"/>
                <w:sz w:val="24"/>
                <w:lang w:val="sk-SK"/>
              </w:rPr>
              <w:t>vzájomnom započítavaní. Okrem toho by sa mohli opísať aj podmienky potrebné na zabezpečenie účinnosti týchto postupov</w:t>
            </w:r>
            <w:r w:rsidR="006B02A0">
              <w:rPr>
                <w:rFonts w:ascii="Times New Roman" w:hAnsi="Times New Roman"/>
                <w:sz w:val="24"/>
                <w:lang w:val="sk-SK"/>
              </w:rPr>
              <w:t xml:space="preserve"> a </w:t>
            </w:r>
            <w:r w:rsidRPr="006B02A0">
              <w:rPr>
                <w:rFonts w:ascii="Times New Roman" w:hAnsi="Times New Roman"/>
                <w:sz w:val="24"/>
                <w:lang w:val="sk-SK"/>
              </w:rPr>
              <w:t>zavedených kontrol</w:t>
            </w:r>
            <w:r w:rsidR="006B02A0">
              <w:rPr>
                <w:rFonts w:ascii="Times New Roman" w:hAnsi="Times New Roman"/>
                <w:sz w:val="24"/>
                <w:lang w:val="sk-SK"/>
              </w:rPr>
              <w:t xml:space="preserve"> v </w:t>
            </w:r>
            <w:r w:rsidRPr="006B02A0">
              <w:rPr>
                <w:rFonts w:ascii="Times New Roman" w:hAnsi="Times New Roman"/>
                <w:sz w:val="24"/>
                <w:lang w:val="sk-SK"/>
              </w:rPr>
              <w:t>súvislosti</w:t>
            </w:r>
            <w:r w:rsidR="006B02A0">
              <w:rPr>
                <w:rFonts w:ascii="Times New Roman" w:hAnsi="Times New Roman"/>
                <w:sz w:val="24"/>
                <w:lang w:val="sk-SK"/>
              </w:rPr>
              <w:t xml:space="preserve"> s </w:t>
            </w:r>
            <w:r w:rsidRPr="006B02A0">
              <w:rPr>
                <w:rFonts w:ascii="Times New Roman" w:hAnsi="Times New Roman"/>
                <w:sz w:val="24"/>
                <w:lang w:val="sk-SK"/>
              </w:rPr>
              <w:t>právnym rizikom.</w:t>
            </w:r>
          </w:p>
        </w:tc>
      </w:tr>
      <w:tr w:rsidR="001A67EA" w:rsidRPr="006B02A0" w14:paraId="088E4178" w14:textId="77777777" w:rsidTr="004F3087">
        <w:trPr>
          <w:trHeight w:val="841"/>
        </w:trPr>
        <w:tc>
          <w:tcPr>
            <w:tcW w:w="1407" w:type="dxa"/>
          </w:tcPr>
          <w:p w14:paraId="16A703B9"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color w:val="000000"/>
                <w:sz w:val="24"/>
                <w:lang w:val="sk-SK"/>
              </w:rPr>
              <w:t>b)</w:t>
            </w:r>
          </w:p>
        </w:tc>
        <w:tc>
          <w:tcPr>
            <w:tcW w:w="883" w:type="dxa"/>
          </w:tcPr>
          <w:p w14:paraId="20468003" w14:textId="77777777" w:rsidR="001A67EA" w:rsidRPr="006B02A0" w:rsidRDefault="001A67EA" w:rsidP="004F3087">
            <w:pPr>
              <w:spacing w:after="120"/>
              <w:jc w:val="both"/>
              <w:rPr>
                <w:rFonts w:ascii="Times New Roman" w:eastAsia="Times New Roman" w:hAnsi="Times New Roman" w:cs="Times New Roman"/>
                <w:iCs/>
                <w:sz w:val="24"/>
                <w:lang w:val="sk-SK"/>
              </w:rPr>
            </w:pPr>
            <w:r w:rsidRPr="006B02A0">
              <w:rPr>
                <w:rFonts w:ascii="Times New Roman" w:hAnsi="Times New Roman"/>
                <w:sz w:val="24"/>
                <w:lang w:val="sk-SK"/>
              </w:rPr>
              <w:t>Článok 453 písm. b)</w:t>
            </w:r>
          </w:p>
          <w:p w14:paraId="4BA9C895"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CRR</w:t>
            </w:r>
          </w:p>
        </w:tc>
        <w:tc>
          <w:tcPr>
            <w:tcW w:w="6782" w:type="dxa"/>
          </w:tcPr>
          <w:p w14:paraId="4B80DFA2" w14:textId="64FB3F13"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V rámci zverejňovania informácií</w:t>
            </w:r>
            <w:r w:rsidR="006B02A0">
              <w:rPr>
                <w:rFonts w:ascii="Times New Roman" w:hAnsi="Times New Roman"/>
                <w:sz w:val="24"/>
                <w:lang w:val="sk-SK"/>
              </w:rPr>
              <w:t xml:space="preserve"> o </w:t>
            </w:r>
            <w:r w:rsidRPr="006B02A0">
              <w:rPr>
                <w:rFonts w:ascii="Times New Roman" w:hAnsi="Times New Roman"/>
                <w:sz w:val="24"/>
                <w:lang w:val="sk-SK"/>
              </w:rPr>
              <w:t>hlavných charakteristikách svojich politík</w:t>
            </w:r>
            <w:r w:rsidR="006B02A0">
              <w:rPr>
                <w:rFonts w:ascii="Times New Roman" w:hAnsi="Times New Roman"/>
                <w:sz w:val="24"/>
                <w:lang w:val="sk-SK"/>
              </w:rPr>
              <w:t xml:space="preserve"> a </w:t>
            </w:r>
            <w:r w:rsidRPr="006B02A0">
              <w:rPr>
                <w:rFonts w:ascii="Times New Roman" w:hAnsi="Times New Roman"/>
                <w:sz w:val="24"/>
                <w:lang w:val="sk-SK"/>
              </w:rPr>
              <w:t>postupov pre oceňovanie</w:t>
            </w:r>
            <w:r w:rsidR="006B02A0">
              <w:rPr>
                <w:rFonts w:ascii="Times New Roman" w:hAnsi="Times New Roman"/>
                <w:sz w:val="24"/>
                <w:lang w:val="sk-SK"/>
              </w:rPr>
              <w:t xml:space="preserve"> a </w:t>
            </w:r>
            <w:r w:rsidRPr="006B02A0">
              <w:rPr>
                <w:rFonts w:ascii="Times New Roman" w:hAnsi="Times New Roman"/>
                <w:sz w:val="24"/>
                <w:lang w:val="sk-SK"/>
              </w:rPr>
              <w:t>riadenie prípustného kolaterálu</w:t>
            </w:r>
            <w:r w:rsidR="006B02A0">
              <w:rPr>
                <w:rFonts w:ascii="Times New Roman" w:hAnsi="Times New Roman"/>
                <w:sz w:val="24"/>
                <w:lang w:val="sk-SK"/>
              </w:rPr>
              <w:t xml:space="preserve"> v </w:t>
            </w:r>
            <w:r w:rsidRPr="006B02A0">
              <w:rPr>
                <w:rFonts w:ascii="Times New Roman" w:hAnsi="Times New Roman"/>
                <w:sz w:val="24"/>
                <w:lang w:val="sk-SK"/>
              </w:rPr>
              <w:t>súlade</w:t>
            </w:r>
            <w:r w:rsidR="006B02A0">
              <w:rPr>
                <w:rFonts w:ascii="Times New Roman" w:hAnsi="Times New Roman"/>
                <w:sz w:val="24"/>
                <w:lang w:val="sk-SK"/>
              </w:rPr>
              <w:t xml:space="preserve"> s </w:t>
            </w:r>
            <w:r w:rsidRPr="006B02A0">
              <w:rPr>
                <w:rFonts w:ascii="Times New Roman" w:hAnsi="Times New Roman"/>
                <w:sz w:val="24"/>
                <w:lang w:val="sk-SK"/>
              </w:rPr>
              <w:t>článkom 453 písm. b) CRR inštitúcie zverejňujú:</w:t>
            </w:r>
          </w:p>
          <w:p w14:paraId="2A102C16" w14:textId="0C77E70B"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 základ pre posudzovanie</w:t>
            </w:r>
            <w:r w:rsidR="006B02A0">
              <w:rPr>
                <w:rFonts w:ascii="Times New Roman" w:hAnsi="Times New Roman"/>
                <w:sz w:val="24"/>
                <w:lang w:val="sk-SK"/>
              </w:rPr>
              <w:t xml:space="preserve"> a </w:t>
            </w:r>
            <w:r w:rsidRPr="006B02A0">
              <w:rPr>
                <w:rFonts w:ascii="Times New Roman" w:hAnsi="Times New Roman"/>
                <w:sz w:val="24"/>
                <w:lang w:val="sk-SK"/>
              </w:rPr>
              <w:t>oceňovanie založeného kolaterálu vrátane posudzovania právnej istoty postupov zmierňovania kreditného rizika,</w:t>
            </w:r>
          </w:p>
          <w:p w14:paraId="4978007D"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 druh oceňovania (trhová hodnota, hodnota poskytnutého hypotekárneho financovania, iné druhy hodnôt),</w:t>
            </w:r>
          </w:p>
          <w:p w14:paraId="1BB7939A" w14:textId="13FD751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 do akej miery sa vypočítaná hodnota kolaterálu znižuje</w:t>
            </w:r>
            <w:r w:rsidR="006B02A0">
              <w:rPr>
                <w:rFonts w:ascii="Times New Roman" w:hAnsi="Times New Roman"/>
                <w:sz w:val="24"/>
                <w:lang w:val="sk-SK"/>
              </w:rPr>
              <w:t xml:space="preserve"> o </w:t>
            </w:r>
            <w:proofErr w:type="spellStart"/>
            <w:r w:rsidRPr="006B02A0">
              <w:rPr>
                <w:rFonts w:ascii="Times New Roman" w:hAnsi="Times New Roman"/>
                <w:sz w:val="24"/>
                <w:lang w:val="sk-SK"/>
              </w:rPr>
              <w:t>haircut</w:t>
            </w:r>
            <w:proofErr w:type="spellEnd"/>
            <w:r w:rsidRPr="006B02A0">
              <w:rPr>
                <w:rFonts w:ascii="Times New Roman" w:hAnsi="Times New Roman"/>
                <w:sz w:val="24"/>
                <w:lang w:val="sk-SK"/>
              </w:rPr>
              <w:t>,</w:t>
            </w:r>
          </w:p>
          <w:p w14:paraId="6CA64CC4" w14:textId="1666868A"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 postup, frekvencia</w:t>
            </w:r>
            <w:r w:rsidR="006B02A0">
              <w:rPr>
                <w:rFonts w:ascii="Times New Roman" w:hAnsi="Times New Roman"/>
                <w:sz w:val="24"/>
                <w:lang w:val="sk-SK"/>
              </w:rPr>
              <w:t xml:space="preserve"> a </w:t>
            </w:r>
            <w:r w:rsidRPr="006B02A0">
              <w:rPr>
                <w:rFonts w:ascii="Times New Roman" w:hAnsi="Times New Roman"/>
                <w:sz w:val="24"/>
                <w:lang w:val="sk-SK"/>
              </w:rPr>
              <w:t>metódy zavedené na monitorovanie hodnoty hypotekárneho kolaterálu</w:t>
            </w:r>
            <w:r w:rsidR="006B02A0">
              <w:rPr>
                <w:rFonts w:ascii="Times New Roman" w:hAnsi="Times New Roman"/>
                <w:sz w:val="24"/>
                <w:lang w:val="sk-SK"/>
              </w:rPr>
              <w:t xml:space="preserve"> a </w:t>
            </w:r>
            <w:r w:rsidRPr="006B02A0">
              <w:rPr>
                <w:rFonts w:ascii="Times New Roman" w:hAnsi="Times New Roman"/>
                <w:sz w:val="24"/>
                <w:lang w:val="sk-SK"/>
              </w:rPr>
              <w:t>iného fyzického kolaterálu.</w:t>
            </w:r>
          </w:p>
          <w:p w14:paraId="42DBE288" w14:textId="2BC1693A"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Okrem toho by inštitúcie mohli takisto zverejniť, či je zavedený systém limitov pre expozície voči kreditnému riziku,</w:t>
            </w:r>
            <w:r w:rsidR="006B02A0">
              <w:rPr>
                <w:rFonts w:ascii="Times New Roman" w:hAnsi="Times New Roman"/>
                <w:sz w:val="24"/>
                <w:lang w:val="sk-SK"/>
              </w:rPr>
              <w:t xml:space="preserve"> a </w:t>
            </w:r>
            <w:r w:rsidRPr="006B02A0">
              <w:rPr>
                <w:rFonts w:ascii="Times New Roman" w:hAnsi="Times New Roman"/>
                <w:sz w:val="24"/>
                <w:lang w:val="sk-SK"/>
              </w:rPr>
              <w:t>vplyv prijatého kolaterálu pri kvantifikácii týchto limitov.</w:t>
            </w:r>
          </w:p>
        </w:tc>
      </w:tr>
      <w:tr w:rsidR="001A67EA" w:rsidRPr="006B02A0" w:rsidDel="00915DC9" w14:paraId="3A5626B8" w14:textId="77777777" w:rsidTr="004F3087">
        <w:trPr>
          <w:trHeight w:val="973"/>
        </w:trPr>
        <w:tc>
          <w:tcPr>
            <w:tcW w:w="1407" w:type="dxa"/>
          </w:tcPr>
          <w:p w14:paraId="547245B3"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color w:val="000000"/>
                <w:sz w:val="24"/>
                <w:lang w:val="sk-SK"/>
              </w:rPr>
              <w:lastRenderedPageBreak/>
              <w:t>c)</w:t>
            </w:r>
          </w:p>
        </w:tc>
        <w:tc>
          <w:tcPr>
            <w:tcW w:w="883" w:type="dxa"/>
          </w:tcPr>
          <w:p w14:paraId="3EE8CB34"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Článok 453 písm. c) CRR</w:t>
            </w:r>
          </w:p>
        </w:tc>
        <w:tc>
          <w:tcPr>
            <w:tcW w:w="6782" w:type="dxa"/>
          </w:tcPr>
          <w:p w14:paraId="03C8684E" w14:textId="1C560391" w:rsidR="001A67EA" w:rsidRPr="006B02A0" w:rsidDel="00915DC9"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Pri opise kolaterálu prijatého</w:t>
            </w:r>
            <w:r w:rsidR="006B02A0">
              <w:rPr>
                <w:rFonts w:ascii="Times New Roman" w:hAnsi="Times New Roman"/>
                <w:sz w:val="24"/>
                <w:lang w:val="sk-SK"/>
              </w:rPr>
              <w:t xml:space="preserve"> v </w:t>
            </w:r>
            <w:r w:rsidRPr="006B02A0">
              <w:rPr>
                <w:rFonts w:ascii="Times New Roman" w:hAnsi="Times New Roman"/>
                <w:sz w:val="24"/>
                <w:lang w:val="sk-SK"/>
              </w:rPr>
              <w:t>súlade</w:t>
            </w:r>
            <w:r w:rsidR="006B02A0">
              <w:rPr>
                <w:rFonts w:ascii="Times New Roman" w:hAnsi="Times New Roman"/>
                <w:sz w:val="24"/>
                <w:lang w:val="sk-SK"/>
              </w:rPr>
              <w:t xml:space="preserve"> s </w:t>
            </w:r>
            <w:r w:rsidRPr="006B02A0">
              <w:rPr>
                <w:rFonts w:ascii="Times New Roman" w:hAnsi="Times New Roman"/>
                <w:sz w:val="24"/>
                <w:lang w:val="sk-SK"/>
              </w:rPr>
              <w:t>článkom 453 písm. c) CRR inštitúcie poskytujú podrobný opis hlavných druhov kolaterálu, ktoré inštitúcia prijíma na zmiernenie kreditného rizika,</w:t>
            </w:r>
            <w:r w:rsidR="006B02A0">
              <w:rPr>
                <w:rFonts w:ascii="Times New Roman" w:hAnsi="Times New Roman"/>
                <w:sz w:val="24"/>
                <w:lang w:val="sk-SK"/>
              </w:rPr>
              <w:t xml:space="preserve"> a </w:t>
            </w:r>
            <w:r w:rsidRPr="006B02A0">
              <w:rPr>
                <w:rFonts w:ascii="Times New Roman" w:hAnsi="Times New Roman"/>
                <w:sz w:val="24"/>
                <w:lang w:val="sk-SK"/>
              </w:rPr>
              <w:t>to podľa druhu expozícií.</w:t>
            </w:r>
          </w:p>
        </w:tc>
      </w:tr>
      <w:tr w:rsidR="001A67EA" w:rsidRPr="006B02A0" w14:paraId="0B958E6C" w14:textId="77777777" w:rsidTr="004F3087">
        <w:trPr>
          <w:trHeight w:val="1265"/>
        </w:trPr>
        <w:tc>
          <w:tcPr>
            <w:tcW w:w="1407" w:type="dxa"/>
          </w:tcPr>
          <w:p w14:paraId="16182508"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color w:val="000000"/>
                <w:sz w:val="24"/>
                <w:lang w:val="sk-SK"/>
              </w:rPr>
              <w:t>d)</w:t>
            </w:r>
          </w:p>
        </w:tc>
        <w:tc>
          <w:tcPr>
            <w:tcW w:w="883" w:type="dxa"/>
          </w:tcPr>
          <w:p w14:paraId="3751629F"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Článok 453 písm. d) CRR</w:t>
            </w:r>
          </w:p>
        </w:tc>
        <w:tc>
          <w:tcPr>
            <w:tcW w:w="6782" w:type="dxa"/>
          </w:tcPr>
          <w:p w14:paraId="484148E0" w14:textId="3F909D96"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Opis hlavných druhov ručiteľov</w:t>
            </w:r>
            <w:r w:rsidR="006B02A0">
              <w:rPr>
                <w:rFonts w:ascii="Times New Roman" w:hAnsi="Times New Roman"/>
                <w:sz w:val="24"/>
                <w:lang w:val="sk-SK"/>
              </w:rPr>
              <w:t xml:space="preserve"> a </w:t>
            </w:r>
            <w:r w:rsidRPr="006B02A0">
              <w:rPr>
                <w:rFonts w:ascii="Times New Roman" w:hAnsi="Times New Roman"/>
                <w:sz w:val="24"/>
                <w:lang w:val="sk-SK"/>
              </w:rPr>
              <w:t>protistrán kreditných derivátov</w:t>
            </w:r>
            <w:r w:rsidR="006B02A0">
              <w:rPr>
                <w:rFonts w:ascii="Times New Roman" w:hAnsi="Times New Roman"/>
                <w:sz w:val="24"/>
                <w:lang w:val="sk-SK"/>
              </w:rPr>
              <w:t xml:space="preserve"> a </w:t>
            </w:r>
            <w:r w:rsidRPr="006B02A0">
              <w:rPr>
                <w:rFonts w:ascii="Times New Roman" w:hAnsi="Times New Roman"/>
                <w:sz w:val="24"/>
                <w:lang w:val="sk-SK"/>
              </w:rPr>
              <w:t>ich úverovej bonity, ktoré sa majú zverejňovať</w:t>
            </w:r>
            <w:r w:rsidR="006B02A0">
              <w:rPr>
                <w:rFonts w:ascii="Times New Roman" w:hAnsi="Times New Roman"/>
                <w:sz w:val="24"/>
                <w:lang w:val="sk-SK"/>
              </w:rPr>
              <w:t xml:space="preserve"> v </w:t>
            </w:r>
            <w:r w:rsidRPr="006B02A0">
              <w:rPr>
                <w:rFonts w:ascii="Times New Roman" w:hAnsi="Times New Roman"/>
                <w:sz w:val="24"/>
                <w:lang w:val="sk-SK"/>
              </w:rPr>
              <w:t>súlade</w:t>
            </w:r>
            <w:r w:rsidR="006B02A0">
              <w:rPr>
                <w:rFonts w:ascii="Times New Roman" w:hAnsi="Times New Roman"/>
                <w:sz w:val="24"/>
                <w:lang w:val="sk-SK"/>
              </w:rPr>
              <w:t xml:space="preserve"> s </w:t>
            </w:r>
            <w:r w:rsidRPr="006B02A0">
              <w:rPr>
                <w:rFonts w:ascii="Times New Roman" w:hAnsi="Times New Roman"/>
                <w:sz w:val="24"/>
                <w:lang w:val="sk-SK"/>
              </w:rPr>
              <w:t>článkom 453 písm. d) CRR, zahŕňa kreditné deriváty použité na účely zníženia kapitálových požiadaviek okrem tých, ktoré sa používajú ako súčasť štruktúr syntetickej sekuritizácie. Inštitúcie by mohli zahŕňať aj opis metód používaných na vykazovanie účinkov záruk alebo kreditných derivátov poskytovaných hlavnými druhmi ručiteľov</w:t>
            </w:r>
            <w:r w:rsidR="006B02A0">
              <w:rPr>
                <w:rFonts w:ascii="Times New Roman" w:hAnsi="Times New Roman"/>
                <w:sz w:val="24"/>
                <w:lang w:val="sk-SK"/>
              </w:rPr>
              <w:t xml:space="preserve"> a </w:t>
            </w:r>
            <w:r w:rsidRPr="006B02A0">
              <w:rPr>
                <w:rFonts w:ascii="Times New Roman" w:hAnsi="Times New Roman"/>
                <w:sz w:val="24"/>
                <w:lang w:val="sk-SK"/>
              </w:rPr>
              <w:t xml:space="preserve">protistrán. </w:t>
            </w:r>
          </w:p>
        </w:tc>
      </w:tr>
      <w:tr w:rsidR="001A67EA" w:rsidRPr="006B02A0" w14:paraId="45D6C7FC" w14:textId="77777777" w:rsidTr="004F3087">
        <w:trPr>
          <w:trHeight w:val="1405"/>
        </w:trPr>
        <w:tc>
          <w:tcPr>
            <w:tcW w:w="1407" w:type="dxa"/>
          </w:tcPr>
          <w:p w14:paraId="03857EEF"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color w:val="000000"/>
                <w:sz w:val="24"/>
                <w:lang w:val="sk-SK"/>
              </w:rPr>
              <w:t>e)</w:t>
            </w:r>
          </w:p>
        </w:tc>
        <w:tc>
          <w:tcPr>
            <w:tcW w:w="883" w:type="dxa"/>
          </w:tcPr>
          <w:p w14:paraId="3363450E"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Článok 453 písm. e) CRR</w:t>
            </w:r>
          </w:p>
        </w:tc>
        <w:tc>
          <w:tcPr>
            <w:tcW w:w="6782" w:type="dxa"/>
          </w:tcPr>
          <w:p w14:paraId="025D06B4" w14:textId="1D18EBCF"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Inštitúcie pri zverejňovaní informácií</w:t>
            </w:r>
            <w:r w:rsidR="006B02A0">
              <w:rPr>
                <w:rFonts w:ascii="Times New Roman" w:hAnsi="Times New Roman"/>
                <w:sz w:val="24"/>
                <w:lang w:val="sk-SK"/>
              </w:rPr>
              <w:t xml:space="preserve"> o </w:t>
            </w:r>
            <w:r w:rsidRPr="006B02A0">
              <w:rPr>
                <w:rFonts w:ascii="Times New Roman" w:hAnsi="Times New Roman"/>
                <w:sz w:val="24"/>
                <w:lang w:val="sk-SK"/>
              </w:rPr>
              <w:t>koncentráciách trhového alebo kreditného rizika</w:t>
            </w:r>
            <w:r w:rsidR="006B02A0">
              <w:rPr>
                <w:rFonts w:ascii="Times New Roman" w:hAnsi="Times New Roman"/>
                <w:sz w:val="24"/>
                <w:lang w:val="sk-SK"/>
              </w:rPr>
              <w:t xml:space="preserve"> v </w:t>
            </w:r>
            <w:r w:rsidRPr="006B02A0">
              <w:rPr>
                <w:rFonts w:ascii="Times New Roman" w:hAnsi="Times New Roman"/>
                <w:sz w:val="24"/>
                <w:lang w:val="sk-SK"/>
              </w:rPr>
              <w:t>rámci zmierňovania kreditného rizika</w:t>
            </w:r>
            <w:r w:rsidR="006B02A0">
              <w:rPr>
                <w:rFonts w:ascii="Times New Roman" w:hAnsi="Times New Roman"/>
                <w:sz w:val="24"/>
                <w:lang w:val="sk-SK"/>
              </w:rPr>
              <w:t xml:space="preserve"> v </w:t>
            </w:r>
            <w:r w:rsidRPr="006B02A0">
              <w:rPr>
                <w:rFonts w:ascii="Times New Roman" w:hAnsi="Times New Roman"/>
                <w:sz w:val="24"/>
                <w:lang w:val="sk-SK"/>
              </w:rPr>
              <w:t>súlade</w:t>
            </w:r>
            <w:r w:rsidR="006B02A0">
              <w:rPr>
                <w:rFonts w:ascii="Times New Roman" w:hAnsi="Times New Roman"/>
                <w:sz w:val="24"/>
                <w:lang w:val="sk-SK"/>
              </w:rPr>
              <w:t xml:space="preserve"> s </w:t>
            </w:r>
            <w:r w:rsidRPr="006B02A0">
              <w:rPr>
                <w:rFonts w:ascii="Times New Roman" w:hAnsi="Times New Roman"/>
                <w:sz w:val="24"/>
                <w:lang w:val="sk-SK"/>
              </w:rPr>
              <w:t>článkom 453 písm. e) CRR poskytujú analýzu akejkoľvek koncentrácie, ktorá vzniká</w:t>
            </w:r>
            <w:r w:rsidR="006B02A0">
              <w:rPr>
                <w:rFonts w:ascii="Times New Roman" w:hAnsi="Times New Roman"/>
                <w:sz w:val="24"/>
                <w:lang w:val="sk-SK"/>
              </w:rPr>
              <w:t xml:space="preserve"> v </w:t>
            </w:r>
            <w:r w:rsidRPr="006B02A0">
              <w:rPr>
                <w:rFonts w:ascii="Times New Roman" w:hAnsi="Times New Roman"/>
                <w:sz w:val="24"/>
                <w:lang w:val="sk-SK"/>
              </w:rPr>
              <w:t>dôsledku opatrení zmierňovania kreditného rizika</w:t>
            </w:r>
            <w:r w:rsidR="006B02A0">
              <w:rPr>
                <w:rFonts w:ascii="Times New Roman" w:hAnsi="Times New Roman"/>
                <w:sz w:val="24"/>
                <w:lang w:val="sk-SK"/>
              </w:rPr>
              <w:t xml:space="preserve"> a </w:t>
            </w:r>
            <w:r w:rsidRPr="006B02A0">
              <w:rPr>
                <w:rFonts w:ascii="Times New Roman" w:hAnsi="Times New Roman"/>
                <w:sz w:val="24"/>
                <w:lang w:val="sk-SK"/>
              </w:rPr>
              <w:t>ktorá môže brániť efektívnosti nástrojov zmierňovania kreditného rizika. Koncentrácie</w:t>
            </w:r>
            <w:r w:rsidR="006B02A0">
              <w:rPr>
                <w:rFonts w:ascii="Times New Roman" w:hAnsi="Times New Roman"/>
                <w:sz w:val="24"/>
                <w:lang w:val="sk-SK"/>
              </w:rPr>
              <w:t xml:space="preserve"> v </w:t>
            </w:r>
            <w:r w:rsidRPr="006B02A0">
              <w:rPr>
                <w:rFonts w:ascii="Times New Roman" w:hAnsi="Times New Roman"/>
                <w:sz w:val="24"/>
                <w:lang w:val="sk-SK"/>
              </w:rPr>
              <w:t>rozsahu týchto zverejnení informácií by mohli zahŕňať koncentrácie podľa druhu nástroja použitého ako kolaterál, subjektu (koncentrácia podľa druhu ručiteľa</w:t>
            </w:r>
            <w:r w:rsidR="006B02A0">
              <w:rPr>
                <w:rFonts w:ascii="Times New Roman" w:hAnsi="Times New Roman"/>
                <w:sz w:val="24"/>
                <w:lang w:val="sk-SK"/>
              </w:rPr>
              <w:t xml:space="preserve"> a </w:t>
            </w:r>
            <w:r w:rsidRPr="006B02A0">
              <w:rPr>
                <w:rFonts w:ascii="Times New Roman" w:hAnsi="Times New Roman"/>
                <w:sz w:val="24"/>
                <w:lang w:val="sk-SK"/>
              </w:rPr>
              <w:t>poskytovateľov kreditného derivátu), odvetvia, geografickej oblasti, meny, ratingu alebo iných faktorov, ktoré potenciálne vplývajú na hodnotu zabezpečenia,</w:t>
            </w:r>
            <w:r w:rsidR="006B02A0">
              <w:rPr>
                <w:rFonts w:ascii="Times New Roman" w:hAnsi="Times New Roman"/>
                <w:sz w:val="24"/>
                <w:lang w:val="sk-SK"/>
              </w:rPr>
              <w:t xml:space="preserve"> a </w:t>
            </w:r>
            <w:r w:rsidRPr="006B02A0">
              <w:rPr>
                <w:rFonts w:ascii="Times New Roman" w:hAnsi="Times New Roman"/>
                <w:sz w:val="24"/>
                <w:lang w:val="sk-SK"/>
              </w:rPr>
              <w:t>tým toto zabezpečenie znižujú.</w:t>
            </w:r>
          </w:p>
        </w:tc>
      </w:tr>
    </w:tbl>
    <w:p w14:paraId="5BC2E8E9" w14:textId="77777777" w:rsidR="001A67EA" w:rsidRPr="006B02A0" w:rsidRDefault="001A67EA" w:rsidP="001A67EA">
      <w:pPr>
        <w:spacing w:after="120"/>
        <w:rPr>
          <w:rFonts w:ascii="Times New Roman" w:hAnsi="Times New Roman" w:cs="Times New Roman"/>
          <w:sz w:val="24"/>
        </w:rPr>
      </w:pPr>
    </w:p>
    <w:p w14:paraId="5F6E25BC" w14:textId="2FB07E7D" w:rsidR="001A67EA" w:rsidRPr="006B02A0" w:rsidRDefault="001A67EA" w:rsidP="001A67EA">
      <w:pPr>
        <w:spacing w:after="120"/>
        <w:rPr>
          <w:rFonts w:ascii="Times New Roman" w:hAnsi="Times New Roman" w:cs="Times New Roman"/>
          <w:b/>
          <w:sz w:val="24"/>
        </w:rPr>
      </w:pPr>
      <w:r w:rsidRPr="006B02A0">
        <w:rPr>
          <w:rFonts w:ascii="Times New Roman" w:hAnsi="Times New Roman"/>
          <w:b/>
          <w:sz w:val="24"/>
        </w:rPr>
        <w:t>Vzor EU CR3 – Prehľad postupov zmierňovania kreditného rizika (CRM): Zverejňovanie informácií</w:t>
      </w:r>
      <w:r w:rsidR="006B02A0">
        <w:rPr>
          <w:rFonts w:ascii="Times New Roman" w:hAnsi="Times New Roman"/>
          <w:b/>
          <w:sz w:val="24"/>
        </w:rPr>
        <w:t xml:space="preserve"> o </w:t>
      </w:r>
      <w:r w:rsidRPr="006B02A0">
        <w:rPr>
          <w:rFonts w:ascii="Times New Roman" w:hAnsi="Times New Roman"/>
          <w:b/>
          <w:sz w:val="24"/>
        </w:rPr>
        <w:t>používaní postupov zmierňovania kreditného rizika. Vzor</w:t>
      </w:r>
      <w:r w:rsidR="006B02A0">
        <w:rPr>
          <w:rFonts w:ascii="Times New Roman" w:hAnsi="Times New Roman"/>
          <w:b/>
          <w:sz w:val="24"/>
        </w:rPr>
        <w:t xml:space="preserve"> s </w:t>
      </w:r>
      <w:r w:rsidRPr="006B02A0">
        <w:rPr>
          <w:rFonts w:ascii="Times New Roman" w:hAnsi="Times New Roman"/>
          <w:b/>
          <w:sz w:val="24"/>
        </w:rPr>
        <w:t>pevným formátom.</w:t>
      </w:r>
    </w:p>
    <w:p w14:paraId="1FAA7723" w14:textId="45C26687" w:rsidR="001A67EA" w:rsidRPr="006B02A0" w:rsidRDefault="001A67EA" w:rsidP="001A67EA">
      <w:pPr>
        <w:spacing w:after="120"/>
        <w:jc w:val="both"/>
        <w:rPr>
          <w:rFonts w:ascii="Times New Roman" w:hAnsi="Times New Roman" w:cs="Times New Roman"/>
          <w:sz w:val="24"/>
        </w:rPr>
      </w:pPr>
      <w:r w:rsidRPr="006B02A0">
        <w:rPr>
          <w:rFonts w:ascii="Times New Roman" w:hAnsi="Times New Roman"/>
          <w:sz w:val="24"/>
        </w:rPr>
        <w:t>Inštitúcie zverejňujú informácie uvedené</w:t>
      </w:r>
      <w:r w:rsidR="006B02A0">
        <w:rPr>
          <w:rFonts w:ascii="Times New Roman" w:hAnsi="Times New Roman"/>
          <w:sz w:val="24"/>
        </w:rPr>
        <w:t xml:space="preserve"> v </w:t>
      </w:r>
      <w:r w:rsidRPr="006B02A0">
        <w:rPr>
          <w:rFonts w:ascii="Times New Roman" w:hAnsi="Times New Roman"/>
          <w:sz w:val="24"/>
        </w:rPr>
        <w:t>článku 453 písm. f) CRR podľa pokynov uvedených nižšie</w:t>
      </w:r>
      <w:r w:rsidR="006B02A0">
        <w:rPr>
          <w:rFonts w:ascii="Times New Roman" w:hAnsi="Times New Roman"/>
          <w:sz w:val="24"/>
        </w:rPr>
        <w:t xml:space="preserve"> v </w:t>
      </w:r>
      <w:r w:rsidRPr="006B02A0">
        <w:rPr>
          <w:rFonts w:ascii="Times New Roman" w:hAnsi="Times New Roman"/>
          <w:sz w:val="24"/>
        </w:rPr>
        <w:t>tejto prílohe</w:t>
      </w:r>
      <w:r w:rsidR="006B02A0">
        <w:rPr>
          <w:rFonts w:ascii="Times New Roman" w:hAnsi="Times New Roman"/>
          <w:sz w:val="24"/>
        </w:rPr>
        <w:t xml:space="preserve"> s </w:t>
      </w:r>
      <w:r w:rsidRPr="006B02A0">
        <w:rPr>
          <w:rFonts w:ascii="Times New Roman" w:hAnsi="Times New Roman"/>
          <w:sz w:val="24"/>
        </w:rPr>
        <w:t>cieľom vyplniť vzor EU CR3, ktorý je uvedený</w:t>
      </w:r>
      <w:r w:rsidR="006B02A0">
        <w:rPr>
          <w:rFonts w:ascii="Times New Roman" w:hAnsi="Times New Roman"/>
          <w:sz w:val="24"/>
        </w:rPr>
        <w:t xml:space="preserve"> v </w:t>
      </w:r>
      <w:r w:rsidRPr="006B02A0">
        <w:rPr>
          <w:rFonts w:ascii="Times New Roman" w:hAnsi="Times New Roman"/>
          <w:sz w:val="24"/>
        </w:rPr>
        <w:t>prílohe XVII</w:t>
      </w:r>
      <w:r w:rsidR="006B02A0">
        <w:rPr>
          <w:rFonts w:ascii="Times New Roman" w:hAnsi="Times New Roman"/>
          <w:sz w:val="24"/>
        </w:rPr>
        <w:t xml:space="preserve"> k </w:t>
      </w:r>
      <w:r w:rsidRPr="006B02A0">
        <w:rPr>
          <w:rFonts w:ascii="Times New Roman" w:hAnsi="Times New Roman"/>
          <w:sz w:val="24"/>
        </w:rPr>
        <w:t>tomuto vykonávaciemu nariadeniu.</w:t>
      </w:r>
    </w:p>
    <w:p w14:paraId="69A94B62" w14:textId="25874B75" w:rsidR="001A67EA" w:rsidRPr="006B02A0" w:rsidRDefault="001A67EA" w:rsidP="001A67EA">
      <w:pPr>
        <w:spacing w:after="120"/>
        <w:jc w:val="both"/>
        <w:rPr>
          <w:rFonts w:ascii="Times New Roman" w:eastAsia="Times New Roman" w:hAnsi="Times New Roman" w:cs="Times New Roman"/>
          <w:b/>
          <w:iCs/>
          <w:sz w:val="24"/>
        </w:rPr>
      </w:pPr>
      <w:r w:rsidRPr="006B02A0">
        <w:rPr>
          <w:rFonts w:ascii="Times New Roman" w:hAnsi="Times New Roman"/>
          <w:sz w:val="24"/>
        </w:rPr>
        <w:t>Tento vzor sa týka všetkých postupov zmierňovania kreditného rizika uznaných podľa uplatniteľného účtovného rámca bez ohľadu na to, či sú tieto postupy uznané podľa CRR,</w:t>
      </w:r>
      <w:r w:rsidR="006B02A0">
        <w:rPr>
          <w:rFonts w:ascii="Times New Roman" w:hAnsi="Times New Roman"/>
          <w:sz w:val="24"/>
        </w:rPr>
        <w:t xml:space="preserve"> a </w:t>
      </w:r>
      <w:r w:rsidRPr="006B02A0">
        <w:rPr>
          <w:rFonts w:ascii="Times New Roman" w:hAnsi="Times New Roman"/>
          <w:sz w:val="24"/>
        </w:rPr>
        <w:t>to aj vrátane, okrem iného, všetkých druhov kolaterálu, finančných záruk</w:t>
      </w:r>
      <w:r w:rsidR="006B02A0">
        <w:rPr>
          <w:rFonts w:ascii="Times New Roman" w:hAnsi="Times New Roman"/>
          <w:sz w:val="24"/>
        </w:rPr>
        <w:t xml:space="preserve"> a </w:t>
      </w:r>
      <w:r w:rsidRPr="006B02A0">
        <w:rPr>
          <w:rFonts w:ascii="Times New Roman" w:hAnsi="Times New Roman"/>
          <w:sz w:val="24"/>
        </w:rPr>
        <w:t>kreditných derivátov použitých pri všetkých zabezpečených expozíciách bez ohľadu na to, či sa na výpočet hodnôt rizikovo vážených expozícií (RWEA) používa štandardizovaný prístup alebo prístup IRB. Inštitúcie dopĺňajú vzor slovným komentárom na vysvetlenie akýchkoľvek významných zmien za obdobie zverejňovania informácií, ako aj kľúčových faktorov takýchto zmien.</w:t>
      </w:r>
    </w:p>
    <w:p w14:paraId="1EBDEE5B" w14:textId="77777777" w:rsidR="001A67EA" w:rsidRPr="006B02A0"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6B02A0"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6B02A0" w:rsidRDefault="001A67EA" w:rsidP="004F3087">
            <w:pPr>
              <w:autoSpaceDE w:val="0"/>
              <w:autoSpaceDN w:val="0"/>
              <w:adjustRightInd w:val="0"/>
              <w:spacing w:after="120"/>
              <w:rPr>
                <w:rFonts w:ascii="Times New Roman" w:hAnsi="Times New Roman" w:cs="Times New Roman"/>
                <w:b/>
                <w:sz w:val="24"/>
              </w:rPr>
            </w:pPr>
            <w:r w:rsidRPr="006B02A0">
              <w:rPr>
                <w:rFonts w:ascii="Times New Roman" w:hAnsi="Times New Roman"/>
                <w:b/>
                <w:sz w:val="24"/>
              </w:rPr>
              <w:t>Odkaz na stĺpec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41E1B156" w:rsidR="001A67EA" w:rsidRPr="006B02A0" w:rsidRDefault="001A67EA" w:rsidP="004F3087">
            <w:pPr>
              <w:spacing w:after="120"/>
              <w:rPr>
                <w:rFonts w:ascii="Times New Roman" w:hAnsi="Times New Roman" w:cs="Times New Roman"/>
                <w:b/>
                <w:sz w:val="24"/>
              </w:rPr>
            </w:pPr>
            <w:r w:rsidRPr="006B02A0">
              <w:rPr>
                <w:rFonts w:ascii="Times New Roman" w:hAnsi="Times New Roman"/>
                <w:b/>
                <w:sz w:val="24"/>
              </w:rPr>
              <w:t>Odkazy na právne predpisy</w:t>
            </w:r>
            <w:r w:rsidR="006B02A0">
              <w:rPr>
                <w:rFonts w:ascii="Times New Roman" w:hAnsi="Times New Roman"/>
                <w:b/>
                <w:sz w:val="24"/>
              </w:rPr>
              <w:t xml:space="preserve"> a </w:t>
            </w:r>
            <w:r w:rsidRPr="006B02A0">
              <w:rPr>
                <w:rFonts w:ascii="Times New Roman" w:hAnsi="Times New Roman"/>
                <w:b/>
                <w:sz w:val="24"/>
              </w:rPr>
              <w:t>pokyny</w:t>
            </w:r>
          </w:p>
        </w:tc>
      </w:tr>
      <w:tr w:rsidR="001A67EA" w:rsidRPr="006B02A0"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6B02A0"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6B02A0" w:rsidRDefault="001A67EA" w:rsidP="004F3087">
            <w:pPr>
              <w:spacing w:after="120"/>
              <w:rPr>
                <w:rFonts w:ascii="Times New Roman" w:hAnsi="Times New Roman" w:cs="Times New Roman"/>
                <w:b/>
                <w:sz w:val="24"/>
              </w:rPr>
            </w:pPr>
            <w:r w:rsidRPr="006B02A0">
              <w:rPr>
                <w:rFonts w:ascii="Times New Roman" w:hAnsi="Times New Roman"/>
                <w:b/>
                <w:sz w:val="24"/>
              </w:rPr>
              <w:t>Vysvetlenie</w:t>
            </w:r>
          </w:p>
        </w:tc>
      </w:tr>
      <w:tr w:rsidR="001A67EA" w:rsidRPr="006B02A0" w14:paraId="35223F05" w14:textId="77777777" w:rsidTr="004F3087">
        <w:trPr>
          <w:trHeight w:val="316"/>
        </w:trPr>
        <w:tc>
          <w:tcPr>
            <w:tcW w:w="1413" w:type="dxa"/>
          </w:tcPr>
          <w:p w14:paraId="25792023" w14:textId="77777777" w:rsidR="001A67EA" w:rsidRPr="006B02A0" w:rsidRDefault="001A67EA" w:rsidP="004F3087">
            <w:pPr>
              <w:autoSpaceDE w:val="0"/>
              <w:autoSpaceDN w:val="0"/>
              <w:adjustRightInd w:val="0"/>
              <w:spacing w:after="120"/>
              <w:jc w:val="both"/>
              <w:rPr>
                <w:rFonts w:ascii="Times New Roman" w:eastAsia="Times New Roman" w:hAnsi="Times New Roman" w:cs="Times New Roman"/>
                <w:sz w:val="24"/>
              </w:rPr>
            </w:pPr>
            <w:r w:rsidRPr="006B02A0">
              <w:rPr>
                <w:rFonts w:ascii="Times New Roman" w:hAnsi="Times New Roman"/>
                <w:sz w:val="24"/>
              </w:rPr>
              <w:t>a</w:t>
            </w:r>
          </w:p>
        </w:tc>
        <w:tc>
          <w:tcPr>
            <w:tcW w:w="7654" w:type="dxa"/>
          </w:tcPr>
          <w:p w14:paraId="0FBEE225" w14:textId="77777777" w:rsidR="006B02A0" w:rsidRDefault="001A67EA" w:rsidP="004F3087">
            <w:pPr>
              <w:autoSpaceDE w:val="0"/>
              <w:autoSpaceDN w:val="0"/>
              <w:adjustRightInd w:val="0"/>
              <w:spacing w:after="120"/>
              <w:jc w:val="both"/>
              <w:rPr>
                <w:rFonts w:ascii="Times New Roman" w:hAnsi="Times New Roman"/>
                <w:b/>
                <w:sz w:val="24"/>
              </w:rPr>
            </w:pPr>
            <w:r w:rsidRPr="006B02A0">
              <w:rPr>
                <w:rFonts w:ascii="Times New Roman" w:hAnsi="Times New Roman"/>
                <w:b/>
                <w:sz w:val="24"/>
              </w:rPr>
              <w:t>Nezabezpečená účtovná hodnota</w:t>
            </w:r>
            <w:r w:rsidR="006B02A0">
              <w:rPr>
                <w:rFonts w:ascii="Times New Roman" w:hAnsi="Times New Roman"/>
                <w:b/>
                <w:sz w:val="24"/>
              </w:rPr>
              <w:t>:</w:t>
            </w:r>
          </w:p>
          <w:p w14:paraId="7BB7AD54" w14:textId="42605DB1" w:rsidR="006B02A0" w:rsidRDefault="001A67EA" w:rsidP="004F3087">
            <w:pPr>
              <w:autoSpaceDE w:val="0"/>
              <w:autoSpaceDN w:val="0"/>
              <w:adjustRightInd w:val="0"/>
              <w:spacing w:after="120"/>
              <w:jc w:val="both"/>
              <w:rPr>
                <w:rFonts w:ascii="Times New Roman" w:hAnsi="Times New Roman"/>
                <w:sz w:val="24"/>
              </w:rPr>
            </w:pPr>
            <w:r w:rsidRPr="006B02A0">
              <w:rPr>
                <w:rFonts w:ascii="Times New Roman" w:hAnsi="Times New Roman"/>
                <w:sz w:val="24"/>
              </w:rPr>
              <w:t>Účtovná hodnota expozícií (po odpočítaní opravných položiek/znížení hodnôt),</w:t>
            </w:r>
            <w:r w:rsidR="006B02A0">
              <w:rPr>
                <w:rFonts w:ascii="Times New Roman" w:hAnsi="Times New Roman"/>
                <w:sz w:val="24"/>
              </w:rPr>
              <w:t xml:space="preserve"> v </w:t>
            </w:r>
            <w:r w:rsidRPr="006B02A0">
              <w:rPr>
                <w:rFonts w:ascii="Times New Roman" w:hAnsi="Times New Roman"/>
                <w:sz w:val="24"/>
              </w:rPr>
              <w:t>prípade ktorých sa nevyužíva žiadny postup zmierňovania kreditného rizika, bez ohľadu na to, či je tento postup uznaný podľa CRR</w:t>
            </w:r>
            <w:r w:rsidR="006B02A0">
              <w:rPr>
                <w:rFonts w:ascii="Times New Roman" w:hAnsi="Times New Roman"/>
                <w:sz w:val="24"/>
              </w:rPr>
              <w:t>.</w:t>
            </w:r>
          </w:p>
          <w:p w14:paraId="2E635E37" w14:textId="106487BA" w:rsidR="001A67EA" w:rsidRPr="006B02A0" w:rsidRDefault="001A67EA" w:rsidP="004F3087">
            <w:pPr>
              <w:autoSpaceDE w:val="0"/>
              <w:autoSpaceDN w:val="0"/>
              <w:adjustRightInd w:val="0"/>
              <w:spacing w:after="120"/>
              <w:jc w:val="both"/>
              <w:rPr>
                <w:rFonts w:ascii="Times New Roman" w:eastAsia="Times New Roman" w:hAnsi="Times New Roman" w:cs="Times New Roman"/>
                <w:sz w:val="24"/>
              </w:rPr>
            </w:pPr>
            <w:r w:rsidRPr="006B02A0">
              <w:rPr>
                <w:rFonts w:ascii="Times New Roman" w:hAnsi="Times New Roman"/>
                <w:sz w:val="24"/>
              </w:rPr>
              <w:lastRenderedPageBreak/>
              <w:t>Vzťahuje sa najmä na expozície, pri ktorých nebol založený kolaterál ani nebola prijatá finančná záruka. Nezabezpečená časť čiastočne zabezpečenej alebo čiastočne zaručenej expozície sa nezahŕňa.</w:t>
            </w:r>
          </w:p>
        </w:tc>
      </w:tr>
      <w:tr w:rsidR="001A67EA" w:rsidRPr="006B02A0" w14:paraId="475E6E51" w14:textId="77777777" w:rsidTr="004F3087">
        <w:trPr>
          <w:trHeight w:val="316"/>
        </w:trPr>
        <w:tc>
          <w:tcPr>
            <w:tcW w:w="1413" w:type="dxa"/>
          </w:tcPr>
          <w:p w14:paraId="7DD870E3" w14:textId="77777777" w:rsidR="001A67EA" w:rsidRPr="006B02A0" w:rsidRDefault="001A67EA" w:rsidP="004F3087">
            <w:pPr>
              <w:autoSpaceDE w:val="0"/>
              <w:autoSpaceDN w:val="0"/>
              <w:adjustRightInd w:val="0"/>
              <w:spacing w:after="120"/>
              <w:jc w:val="both"/>
              <w:rPr>
                <w:rFonts w:ascii="Times New Roman" w:eastAsia="Times New Roman" w:hAnsi="Times New Roman" w:cs="Times New Roman"/>
                <w:sz w:val="24"/>
              </w:rPr>
            </w:pPr>
            <w:r w:rsidRPr="006B02A0">
              <w:rPr>
                <w:rFonts w:ascii="Times New Roman" w:hAnsi="Times New Roman"/>
                <w:sz w:val="24"/>
              </w:rPr>
              <w:lastRenderedPageBreak/>
              <w:t>b</w:t>
            </w:r>
          </w:p>
        </w:tc>
        <w:tc>
          <w:tcPr>
            <w:tcW w:w="7654" w:type="dxa"/>
          </w:tcPr>
          <w:p w14:paraId="0E0B9D8E" w14:textId="77777777" w:rsidR="006B02A0" w:rsidRDefault="001A67EA" w:rsidP="004F3087">
            <w:pPr>
              <w:autoSpaceDE w:val="0"/>
              <w:autoSpaceDN w:val="0"/>
              <w:adjustRightInd w:val="0"/>
              <w:spacing w:after="120"/>
              <w:jc w:val="both"/>
              <w:rPr>
                <w:rFonts w:ascii="Times New Roman" w:hAnsi="Times New Roman"/>
                <w:b/>
                <w:sz w:val="24"/>
              </w:rPr>
            </w:pPr>
            <w:r w:rsidRPr="006B02A0">
              <w:rPr>
                <w:rFonts w:ascii="Times New Roman" w:hAnsi="Times New Roman"/>
                <w:b/>
                <w:sz w:val="24"/>
              </w:rPr>
              <w:t>Zabezpečená účtovná hodnota</w:t>
            </w:r>
            <w:r w:rsidR="006B02A0">
              <w:rPr>
                <w:rFonts w:ascii="Times New Roman" w:hAnsi="Times New Roman"/>
                <w:b/>
                <w:sz w:val="24"/>
              </w:rPr>
              <w:t>:</w:t>
            </w:r>
          </w:p>
          <w:p w14:paraId="20FF8406" w14:textId="3C2CB467" w:rsidR="001A67EA" w:rsidRPr="006B02A0" w:rsidRDefault="001A67EA" w:rsidP="004F3087">
            <w:pPr>
              <w:autoSpaceDE w:val="0"/>
              <w:autoSpaceDN w:val="0"/>
              <w:adjustRightInd w:val="0"/>
              <w:spacing w:after="120"/>
              <w:jc w:val="both"/>
              <w:rPr>
                <w:rFonts w:ascii="Times New Roman" w:eastAsia="Times New Roman" w:hAnsi="Times New Roman" w:cs="Times New Roman"/>
                <w:iCs/>
                <w:sz w:val="24"/>
              </w:rPr>
            </w:pPr>
            <w:r w:rsidRPr="006B02A0">
              <w:rPr>
                <w:rFonts w:ascii="Times New Roman" w:hAnsi="Times New Roman"/>
                <w:sz w:val="24"/>
              </w:rPr>
              <w:t>Účtovná hodnota expozícií,</w:t>
            </w:r>
            <w:r w:rsidR="006B02A0">
              <w:rPr>
                <w:rFonts w:ascii="Times New Roman" w:hAnsi="Times New Roman"/>
                <w:sz w:val="24"/>
              </w:rPr>
              <w:t xml:space="preserve"> s </w:t>
            </w:r>
            <w:r w:rsidRPr="006B02A0">
              <w:rPr>
                <w:rFonts w:ascii="Times New Roman" w:hAnsi="Times New Roman"/>
                <w:sz w:val="24"/>
              </w:rPr>
              <w:t>ktorými sa spája aspoň jeden postup zmierňovania kreditného rizika (kolaterál, finančné záruky, kreditné deriváty).</w:t>
            </w:r>
          </w:p>
          <w:p w14:paraId="05789AFF" w14:textId="2A158026" w:rsidR="001A67EA" w:rsidRPr="006B02A0" w:rsidRDefault="001A67EA" w:rsidP="004F3087">
            <w:pPr>
              <w:autoSpaceDE w:val="0"/>
              <w:autoSpaceDN w:val="0"/>
              <w:adjustRightInd w:val="0"/>
              <w:spacing w:after="120"/>
              <w:jc w:val="both"/>
              <w:rPr>
                <w:rFonts w:ascii="Times New Roman" w:eastAsia="Times New Roman" w:hAnsi="Times New Roman" w:cs="Times New Roman"/>
                <w:iCs/>
                <w:sz w:val="24"/>
              </w:rPr>
            </w:pPr>
            <w:r w:rsidRPr="006B02A0">
              <w:rPr>
                <w:rFonts w:ascii="Times New Roman" w:hAnsi="Times New Roman"/>
                <w:sz w:val="24"/>
              </w:rPr>
              <w:t>Ak hodnota kolaterálu, finančných záruk</w:t>
            </w:r>
            <w:r w:rsidR="006B02A0">
              <w:rPr>
                <w:rFonts w:ascii="Times New Roman" w:hAnsi="Times New Roman"/>
                <w:sz w:val="24"/>
              </w:rPr>
              <w:t xml:space="preserve"> a </w:t>
            </w:r>
            <w:r w:rsidRPr="006B02A0">
              <w:rPr>
                <w:rFonts w:ascii="Times New Roman" w:hAnsi="Times New Roman"/>
                <w:sz w:val="24"/>
              </w:rPr>
              <w:t>kreditných derivátov zabezpečujúcich expozíciu presahuje účtovnú hodnotu uvedenej expozície, zahŕňajú sa len hodnoty do výšky účtovnej hodnoty uvedenej expozície. Ak účtovná hodnota expozície presahuje hodnotu kolaterálu, finančných záruk</w:t>
            </w:r>
            <w:r w:rsidR="006B02A0">
              <w:rPr>
                <w:rFonts w:ascii="Times New Roman" w:hAnsi="Times New Roman"/>
                <w:sz w:val="24"/>
              </w:rPr>
              <w:t xml:space="preserve"> a </w:t>
            </w:r>
            <w:r w:rsidRPr="006B02A0">
              <w:rPr>
                <w:rFonts w:ascii="Times New Roman" w:hAnsi="Times New Roman"/>
                <w:sz w:val="24"/>
              </w:rPr>
              <w:t>kreditných derivátov zabezpečujúcich uvedenú expozíciu, zahŕňa sa celá účtovná hodnota uvedenej expozície.</w:t>
            </w:r>
          </w:p>
          <w:p w14:paraId="7EDEE0AE" w14:textId="7A3E4248" w:rsidR="001A67EA" w:rsidRPr="006B02A0" w:rsidRDefault="001A67EA" w:rsidP="004F3087">
            <w:pPr>
              <w:autoSpaceDE w:val="0"/>
              <w:autoSpaceDN w:val="0"/>
              <w:adjustRightInd w:val="0"/>
              <w:spacing w:after="120"/>
              <w:jc w:val="both"/>
              <w:rPr>
                <w:rFonts w:ascii="Times New Roman" w:eastAsia="Times New Roman" w:hAnsi="Times New Roman" w:cs="Times New Roman"/>
                <w:sz w:val="24"/>
              </w:rPr>
            </w:pPr>
            <w:r w:rsidRPr="006B02A0">
              <w:rPr>
                <w:rFonts w:ascii="Times New Roman" w:hAnsi="Times New Roman"/>
                <w:sz w:val="24"/>
              </w:rPr>
              <w:t>Na účely nasledujúcich stĺpcov c, d</w:t>
            </w:r>
            <w:r w:rsidR="006B02A0">
              <w:rPr>
                <w:rFonts w:ascii="Times New Roman" w:hAnsi="Times New Roman"/>
                <w:sz w:val="24"/>
              </w:rPr>
              <w:t xml:space="preserve"> a </w:t>
            </w:r>
            <w:r w:rsidRPr="006B02A0">
              <w:rPr>
                <w:rFonts w:ascii="Times New Roman" w:hAnsi="Times New Roman"/>
                <w:sz w:val="24"/>
              </w:rPr>
              <w:t>e sa účtovná hodnota viacnásobne zabezpečených expozícií priraďuje</w:t>
            </w:r>
            <w:r w:rsidR="006B02A0">
              <w:rPr>
                <w:rFonts w:ascii="Times New Roman" w:hAnsi="Times New Roman"/>
                <w:sz w:val="24"/>
              </w:rPr>
              <w:t xml:space="preserve"> k </w:t>
            </w:r>
            <w:r w:rsidRPr="006B02A0">
              <w:rPr>
                <w:rFonts w:ascii="Times New Roman" w:hAnsi="Times New Roman"/>
                <w:sz w:val="24"/>
              </w:rPr>
              <w:t>ich jednotlivým postupom zmierňovania kreditného rizika podľa priority, pričom sa začína postupom zmierňovania kreditného rizika, pri ktorom sa očakáva, že bude</w:t>
            </w:r>
            <w:r w:rsidR="006B02A0">
              <w:rPr>
                <w:rFonts w:ascii="Times New Roman" w:hAnsi="Times New Roman"/>
                <w:sz w:val="24"/>
              </w:rPr>
              <w:t xml:space="preserve"> v </w:t>
            </w:r>
            <w:r w:rsidRPr="006B02A0">
              <w:rPr>
                <w:rFonts w:ascii="Times New Roman" w:hAnsi="Times New Roman"/>
                <w:sz w:val="24"/>
              </w:rPr>
              <w:t>prípade neuskutočnenia platby uplatnený ako prvý,</w:t>
            </w:r>
            <w:r w:rsidR="006B02A0">
              <w:rPr>
                <w:rFonts w:ascii="Times New Roman" w:hAnsi="Times New Roman"/>
                <w:sz w:val="24"/>
              </w:rPr>
              <w:t xml:space="preserve"> a v </w:t>
            </w:r>
            <w:r w:rsidRPr="006B02A0">
              <w:rPr>
                <w:rFonts w:ascii="Times New Roman" w:hAnsi="Times New Roman"/>
                <w:sz w:val="24"/>
              </w:rPr>
              <w:t xml:space="preserve">rámci limitov účtovnej hodnoty zabezpečených expozícií. Každá časť expozície sa zahŕňa len do jedného zo stĺpcov c, d alebo e tohto vzoru. </w:t>
            </w:r>
          </w:p>
        </w:tc>
      </w:tr>
      <w:tr w:rsidR="001A67EA" w:rsidRPr="006B02A0" w14:paraId="37B3496C" w14:textId="77777777" w:rsidTr="004F3087">
        <w:trPr>
          <w:trHeight w:val="316"/>
        </w:trPr>
        <w:tc>
          <w:tcPr>
            <w:tcW w:w="1413" w:type="dxa"/>
          </w:tcPr>
          <w:p w14:paraId="0CBB040D" w14:textId="77777777" w:rsidR="001A67EA" w:rsidRPr="006B02A0" w:rsidRDefault="001A67EA" w:rsidP="004F3087">
            <w:pPr>
              <w:autoSpaceDE w:val="0"/>
              <w:autoSpaceDN w:val="0"/>
              <w:adjustRightInd w:val="0"/>
              <w:spacing w:after="120"/>
              <w:jc w:val="both"/>
              <w:rPr>
                <w:rFonts w:ascii="Times New Roman" w:eastAsia="Times New Roman" w:hAnsi="Times New Roman" w:cs="Times New Roman"/>
                <w:sz w:val="24"/>
              </w:rPr>
            </w:pPr>
            <w:r w:rsidRPr="006B02A0">
              <w:rPr>
                <w:rFonts w:ascii="Times New Roman" w:hAnsi="Times New Roman"/>
                <w:sz w:val="24"/>
              </w:rPr>
              <w:t>c</w:t>
            </w:r>
          </w:p>
        </w:tc>
        <w:tc>
          <w:tcPr>
            <w:tcW w:w="7654" w:type="dxa"/>
          </w:tcPr>
          <w:p w14:paraId="3F3205AA" w14:textId="77777777" w:rsidR="006B02A0" w:rsidRDefault="001A67EA" w:rsidP="004F3087">
            <w:pPr>
              <w:autoSpaceDE w:val="0"/>
              <w:autoSpaceDN w:val="0"/>
              <w:adjustRightInd w:val="0"/>
              <w:spacing w:after="120"/>
              <w:jc w:val="both"/>
              <w:rPr>
                <w:rFonts w:ascii="Times New Roman" w:hAnsi="Times New Roman"/>
                <w:b/>
                <w:sz w:val="24"/>
              </w:rPr>
            </w:pPr>
            <w:r w:rsidRPr="006B02A0">
              <w:rPr>
                <w:rFonts w:ascii="Times New Roman" w:hAnsi="Times New Roman"/>
                <w:b/>
                <w:sz w:val="24"/>
              </w:rPr>
              <w:t>Z čoho zabezpečené kolaterálom</w:t>
            </w:r>
            <w:r w:rsidR="006B02A0">
              <w:rPr>
                <w:rFonts w:ascii="Times New Roman" w:hAnsi="Times New Roman"/>
                <w:b/>
                <w:sz w:val="24"/>
              </w:rPr>
              <w:t>:</w:t>
            </w:r>
          </w:p>
          <w:p w14:paraId="2B8F68C6" w14:textId="281DA8C7" w:rsidR="001A67EA" w:rsidRPr="006B02A0" w:rsidRDefault="001A67EA" w:rsidP="004F3087">
            <w:pPr>
              <w:autoSpaceDE w:val="0"/>
              <w:autoSpaceDN w:val="0"/>
              <w:adjustRightInd w:val="0"/>
              <w:spacing w:after="120"/>
              <w:jc w:val="both"/>
              <w:rPr>
                <w:rFonts w:ascii="Times New Roman" w:eastAsia="Times New Roman" w:hAnsi="Times New Roman" w:cs="Times New Roman"/>
                <w:iCs/>
                <w:sz w:val="24"/>
              </w:rPr>
            </w:pPr>
            <w:r w:rsidRPr="006B02A0">
              <w:rPr>
                <w:rFonts w:ascii="Times New Roman" w:hAnsi="Times New Roman"/>
                <w:sz w:val="24"/>
              </w:rPr>
              <w:t>Ide</w:t>
            </w:r>
            <w:r w:rsidR="006B02A0">
              <w:rPr>
                <w:rFonts w:ascii="Times New Roman" w:hAnsi="Times New Roman"/>
                <w:sz w:val="24"/>
              </w:rPr>
              <w:t xml:space="preserve"> o </w:t>
            </w:r>
            <w:r w:rsidRPr="006B02A0">
              <w:rPr>
                <w:rFonts w:ascii="Times New Roman" w:hAnsi="Times New Roman"/>
                <w:sz w:val="24"/>
              </w:rPr>
              <w:t>podmnožinu stĺpca b tohto vzoru, ktorá predstavuje účtovnú hodnotu expozícií (po odpočítaní opravných položiek/znížení hodnôt) alebo častí expozícií zabezpečených kolaterálom. Ak je expozícia zabezpečená kolaterálom</w:t>
            </w:r>
            <w:r w:rsidR="006B02A0">
              <w:rPr>
                <w:rFonts w:ascii="Times New Roman" w:hAnsi="Times New Roman"/>
                <w:sz w:val="24"/>
              </w:rPr>
              <w:t xml:space="preserve"> a </w:t>
            </w:r>
            <w:r w:rsidRPr="006B02A0">
              <w:rPr>
                <w:rFonts w:ascii="Times New Roman" w:hAnsi="Times New Roman"/>
                <w:sz w:val="24"/>
              </w:rPr>
              <w:t>iným postupom/postupmi zmierňovania kreditného rizika, pri ktorých sa očakáva, že budú</w:t>
            </w:r>
            <w:r w:rsidR="006B02A0">
              <w:rPr>
                <w:rFonts w:ascii="Times New Roman" w:hAnsi="Times New Roman"/>
                <w:sz w:val="24"/>
              </w:rPr>
              <w:t xml:space="preserve"> v </w:t>
            </w:r>
            <w:r w:rsidRPr="006B02A0">
              <w:rPr>
                <w:rFonts w:ascii="Times New Roman" w:hAnsi="Times New Roman"/>
                <w:sz w:val="24"/>
              </w:rPr>
              <w:t>prípade neuskutočnenia platby uplatnené ako prvé, účtovná hodnota expozície zabezpečenej kolaterálom zodpovedá zostávajúcemu podielu expozície po zohľadnení podielov expozícií, ktoré už sú zabezpečené inými postupmi zmierňovania kreditného rizika, až do výšky účtovnej hodnoty uvedenej expozície.</w:t>
            </w:r>
          </w:p>
        </w:tc>
      </w:tr>
      <w:tr w:rsidR="001A67EA" w:rsidRPr="006B02A0" w14:paraId="50B32400" w14:textId="77777777" w:rsidTr="004F3087">
        <w:trPr>
          <w:trHeight w:val="316"/>
        </w:trPr>
        <w:tc>
          <w:tcPr>
            <w:tcW w:w="1413" w:type="dxa"/>
          </w:tcPr>
          <w:p w14:paraId="741497BC" w14:textId="77777777" w:rsidR="001A67EA" w:rsidRPr="006B02A0" w:rsidRDefault="001A67EA" w:rsidP="004F3087">
            <w:pPr>
              <w:autoSpaceDE w:val="0"/>
              <w:autoSpaceDN w:val="0"/>
              <w:adjustRightInd w:val="0"/>
              <w:spacing w:after="120"/>
              <w:jc w:val="both"/>
              <w:rPr>
                <w:rFonts w:ascii="Times New Roman" w:eastAsia="Times New Roman" w:hAnsi="Times New Roman" w:cs="Times New Roman"/>
                <w:sz w:val="24"/>
              </w:rPr>
            </w:pPr>
            <w:r w:rsidRPr="006B02A0">
              <w:rPr>
                <w:rFonts w:ascii="Times New Roman" w:hAnsi="Times New Roman"/>
                <w:sz w:val="24"/>
              </w:rPr>
              <w:t>d</w:t>
            </w:r>
          </w:p>
        </w:tc>
        <w:tc>
          <w:tcPr>
            <w:tcW w:w="7654" w:type="dxa"/>
          </w:tcPr>
          <w:p w14:paraId="703EC8E8" w14:textId="77777777" w:rsidR="006B02A0" w:rsidRDefault="001A67EA" w:rsidP="004F3087">
            <w:pPr>
              <w:autoSpaceDE w:val="0"/>
              <w:autoSpaceDN w:val="0"/>
              <w:adjustRightInd w:val="0"/>
              <w:spacing w:after="120"/>
              <w:jc w:val="both"/>
              <w:rPr>
                <w:rFonts w:ascii="Times New Roman" w:hAnsi="Times New Roman"/>
                <w:b/>
                <w:sz w:val="24"/>
              </w:rPr>
            </w:pPr>
            <w:r w:rsidRPr="006B02A0">
              <w:rPr>
                <w:rFonts w:ascii="Times New Roman" w:hAnsi="Times New Roman"/>
                <w:b/>
                <w:sz w:val="24"/>
              </w:rPr>
              <w:t>Z čoho zabezpečené finančnými zárukami</w:t>
            </w:r>
            <w:r w:rsidR="006B02A0">
              <w:rPr>
                <w:rFonts w:ascii="Times New Roman" w:hAnsi="Times New Roman"/>
                <w:b/>
                <w:sz w:val="24"/>
              </w:rPr>
              <w:t>:</w:t>
            </w:r>
          </w:p>
          <w:p w14:paraId="17847CC4" w14:textId="08325325" w:rsidR="001A67EA" w:rsidRPr="006B02A0" w:rsidRDefault="001A67EA" w:rsidP="004F3087">
            <w:pPr>
              <w:autoSpaceDE w:val="0"/>
              <w:autoSpaceDN w:val="0"/>
              <w:adjustRightInd w:val="0"/>
              <w:spacing w:after="120"/>
              <w:jc w:val="both"/>
              <w:rPr>
                <w:rFonts w:ascii="Times New Roman" w:eastAsia="Times New Roman" w:hAnsi="Times New Roman" w:cs="Times New Roman"/>
                <w:iCs/>
                <w:sz w:val="24"/>
              </w:rPr>
            </w:pPr>
            <w:r w:rsidRPr="006B02A0">
              <w:rPr>
                <w:rFonts w:ascii="Times New Roman" w:hAnsi="Times New Roman"/>
                <w:sz w:val="24"/>
              </w:rPr>
              <w:t>Ide</w:t>
            </w:r>
            <w:r w:rsidR="006B02A0">
              <w:rPr>
                <w:rFonts w:ascii="Times New Roman" w:hAnsi="Times New Roman"/>
                <w:sz w:val="24"/>
              </w:rPr>
              <w:t xml:space="preserve"> o </w:t>
            </w:r>
            <w:r w:rsidRPr="006B02A0">
              <w:rPr>
                <w:rFonts w:ascii="Times New Roman" w:hAnsi="Times New Roman"/>
                <w:sz w:val="24"/>
              </w:rPr>
              <w:t>podmnožinu stĺpca b tohto vzoru, ktorá predstavuje účtovnú hodnotu expozícií (po odpočítaní opravných položiek/znížení hodnôt) alebo častí expozícií zabezpečených zárukami. Ak je expozícia zabezpečená zárukami</w:t>
            </w:r>
            <w:r w:rsidR="006B02A0">
              <w:rPr>
                <w:rFonts w:ascii="Times New Roman" w:hAnsi="Times New Roman"/>
                <w:sz w:val="24"/>
              </w:rPr>
              <w:t xml:space="preserve"> a </w:t>
            </w:r>
            <w:r w:rsidRPr="006B02A0">
              <w:rPr>
                <w:rFonts w:ascii="Times New Roman" w:hAnsi="Times New Roman"/>
                <w:sz w:val="24"/>
              </w:rPr>
              <w:t>inými postupmi zmierňovania kreditného rizika, pri ktorých sa očakáva, že budú</w:t>
            </w:r>
            <w:r w:rsidR="006B02A0">
              <w:rPr>
                <w:rFonts w:ascii="Times New Roman" w:hAnsi="Times New Roman"/>
                <w:sz w:val="24"/>
              </w:rPr>
              <w:t xml:space="preserve"> v </w:t>
            </w:r>
            <w:r w:rsidRPr="006B02A0">
              <w:rPr>
                <w:rFonts w:ascii="Times New Roman" w:hAnsi="Times New Roman"/>
                <w:sz w:val="24"/>
              </w:rPr>
              <w:t>prípade neuskutočnenia platby uplatnené ako prvé, účtovná hodnota expozície zabezpečenej zárukami zodpovedá zostávajúcej časti expozície po zohľadnení podielov expozície, ktoré už sú zabezpečené inými postupmi zmierňovania kreditného rizika, až do výšky účtovnej hodnoty uvedenej expozície.</w:t>
            </w:r>
          </w:p>
        </w:tc>
      </w:tr>
      <w:tr w:rsidR="001A67EA" w:rsidRPr="006B02A0" w14:paraId="674417F3" w14:textId="77777777" w:rsidTr="004F3087">
        <w:trPr>
          <w:trHeight w:val="316"/>
        </w:trPr>
        <w:tc>
          <w:tcPr>
            <w:tcW w:w="1413" w:type="dxa"/>
          </w:tcPr>
          <w:p w14:paraId="0378E1B4" w14:textId="77777777" w:rsidR="001A67EA" w:rsidRPr="006B02A0" w:rsidRDefault="001A67EA" w:rsidP="004F3087">
            <w:pPr>
              <w:autoSpaceDE w:val="0"/>
              <w:autoSpaceDN w:val="0"/>
              <w:adjustRightInd w:val="0"/>
              <w:spacing w:after="120"/>
              <w:jc w:val="both"/>
              <w:rPr>
                <w:rFonts w:ascii="Times New Roman" w:eastAsia="Times New Roman" w:hAnsi="Times New Roman" w:cs="Times New Roman"/>
                <w:sz w:val="24"/>
              </w:rPr>
            </w:pPr>
            <w:r w:rsidRPr="006B02A0">
              <w:rPr>
                <w:rFonts w:ascii="Times New Roman" w:hAnsi="Times New Roman"/>
                <w:sz w:val="24"/>
              </w:rPr>
              <w:t>e</w:t>
            </w:r>
          </w:p>
        </w:tc>
        <w:tc>
          <w:tcPr>
            <w:tcW w:w="7654" w:type="dxa"/>
          </w:tcPr>
          <w:p w14:paraId="420F4AA0" w14:textId="77777777" w:rsidR="006B02A0" w:rsidRDefault="001A67EA" w:rsidP="004F3087">
            <w:pPr>
              <w:autoSpaceDE w:val="0"/>
              <w:autoSpaceDN w:val="0"/>
              <w:adjustRightInd w:val="0"/>
              <w:spacing w:after="120"/>
              <w:jc w:val="both"/>
              <w:rPr>
                <w:rFonts w:ascii="Times New Roman" w:hAnsi="Times New Roman"/>
                <w:b/>
                <w:sz w:val="24"/>
              </w:rPr>
            </w:pPr>
            <w:r w:rsidRPr="006B02A0">
              <w:rPr>
                <w:rFonts w:ascii="Times New Roman" w:hAnsi="Times New Roman"/>
                <w:b/>
                <w:sz w:val="24"/>
              </w:rPr>
              <w:t>Z čoho zabezpečené kreditnými derivátmi</w:t>
            </w:r>
            <w:r w:rsidR="006B02A0">
              <w:rPr>
                <w:rFonts w:ascii="Times New Roman" w:hAnsi="Times New Roman"/>
                <w:b/>
                <w:sz w:val="24"/>
              </w:rPr>
              <w:t>:</w:t>
            </w:r>
          </w:p>
          <w:p w14:paraId="35390365" w14:textId="28C36612" w:rsidR="001A67EA" w:rsidRPr="006B02A0" w:rsidRDefault="001A67EA" w:rsidP="004F3087">
            <w:pPr>
              <w:autoSpaceDE w:val="0"/>
              <w:autoSpaceDN w:val="0"/>
              <w:adjustRightInd w:val="0"/>
              <w:spacing w:after="120"/>
              <w:jc w:val="both"/>
              <w:rPr>
                <w:rFonts w:ascii="Times New Roman" w:eastAsia="Times New Roman" w:hAnsi="Times New Roman" w:cs="Times New Roman"/>
                <w:iCs/>
                <w:sz w:val="24"/>
              </w:rPr>
            </w:pPr>
            <w:r w:rsidRPr="006B02A0">
              <w:rPr>
                <w:rFonts w:ascii="Times New Roman" w:hAnsi="Times New Roman"/>
                <w:sz w:val="24"/>
              </w:rPr>
              <w:t>Ide</w:t>
            </w:r>
            <w:r w:rsidR="006B02A0">
              <w:rPr>
                <w:rFonts w:ascii="Times New Roman" w:hAnsi="Times New Roman"/>
                <w:sz w:val="24"/>
              </w:rPr>
              <w:t xml:space="preserve"> o </w:t>
            </w:r>
            <w:r w:rsidRPr="006B02A0">
              <w:rPr>
                <w:rFonts w:ascii="Times New Roman" w:hAnsi="Times New Roman"/>
                <w:sz w:val="24"/>
              </w:rPr>
              <w:t>podmnožinu stĺpca d (finančné záruky) tohto vzoru, ktorá predstavuje účtovnú hodnotu expozícií (po odpočítaní opravných položiek/znížení hodnôt) alebo častí expozícií zabezpečených kreditnými derivátmi. Ak je expozícia zabezpečená kreditnými derivátmi</w:t>
            </w:r>
            <w:r w:rsidR="006B02A0">
              <w:rPr>
                <w:rFonts w:ascii="Times New Roman" w:hAnsi="Times New Roman"/>
                <w:sz w:val="24"/>
              </w:rPr>
              <w:t xml:space="preserve"> a </w:t>
            </w:r>
            <w:r w:rsidRPr="006B02A0">
              <w:rPr>
                <w:rFonts w:ascii="Times New Roman" w:hAnsi="Times New Roman"/>
                <w:sz w:val="24"/>
              </w:rPr>
              <w:t>inými postupmi zmierňovania kreditného rizika, pri ktorých sa očakáva, že budú</w:t>
            </w:r>
            <w:r w:rsidR="006B02A0">
              <w:rPr>
                <w:rFonts w:ascii="Times New Roman" w:hAnsi="Times New Roman"/>
                <w:sz w:val="24"/>
              </w:rPr>
              <w:t xml:space="preserve"> v </w:t>
            </w:r>
            <w:r w:rsidRPr="006B02A0">
              <w:rPr>
                <w:rFonts w:ascii="Times New Roman" w:hAnsi="Times New Roman"/>
                <w:sz w:val="24"/>
              </w:rPr>
              <w:t xml:space="preserve">prípade neuskutočnenia platby uplatnené ako prvé, účtovná hodnota expozície zabezpečenej kreditnými </w:t>
            </w:r>
            <w:r w:rsidRPr="006B02A0">
              <w:rPr>
                <w:rFonts w:ascii="Times New Roman" w:hAnsi="Times New Roman"/>
                <w:sz w:val="24"/>
              </w:rPr>
              <w:lastRenderedPageBreak/>
              <w:t xml:space="preserve">derivátmi zodpovedá zostávajúcemu podielu expozície po zohľadnení podielov expozície, ktoré už sú zabezpečené inými postupmi zmierňovania kreditného rizika, až do výšky účtovnej hodnoty uvedenej expozície. </w:t>
            </w:r>
          </w:p>
        </w:tc>
      </w:tr>
    </w:tbl>
    <w:p w14:paraId="3A57B273" w14:textId="77777777" w:rsidR="001A67EA" w:rsidRPr="006B02A0"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6B02A0"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6B02A0" w:rsidRDefault="001A67EA" w:rsidP="004F3087">
            <w:pPr>
              <w:autoSpaceDE w:val="0"/>
              <w:autoSpaceDN w:val="0"/>
              <w:adjustRightInd w:val="0"/>
              <w:spacing w:after="120"/>
              <w:rPr>
                <w:rFonts w:ascii="Times New Roman" w:hAnsi="Times New Roman" w:cs="Times New Roman"/>
                <w:b/>
                <w:sz w:val="24"/>
              </w:rPr>
            </w:pPr>
            <w:r w:rsidRPr="006B02A0">
              <w:rPr>
                <w:rFonts w:ascii="Times New Roman" w:hAnsi="Times New Roman"/>
                <w:b/>
                <w:sz w:val="24"/>
              </w:rPr>
              <w:t>Odkaz na riadok</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1C22AE56" w:rsidR="001A67EA" w:rsidRPr="006B02A0" w:rsidRDefault="001A67EA" w:rsidP="004F3087">
            <w:pPr>
              <w:spacing w:after="120"/>
              <w:rPr>
                <w:rFonts w:ascii="Times New Roman" w:hAnsi="Times New Roman" w:cs="Times New Roman"/>
                <w:b/>
                <w:sz w:val="24"/>
              </w:rPr>
            </w:pPr>
            <w:r w:rsidRPr="006B02A0">
              <w:rPr>
                <w:rFonts w:ascii="Times New Roman" w:hAnsi="Times New Roman"/>
                <w:b/>
                <w:sz w:val="24"/>
              </w:rPr>
              <w:t>Odkazy na právne predpisy</w:t>
            </w:r>
            <w:r w:rsidR="006B02A0">
              <w:rPr>
                <w:rFonts w:ascii="Times New Roman" w:hAnsi="Times New Roman"/>
                <w:b/>
                <w:sz w:val="24"/>
              </w:rPr>
              <w:t xml:space="preserve"> a </w:t>
            </w:r>
            <w:r w:rsidRPr="006B02A0">
              <w:rPr>
                <w:rFonts w:ascii="Times New Roman" w:hAnsi="Times New Roman"/>
                <w:b/>
                <w:sz w:val="24"/>
              </w:rPr>
              <w:t>pokyny</w:t>
            </w:r>
          </w:p>
        </w:tc>
      </w:tr>
      <w:tr w:rsidR="001A67EA" w:rsidRPr="006B02A0"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6B02A0"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6B02A0" w:rsidRDefault="001A67EA" w:rsidP="004F3087">
            <w:pPr>
              <w:spacing w:after="120"/>
              <w:rPr>
                <w:rFonts w:ascii="Times New Roman" w:hAnsi="Times New Roman" w:cs="Times New Roman"/>
                <w:b/>
                <w:sz w:val="24"/>
              </w:rPr>
            </w:pPr>
            <w:r w:rsidRPr="006B02A0">
              <w:rPr>
                <w:rFonts w:ascii="Times New Roman" w:hAnsi="Times New Roman"/>
                <w:b/>
                <w:sz w:val="24"/>
              </w:rPr>
              <w:t>Vysvetlenie</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6B02A0"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44657523" w:rsidR="001A67EA" w:rsidRPr="006B02A0" w:rsidRDefault="001A67EA" w:rsidP="004F3087">
            <w:pPr>
              <w:spacing w:after="120"/>
              <w:jc w:val="both"/>
              <w:rPr>
                <w:rFonts w:ascii="Times New Roman" w:hAnsi="Times New Roman" w:cs="Times New Roman"/>
                <w:b/>
                <w:sz w:val="24"/>
                <w:u w:val="single"/>
                <w:lang w:val="sk-SK"/>
              </w:rPr>
            </w:pPr>
            <w:r w:rsidRPr="006B02A0">
              <w:rPr>
                <w:rFonts w:ascii="Times New Roman" w:hAnsi="Times New Roman"/>
                <w:b/>
                <w:sz w:val="24"/>
                <w:u w:val="single"/>
                <w:lang w:val="sk-SK"/>
              </w:rPr>
              <w:t>Úvery</w:t>
            </w:r>
            <w:r w:rsidR="006B02A0">
              <w:rPr>
                <w:rFonts w:ascii="Times New Roman" w:hAnsi="Times New Roman"/>
                <w:b/>
                <w:sz w:val="24"/>
                <w:u w:val="single"/>
                <w:lang w:val="sk-SK"/>
              </w:rPr>
              <w:t xml:space="preserve"> a </w:t>
            </w:r>
            <w:r w:rsidRPr="006B02A0">
              <w:rPr>
                <w:rFonts w:ascii="Times New Roman" w:hAnsi="Times New Roman"/>
                <w:b/>
                <w:sz w:val="24"/>
                <w:u w:val="single"/>
                <w:lang w:val="sk-SK"/>
              </w:rPr>
              <w:t>preddavky</w:t>
            </w:r>
          </w:p>
          <w:p w14:paraId="1DF552E0" w14:textId="52D3ED53"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„Úvery</w:t>
            </w:r>
            <w:r w:rsidR="006B02A0">
              <w:rPr>
                <w:rFonts w:ascii="Times New Roman" w:hAnsi="Times New Roman"/>
                <w:sz w:val="24"/>
                <w:lang w:val="sk-SK"/>
              </w:rPr>
              <w:t xml:space="preserve"> a </w:t>
            </w:r>
            <w:r w:rsidRPr="006B02A0">
              <w:rPr>
                <w:rFonts w:ascii="Times New Roman" w:hAnsi="Times New Roman"/>
                <w:sz w:val="24"/>
                <w:lang w:val="sk-SK"/>
              </w:rPr>
              <w:t>preddavky“ sú dlhové nástroje držané inštitúciami, ktoré nie sú cennými papiermi; táto položka zahŕňa „úvery“</w:t>
            </w:r>
            <w:r w:rsidR="006B02A0">
              <w:rPr>
                <w:rFonts w:ascii="Times New Roman" w:hAnsi="Times New Roman"/>
                <w:sz w:val="24"/>
                <w:lang w:val="sk-SK"/>
              </w:rPr>
              <w:t xml:space="preserve"> v </w:t>
            </w:r>
            <w:r w:rsidRPr="006B02A0">
              <w:rPr>
                <w:rFonts w:ascii="Times New Roman" w:hAnsi="Times New Roman"/>
                <w:sz w:val="24"/>
                <w:lang w:val="sk-SK"/>
              </w:rPr>
              <w:t>súlade</w:t>
            </w:r>
            <w:r w:rsidR="006B02A0">
              <w:rPr>
                <w:rFonts w:ascii="Times New Roman" w:hAnsi="Times New Roman"/>
                <w:sz w:val="24"/>
                <w:lang w:val="sk-SK"/>
              </w:rPr>
              <w:t xml:space="preserve"> s </w:t>
            </w:r>
            <w:r w:rsidRPr="006B02A0">
              <w:rPr>
                <w:rFonts w:ascii="Times New Roman" w:hAnsi="Times New Roman"/>
                <w:sz w:val="24"/>
                <w:lang w:val="sk-SK"/>
              </w:rPr>
              <w:t xml:space="preserve">nariadením (EÚ) </w:t>
            </w:r>
            <w:r w:rsidR="006B02A0">
              <w:rPr>
                <w:rFonts w:ascii="Times New Roman" w:hAnsi="Times New Roman"/>
                <w:sz w:val="24"/>
                <w:lang w:val="sk-SK"/>
              </w:rPr>
              <w:t>č. </w:t>
            </w:r>
            <w:r w:rsidRPr="006B02A0">
              <w:rPr>
                <w:rFonts w:ascii="Times New Roman" w:hAnsi="Times New Roman"/>
                <w:sz w:val="24"/>
                <w:lang w:val="sk-SK"/>
              </w:rPr>
              <w:t>1071/2013 („nariadenie ECB</w:t>
            </w:r>
            <w:r w:rsidR="006B02A0">
              <w:rPr>
                <w:rFonts w:ascii="Times New Roman" w:hAnsi="Times New Roman"/>
                <w:sz w:val="24"/>
                <w:lang w:val="sk-SK"/>
              </w:rPr>
              <w:t xml:space="preserve"> o </w:t>
            </w:r>
            <w:r w:rsidRPr="006B02A0">
              <w:rPr>
                <w:rFonts w:ascii="Times New Roman" w:hAnsi="Times New Roman"/>
                <w:sz w:val="24"/>
                <w:lang w:val="sk-SK"/>
              </w:rPr>
              <w:t>bilancii sektora peňažných finančných inštitúcií“)</w:t>
            </w:r>
            <w:r w:rsidRPr="006B02A0">
              <w:rPr>
                <w:rStyle w:val="FootnoteReference"/>
                <w:rFonts w:ascii="Times New Roman" w:hAnsi="Times New Roman" w:cs="Times New Roman"/>
                <w:sz w:val="24"/>
                <w:lang w:val="sk-SK"/>
              </w:rPr>
              <w:footnoteReference w:id="2"/>
            </w:r>
            <w:r w:rsidRPr="006B02A0">
              <w:rPr>
                <w:rFonts w:ascii="Times New Roman" w:hAnsi="Times New Roman"/>
                <w:sz w:val="24"/>
                <w:lang w:val="sk-SK"/>
              </w:rPr>
              <w:t>, ako aj preddavky, ktoré nemožno klasifikovať ako „úvery“</w:t>
            </w:r>
            <w:r w:rsidR="006B02A0">
              <w:rPr>
                <w:rFonts w:ascii="Times New Roman" w:hAnsi="Times New Roman"/>
                <w:sz w:val="24"/>
                <w:lang w:val="sk-SK"/>
              </w:rPr>
              <w:t xml:space="preserve"> v </w:t>
            </w:r>
            <w:r w:rsidRPr="006B02A0">
              <w:rPr>
                <w:rFonts w:ascii="Times New Roman" w:hAnsi="Times New Roman"/>
                <w:sz w:val="24"/>
                <w:lang w:val="sk-SK"/>
              </w:rPr>
              <w:t>súlade</w:t>
            </w:r>
            <w:r w:rsidR="006B02A0">
              <w:rPr>
                <w:rFonts w:ascii="Times New Roman" w:hAnsi="Times New Roman"/>
                <w:sz w:val="24"/>
                <w:lang w:val="sk-SK"/>
              </w:rPr>
              <w:t xml:space="preserve"> s </w:t>
            </w:r>
            <w:r w:rsidRPr="006B02A0">
              <w:rPr>
                <w:rFonts w:ascii="Times New Roman" w:hAnsi="Times New Roman"/>
                <w:sz w:val="24"/>
                <w:lang w:val="sk-SK"/>
              </w:rPr>
              <w:t>nariadením ECB</w:t>
            </w:r>
            <w:r w:rsidR="006B02A0">
              <w:rPr>
                <w:rFonts w:ascii="Times New Roman" w:hAnsi="Times New Roman"/>
                <w:sz w:val="24"/>
                <w:lang w:val="sk-SK"/>
              </w:rPr>
              <w:t xml:space="preserve"> o </w:t>
            </w:r>
            <w:r w:rsidRPr="006B02A0">
              <w:rPr>
                <w:rFonts w:ascii="Times New Roman" w:hAnsi="Times New Roman"/>
                <w:sz w:val="24"/>
                <w:lang w:val="sk-SK"/>
              </w:rPr>
              <w:t>bilancii sektora peňažných finančných inštitúcií, ako sa vymedzuje</w:t>
            </w:r>
            <w:r w:rsidR="006B02A0">
              <w:rPr>
                <w:rFonts w:ascii="Times New Roman" w:hAnsi="Times New Roman"/>
                <w:sz w:val="24"/>
                <w:lang w:val="sk-SK"/>
              </w:rPr>
              <w:t xml:space="preserve"> v </w:t>
            </w:r>
            <w:r w:rsidRPr="006B02A0">
              <w:rPr>
                <w:rFonts w:ascii="Times New Roman" w:hAnsi="Times New Roman"/>
                <w:sz w:val="24"/>
                <w:lang w:val="sk-SK"/>
              </w:rPr>
              <w:t>časti 1 odseku 32 prílohy</w:t>
            </w:r>
            <w:r w:rsidR="006B02A0">
              <w:rPr>
                <w:rFonts w:ascii="Times New Roman" w:hAnsi="Times New Roman"/>
                <w:sz w:val="24"/>
                <w:lang w:val="sk-SK"/>
              </w:rPr>
              <w:t xml:space="preserve"> V k </w:t>
            </w:r>
            <w:r w:rsidRPr="006B02A0">
              <w:rPr>
                <w:rFonts w:ascii="Times New Roman" w:hAnsi="Times New Roman"/>
                <w:sz w:val="24"/>
                <w:lang w:val="sk-SK"/>
              </w:rPr>
              <w:t xml:space="preserve">vykonávaciemu nariadeniu Komisie (EÚ) </w:t>
            </w:r>
            <w:r w:rsidR="006B02A0">
              <w:rPr>
                <w:rFonts w:ascii="Times New Roman" w:hAnsi="Times New Roman"/>
                <w:sz w:val="24"/>
                <w:lang w:val="sk-SK"/>
              </w:rPr>
              <w:t>č. </w:t>
            </w:r>
            <w:r w:rsidRPr="006B02A0">
              <w:rPr>
                <w:rFonts w:ascii="Times New Roman" w:hAnsi="Times New Roman"/>
                <w:sz w:val="24"/>
                <w:lang w:val="sk-SK"/>
              </w:rPr>
              <w:t>680/2014</w:t>
            </w:r>
            <w:r w:rsidRPr="006B02A0">
              <w:rPr>
                <w:rStyle w:val="FootnoteReference"/>
                <w:rFonts w:ascii="Times New Roman" w:hAnsi="Times New Roman" w:cs="Times New Roman"/>
                <w:sz w:val="24"/>
                <w:lang w:val="sk-SK"/>
              </w:rPr>
              <w:footnoteReference w:id="3"/>
            </w:r>
            <w:r w:rsidRPr="006B02A0">
              <w:rPr>
                <w:rFonts w:ascii="Times New Roman" w:hAnsi="Times New Roman"/>
                <w:sz w:val="24"/>
                <w:lang w:val="sk-SK"/>
              </w:rPr>
              <w:t>.</w:t>
            </w:r>
          </w:p>
        </w:tc>
      </w:tr>
      <w:tr w:rsidR="001A67EA" w:rsidRPr="006B02A0"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2</w:t>
            </w:r>
          </w:p>
        </w:tc>
        <w:tc>
          <w:tcPr>
            <w:tcW w:w="8266" w:type="dxa"/>
            <w:tcBorders>
              <w:top w:val="single" w:sz="4" w:space="0" w:color="auto"/>
              <w:left w:val="single" w:sz="4" w:space="0" w:color="auto"/>
              <w:right w:val="single" w:sz="4" w:space="0" w:color="auto"/>
            </w:tcBorders>
          </w:tcPr>
          <w:p w14:paraId="7DC4064C" w14:textId="77777777" w:rsidR="001A67EA" w:rsidRPr="006B02A0" w:rsidRDefault="001A67EA" w:rsidP="004F3087">
            <w:pPr>
              <w:spacing w:after="120"/>
              <w:jc w:val="both"/>
              <w:rPr>
                <w:rFonts w:ascii="Times New Roman" w:hAnsi="Times New Roman" w:cs="Times New Roman"/>
                <w:b/>
                <w:sz w:val="24"/>
                <w:u w:val="single"/>
                <w:lang w:val="sk-SK"/>
              </w:rPr>
            </w:pPr>
            <w:r w:rsidRPr="006B02A0">
              <w:rPr>
                <w:rFonts w:ascii="Times New Roman" w:hAnsi="Times New Roman"/>
                <w:b/>
                <w:sz w:val="24"/>
                <w:u w:val="single"/>
                <w:lang w:val="sk-SK"/>
              </w:rPr>
              <w:t>Dlhové cenné papiere</w:t>
            </w:r>
          </w:p>
          <w:p w14:paraId="64329DF3" w14:textId="094B1145"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Dlhové cenné papiere sú dlhové nástroje držané inštitúciou emitované ako cenné papiere, ktoré nie sú úvermi</w:t>
            </w:r>
            <w:r w:rsidR="006B02A0">
              <w:rPr>
                <w:rFonts w:ascii="Times New Roman" w:hAnsi="Times New Roman"/>
                <w:sz w:val="24"/>
                <w:lang w:val="sk-SK"/>
              </w:rPr>
              <w:t xml:space="preserve"> v </w:t>
            </w:r>
            <w:r w:rsidRPr="006B02A0">
              <w:rPr>
                <w:rFonts w:ascii="Times New Roman" w:hAnsi="Times New Roman"/>
                <w:sz w:val="24"/>
                <w:lang w:val="sk-SK"/>
              </w:rPr>
              <w:t>súlade</w:t>
            </w:r>
            <w:r w:rsidR="006B02A0">
              <w:rPr>
                <w:rFonts w:ascii="Times New Roman" w:hAnsi="Times New Roman"/>
                <w:sz w:val="24"/>
                <w:lang w:val="sk-SK"/>
              </w:rPr>
              <w:t xml:space="preserve"> s </w:t>
            </w:r>
            <w:r w:rsidRPr="006B02A0">
              <w:rPr>
                <w:rFonts w:ascii="Times New Roman" w:hAnsi="Times New Roman"/>
                <w:sz w:val="24"/>
                <w:lang w:val="sk-SK"/>
              </w:rPr>
              <w:t>nariadením ECB</w:t>
            </w:r>
            <w:r w:rsidR="006B02A0">
              <w:rPr>
                <w:rFonts w:ascii="Times New Roman" w:hAnsi="Times New Roman"/>
                <w:sz w:val="24"/>
                <w:lang w:val="sk-SK"/>
              </w:rPr>
              <w:t xml:space="preserve"> o </w:t>
            </w:r>
            <w:r w:rsidRPr="006B02A0">
              <w:rPr>
                <w:rFonts w:ascii="Times New Roman" w:hAnsi="Times New Roman"/>
                <w:sz w:val="24"/>
                <w:lang w:val="sk-SK"/>
              </w:rPr>
              <w:t>bilancii sektora peňažných finančných inštitúcií, ako sa vymedzuje</w:t>
            </w:r>
            <w:r w:rsidR="006B02A0">
              <w:rPr>
                <w:rFonts w:ascii="Times New Roman" w:hAnsi="Times New Roman"/>
                <w:sz w:val="24"/>
                <w:lang w:val="sk-SK"/>
              </w:rPr>
              <w:t xml:space="preserve"> v </w:t>
            </w:r>
            <w:r w:rsidRPr="006B02A0">
              <w:rPr>
                <w:rFonts w:ascii="Times New Roman" w:hAnsi="Times New Roman"/>
                <w:sz w:val="24"/>
                <w:lang w:val="sk-SK"/>
              </w:rPr>
              <w:t>časti 1 odseku 31 prílohy</w:t>
            </w:r>
            <w:r w:rsidR="006B02A0">
              <w:rPr>
                <w:rFonts w:ascii="Times New Roman" w:hAnsi="Times New Roman"/>
                <w:sz w:val="24"/>
                <w:lang w:val="sk-SK"/>
              </w:rPr>
              <w:t xml:space="preserve"> V k </w:t>
            </w:r>
            <w:r w:rsidRPr="006B02A0">
              <w:rPr>
                <w:rFonts w:ascii="Times New Roman" w:hAnsi="Times New Roman"/>
                <w:sz w:val="24"/>
                <w:lang w:val="sk-SK"/>
              </w:rPr>
              <w:t xml:space="preserve">vykonávaciemu nariadeniu Komisie (EÚ) </w:t>
            </w:r>
            <w:r w:rsidR="006B02A0">
              <w:rPr>
                <w:rFonts w:ascii="Times New Roman" w:hAnsi="Times New Roman"/>
                <w:sz w:val="24"/>
                <w:lang w:val="sk-SK"/>
              </w:rPr>
              <w:t>č. </w:t>
            </w:r>
            <w:r w:rsidRPr="006B02A0">
              <w:rPr>
                <w:rFonts w:ascii="Times New Roman" w:hAnsi="Times New Roman"/>
                <w:sz w:val="24"/>
                <w:lang w:val="sk-SK"/>
              </w:rPr>
              <w:t>680/2014.</w:t>
            </w:r>
          </w:p>
        </w:tc>
      </w:tr>
      <w:tr w:rsidR="001A67EA" w:rsidRPr="006B02A0"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3</w:t>
            </w:r>
          </w:p>
        </w:tc>
        <w:tc>
          <w:tcPr>
            <w:tcW w:w="8266" w:type="dxa"/>
            <w:tcBorders>
              <w:top w:val="single" w:sz="4" w:space="0" w:color="auto"/>
              <w:left w:val="single" w:sz="4" w:space="0" w:color="auto"/>
              <w:right w:val="single" w:sz="4" w:space="0" w:color="auto"/>
            </w:tcBorders>
          </w:tcPr>
          <w:p w14:paraId="4015BF67" w14:textId="77777777" w:rsidR="001A67EA" w:rsidRPr="006B02A0" w:rsidRDefault="001A67EA" w:rsidP="004F3087">
            <w:pPr>
              <w:spacing w:after="120"/>
              <w:jc w:val="both"/>
              <w:rPr>
                <w:rFonts w:ascii="Times New Roman" w:hAnsi="Times New Roman" w:cs="Times New Roman"/>
                <w:b/>
                <w:sz w:val="24"/>
                <w:u w:val="single"/>
                <w:lang w:val="sk-SK"/>
              </w:rPr>
            </w:pPr>
            <w:r w:rsidRPr="006B02A0">
              <w:rPr>
                <w:rFonts w:ascii="Times New Roman" w:hAnsi="Times New Roman"/>
                <w:b/>
                <w:sz w:val="24"/>
                <w:u w:val="single"/>
                <w:lang w:val="sk-SK"/>
              </w:rPr>
              <w:t>Spolu</w:t>
            </w:r>
          </w:p>
          <w:p w14:paraId="1D5CA391" w14:textId="244E5284"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Súčet hodnôt</w:t>
            </w:r>
            <w:r w:rsidR="006B02A0">
              <w:rPr>
                <w:rFonts w:ascii="Times New Roman" w:hAnsi="Times New Roman"/>
                <w:sz w:val="24"/>
                <w:lang w:val="sk-SK"/>
              </w:rPr>
              <w:t xml:space="preserve"> v </w:t>
            </w:r>
            <w:r w:rsidRPr="006B02A0">
              <w:rPr>
                <w:rFonts w:ascii="Times New Roman" w:hAnsi="Times New Roman"/>
                <w:sz w:val="24"/>
                <w:lang w:val="sk-SK"/>
              </w:rPr>
              <w:t>riadkoch 1</w:t>
            </w:r>
            <w:r w:rsidR="006B02A0">
              <w:rPr>
                <w:rFonts w:ascii="Times New Roman" w:hAnsi="Times New Roman"/>
                <w:sz w:val="24"/>
                <w:lang w:val="sk-SK"/>
              </w:rPr>
              <w:t xml:space="preserve"> a </w:t>
            </w:r>
            <w:r w:rsidRPr="006B02A0">
              <w:rPr>
                <w:rFonts w:ascii="Times New Roman" w:hAnsi="Times New Roman"/>
                <w:sz w:val="24"/>
                <w:lang w:val="sk-SK"/>
              </w:rPr>
              <w:t>2 tohto vzoru</w:t>
            </w:r>
          </w:p>
        </w:tc>
      </w:tr>
      <w:tr w:rsidR="001A67EA" w:rsidRPr="006B02A0"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4</w:t>
            </w:r>
          </w:p>
        </w:tc>
        <w:tc>
          <w:tcPr>
            <w:tcW w:w="8266" w:type="dxa"/>
            <w:tcBorders>
              <w:top w:val="single" w:sz="4" w:space="0" w:color="auto"/>
              <w:left w:val="single" w:sz="4" w:space="0" w:color="auto"/>
              <w:right w:val="single" w:sz="4" w:space="0" w:color="auto"/>
            </w:tcBorders>
          </w:tcPr>
          <w:p w14:paraId="6361D15E" w14:textId="77777777" w:rsidR="001A67EA" w:rsidRPr="006B02A0" w:rsidRDefault="001A67EA" w:rsidP="004F3087">
            <w:pPr>
              <w:spacing w:after="120"/>
              <w:jc w:val="both"/>
              <w:rPr>
                <w:rFonts w:ascii="Times New Roman" w:hAnsi="Times New Roman" w:cs="Times New Roman"/>
                <w:b/>
                <w:sz w:val="24"/>
                <w:u w:val="single"/>
                <w:lang w:val="sk-SK"/>
              </w:rPr>
            </w:pPr>
            <w:r w:rsidRPr="006B02A0">
              <w:rPr>
                <w:rFonts w:ascii="Times New Roman" w:hAnsi="Times New Roman"/>
                <w:b/>
                <w:sz w:val="24"/>
                <w:u w:val="single"/>
                <w:lang w:val="sk-SK"/>
              </w:rPr>
              <w:t>Z čoho: problémové expozície</w:t>
            </w:r>
          </w:p>
          <w:p w14:paraId="3AA9E7C7"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Problémové expozície podľa článku 47a CRR</w:t>
            </w:r>
          </w:p>
        </w:tc>
      </w:tr>
      <w:tr w:rsidR="001A67EA" w:rsidRPr="006B02A0"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EU-5</w:t>
            </w:r>
          </w:p>
        </w:tc>
        <w:tc>
          <w:tcPr>
            <w:tcW w:w="8266" w:type="dxa"/>
            <w:tcBorders>
              <w:top w:val="single" w:sz="4" w:space="0" w:color="auto"/>
              <w:left w:val="single" w:sz="4" w:space="0" w:color="auto"/>
              <w:right w:val="single" w:sz="4" w:space="0" w:color="auto"/>
            </w:tcBorders>
          </w:tcPr>
          <w:p w14:paraId="0B9851BE" w14:textId="3AAA4B02" w:rsidR="001A67EA" w:rsidRPr="006B02A0" w:rsidRDefault="001A67EA" w:rsidP="004F3087">
            <w:pPr>
              <w:spacing w:after="120"/>
              <w:jc w:val="both"/>
              <w:rPr>
                <w:rFonts w:ascii="Times New Roman" w:hAnsi="Times New Roman" w:cs="Times New Roman"/>
                <w:b/>
                <w:sz w:val="24"/>
                <w:u w:val="single"/>
                <w:lang w:val="sk-SK"/>
              </w:rPr>
            </w:pPr>
            <w:r w:rsidRPr="006B02A0">
              <w:rPr>
                <w:rFonts w:ascii="Times New Roman" w:hAnsi="Times New Roman"/>
                <w:b/>
                <w:sz w:val="24"/>
                <w:u w:val="single"/>
                <w:lang w:val="sk-SK"/>
              </w:rPr>
              <w:t>Z čoho</w:t>
            </w:r>
            <w:r w:rsidR="006B02A0">
              <w:rPr>
                <w:rFonts w:ascii="Times New Roman" w:hAnsi="Times New Roman"/>
                <w:b/>
                <w:sz w:val="24"/>
                <w:u w:val="single"/>
                <w:lang w:val="sk-SK"/>
              </w:rPr>
              <w:t xml:space="preserve"> v </w:t>
            </w:r>
            <w:r w:rsidRPr="006B02A0">
              <w:rPr>
                <w:rFonts w:ascii="Times New Roman" w:hAnsi="Times New Roman"/>
                <w:b/>
                <w:sz w:val="24"/>
                <w:u w:val="single"/>
                <w:lang w:val="sk-SK"/>
              </w:rPr>
              <w:t>stave zlyhania</w:t>
            </w:r>
          </w:p>
          <w:p w14:paraId="6D84A962" w14:textId="1F034FF9" w:rsidR="001A67EA" w:rsidRPr="006B02A0" w:rsidRDefault="001A67EA" w:rsidP="004F3087">
            <w:pPr>
              <w:spacing w:after="120"/>
              <w:jc w:val="both"/>
              <w:rPr>
                <w:rFonts w:ascii="Times New Roman" w:hAnsi="Times New Roman" w:cs="Times New Roman"/>
                <w:sz w:val="24"/>
                <w:lang w:val="sk-SK"/>
              </w:rPr>
            </w:pPr>
            <w:r w:rsidRPr="006B02A0">
              <w:rPr>
                <w:rFonts w:ascii="Times New Roman" w:hAnsi="Times New Roman"/>
                <w:sz w:val="24"/>
                <w:lang w:val="sk-SK"/>
              </w:rPr>
              <w:t>Expozície</w:t>
            </w:r>
            <w:r w:rsidR="006B02A0">
              <w:rPr>
                <w:rFonts w:ascii="Times New Roman" w:hAnsi="Times New Roman"/>
                <w:sz w:val="24"/>
                <w:lang w:val="sk-SK"/>
              </w:rPr>
              <w:t xml:space="preserve"> v </w:t>
            </w:r>
            <w:r w:rsidRPr="006B02A0">
              <w:rPr>
                <w:rFonts w:ascii="Times New Roman" w:hAnsi="Times New Roman"/>
                <w:sz w:val="24"/>
                <w:lang w:val="sk-SK"/>
              </w:rPr>
              <w:t>stave zlyhania podľa článku 178 CRR.</w:t>
            </w:r>
          </w:p>
        </w:tc>
      </w:tr>
    </w:tbl>
    <w:p w14:paraId="11144359" w14:textId="77777777" w:rsidR="001A67EA" w:rsidRPr="006B02A0" w:rsidRDefault="001A67EA" w:rsidP="001A67EA">
      <w:pPr>
        <w:spacing w:after="120"/>
        <w:rPr>
          <w:rFonts w:ascii="Times New Roman" w:hAnsi="Times New Roman" w:cs="Times New Roman"/>
          <w:sz w:val="24"/>
          <w:highlight w:val="yellow"/>
        </w:rPr>
      </w:pPr>
    </w:p>
    <w:p w14:paraId="516865D4" w14:textId="77777777" w:rsidR="001A67EA" w:rsidRPr="006B02A0" w:rsidRDefault="001A67EA" w:rsidP="001A67EA">
      <w:pPr>
        <w:spacing w:after="120"/>
        <w:rPr>
          <w:rFonts w:ascii="Times New Roman" w:hAnsi="Times New Roman" w:cs="Times New Roman"/>
          <w:sz w:val="24"/>
          <w:highlight w:val="yellow"/>
        </w:rPr>
      </w:pPr>
    </w:p>
    <w:p w14:paraId="2D174E35" w14:textId="77777777" w:rsidR="00993FC2" w:rsidRPr="006B02A0" w:rsidRDefault="00993FC2" w:rsidP="001A67EA"/>
    <w:sectPr w:rsidR="00993FC2" w:rsidRPr="006B02A0">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A5D86" w14:textId="77777777" w:rsidR="00EF473F" w:rsidRDefault="00EF473F" w:rsidP="001A67EA">
      <w:r>
        <w:separator/>
      </w:r>
    </w:p>
  </w:endnote>
  <w:endnote w:type="continuationSeparator" w:id="0">
    <w:p w14:paraId="6D7839E5" w14:textId="77777777" w:rsidR="00EF473F" w:rsidRDefault="00EF473F"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D4EE3" w14:textId="77777777" w:rsidR="00EF473F" w:rsidRDefault="00EF473F" w:rsidP="001A67EA">
      <w:r>
        <w:separator/>
      </w:r>
    </w:p>
  </w:footnote>
  <w:footnote w:type="continuationSeparator" w:id="0">
    <w:p w14:paraId="2BEA3BAA" w14:textId="77777777" w:rsidR="00EF473F" w:rsidRDefault="00EF473F" w:rsidP="001A67EA">
      <w:r>
        <w:continuationSeparator/>
      </w:r>
    </w:p>
  </w:footnote>
  <w:footnote w:id="1">
    <w:p w14:paraId="46EBDC9A" w14:textId="1589CBDC" w:rsidR="001A67EA" w:rsidRPr="006B02A0" w:rsidRDefault="001A67EA" w:rsidP="001A67EA">
      <w:pPr>
        <w:pStyle w:val="FootnoteText"/>
        <w:rPr>
          <w:rFonts w:cstheme="minorHAnsi"/>
        </w:rPr>
      </w:pPr>
      <w:r w:rsidRPr="006B02A0">
        <w:rPr>
          <w:rStyle w:val="FootnoteReference"/>
          <w:rFonts w:cstheme="minorHAnsi"/>
        </w:rPr>
        <w:footnoteRef/>
      </w:r>
      <w:r w:rsidRPr="006B02A0">
        <w:tab/>
        <w:t>Nariadenie Európskeho parlamentu</w:t>
      </w:r>
      <w:r w:rsidR="006B02A0">
        <w:t xml:space="preserve"> a </w:t>
      </w:r>
      <w:r w:rsidRPr="006B02A0">
        <w:t xml:space="preserve">Rady (EÚ) </w:t>
      </w:r>
      <w:r w:rsidR="006B02A0">
        <w:t>č. </w:t>
      </w:r>
      <w:r w:rsidRPr="006B02A0">
        <w:t>575/2013</w:t>
      </w:r>
      <w:r w:rsidR="006B02A0">
        <w:t xml:space="preserve"> z </w:t>
      </w:r>
      <w:r w:rsidRPr="006B02A0">
        <w:t>26</w:t>
      </w:r>
      <w:r w:rsidR="006B02A0">
        <w:t>. júna</w:t>
      </w:r>
      <w:r w:rsidRPr="006B02A0">
        <w:t xml:space="preserve"> 2013</w:t>
      </w:r>
      <w:r w:rsidR="006B02A0">
        <w:t xml:space="preserve"> o </w:t>
      </w:r>
      <w:proofErr w:type="spellStart"/>
      <w:r w:rsidRPr="006B02A0">
        <w:t>prudenciálnych</w:t>
      </w:r>
      <w:proofErr w:type="spellEnd"/>
      <w:r w:rsidRPr="006B02A0">
        <w:t xml:space="preserve"> požiadavkách na úverové inštitúcie</w:t>
      </w:r>
      <w:r w:rsidR="006B02A0">
        <w:t xml:space="preserve"> a o </w:t>
      </w:r>
      <w:r w:rsidRPr="006B02A0">
        <w:t xml:space="preserve">zmene nariadenia (EÚ) </w:t>
      </w:r>
      <w:r w:rsidR="006B02A0">
        <w:t>č. </w:t>
      </w:r>
      <w:r w:rsidRPr="006B02A0">
        <w:t xml:space="preserve">648/2012, zmenené nariadením (EÚ) 2024/1623 </w:t>
      </w:r>
      <w:r w:rsidRPr="006B02A0">
        <w:rPr>
          <w:color w:val="444444"/>
        </w:rPr>
        <w:t>[</w:t>
      </w:r>
      <w:hyperlink r:id="rId1" w:history="1">
        <w:r w:rsidRPr="006B02A0">
          <w:rPr>
            <w:rStyle w:val="Hyperlink"/>
            <w:color w:val="800080"/>
          </w:rPr>
          <w:t>Ú. v. EÚ L 176, 27.6.2013, s. 1</w:t>
        </w:r>
      </w:hyperlink>
      <w:r w:rsidRPr="006B02A0">
        <w:rPr>
          <w:color w:val="800080"/>
          <w:u w:val="single"/>
        </w:rPr>
        <w:t xml:space="preserve">; </w:t>
      </w:r>
      <w:hyperlink r:id="rId2" w:history="1">
        <w:r w:rsidRPr="006B02A0">
          <w:rPr>
            <w:rStyle w:val="Hyperlink"/>
          </w:rPr>
          <w:t>Nariadenie (EÚ) 2024/1623 – SK – EUR-Lex (europa.eu)</w:t>
        </w:r>
      </w:hyperlink>
      <w:r w:rsidRPr="006B02A0">
        <w:rPr>
          <w:color w:val="444444"/>
        </w:rPr>
        <w:t>]</w:t>
      </w:r>
      <w:r w:rsidRPr="006B02A0">
        <w:t>.</w:t>
      </w:r>
    </w:p>
  </w:footnote>
  <w:footnote w:id="2">
    <w:p w14:paraId="617AD8CF" w14:textId="5EF310E2" w:rsidR="001A67EA" w:rsidRPr="006B02A0" w:rsidRDefault="001A67EA" w:rsidP="001A67EA">
      <w:pPr>
        <w:pStyle w:val="FootnoteText"/>
        <w:rPr>
          <w:rFonts w:cstheme="minorHAnsi"/>
        </w:rPr>
      </w:pPr>
      <w:r w:rsidRPr="006B02A0">
        <w:rPr>
          <w:rStyle w:val="FootnoteReference"/>
          <w:rFonts w:cstheme="minorHAnsi"/>
        </w:rPr>
        <w:footnoteRef/>
      </w:r>
      <w:r w:rsidRPr="006B02A0">
        <w:tab/>
      </w:r>
      <w:r w:rsidRPr="006B02A0">
        <w:t xml:space="preserve">NARIADENIE EURÓPSKEJ CENTRÁLNEJ BANKY (EÚ) </w:t>
      </w:r>
      <w:r w:rsidR="006B02A0">
        <w:t>č. </w:t>
      </w:r>
      <w:r w:rsidRPr="006B02A0">
        <w:t>1071/2013</w:t>
      </w:r>
      <w:r w:rsidR="006B02A0">
        <w:t xml:space="preserve"> z </w:t>
      </w:r>
      <w:r w:rsidRPr="006B02A0">
        <w:t>24</w:t>
      </w:r>
      <w:r w:rsidR="006B02A0">
        <w:t>. septembra</w:t>
      </w:r>
      <w:r w:rsidRPr="006B02A0">
        <w:t xml:space="preserve"> 2013</w:t>
      </w:r>
      <w:r w:rsidR="006B02A0">
        <w:t xml:space="preserve"> o </w:t>
      </w:r>
      <w:r w:rsidRPr="006B02A0">
        <w:t>bilancii sektora peňažných finančných inštitúcií (ECB/2013/33) (Ú. v. EÚ L 297, 7.11.2013, s. 1).</w:t>
      </w:r>
    </w:p>
  </w:footnote>
  <w:footnote w:id="3">
    <w:p w14:paraId="40DC675F" w14:textId="5BA5F6B7" w:rsidR="001A67EA" w:rsidRPr="006B02A0" w:rsidRDefault="001A67EA" w:rsidP="001A67EA">
      <w:pPr>
        <w:pStyle w:val="FootnoteText"/>
        <w:rPr>
          <w:rFonts w:cstheme="minorHAnsi"/>
        </w:rPr>
      </w:pPr>
      <w:r w:rsidRPr="006B02A0">
        <w:rPr>
          <w:rStyle w:val="FootnoteReference"/>
          <w:rFonts w:cstheme="minorHAnsi"/>
        </w:rPr>
        <w:footnoteRef/>
      </w:r>
      <w:r w:rsidRPr="006B02A0">
        <w:tab/>
      </w:r>
      <w:r w:rsidRPr="006B02A0">
        <w:t xml:space="preserve">VYKONÁVACIE NARIADENIE KOMISIE (EÚ) </w:t>
      </w:r>
      <w:r w:rsidR="006B02A0">
        <w:t>č. </w:t>
      </w:r>
      <w:r w:rsidRPr="006B02A0">
        <w:t>680/2014 zo 16</w:t>
      </w:r>
      <w:r w:rsidR="006B02A0">
        <w:t>. apríla</w:t>
      </w:r>
      <w:r w:rsidRPr="006B02A0">
        <w:t xml:space="preserve"> 2014, ktorým sa stanovujú vykonávacie technické predpisy, pokiaľ ide</w:t>
      </w:r>
      <w:r w:rsidR="006B02A0">
        <w:t xml:space="preserve"> o </w:t>
      </w:r>
      <w:r w:rsidRPr="006B02A0">
        <w:t>vykazovanie inštitúciami na účely dohľadu podľa nariadenia Európskeho parlamentu</w:t>
      </w:r>
      <w:r w:rsidR="006B02A0">
        <w:t xml:space="preserve"> a </w:t>
      </w:r>
      <w:r w:rsidRPr="006B02A0">
        <w:t xml:space="preserve">Rady (EÚ) </w:t>
      </w:r>
      <w:r w:rsidR="006B02A0">
        <w:t>č. </w:t>
      </w:r>
      <w:r w:rsidRPr="006B02A0">
        <w:t>575/2013 (Ú. v. EÚ L 191, 28.6.2014,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8E57A27" id="_x0000_t202" coordsize="21600,21600" o:spt="202" path="m,l,21600r21600,l21600,xe">
              <v:stroke joinstyle="miter"/>
              <v:path gradientshapeok="t" o:connecttype="rect"/>
            </v:shapetype>
            <v:shape id="Text Box 2" o:spid="_x0000_s1026" type="#_x0000_t202" alt="EBA Bežné použiti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A8A8F2" id="_x0000_t202" coordsize="21600,21600" o:spt="202" path="m,l,21600r21600,l21600,xe">
              <v:stroke joinstyle="miter"/>
              <v:path gradientshapeok="t" o:connecttype="rect"/>
            </v:shapetype>
            <v:shape id="Text Box 3" o:spid="_x0000_s1027" type="#_x0000_t202" alt="EBA Bežné použiti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A2B5F7B" id="_x0000_t202" coordsize="21600,21600" o:spt="202" path="m,l,21600r21600,l21600,xe">
              <v:stroke joinstyle="miter"/>
              <v:path gradientshapeok="t" o:connecttype="rect"/>
            </v:shapetype>
            <v:shape id="Text Box 1" o:spid="_x0000_s1028" type="#_x0000_t202" alt="EBA Bežné použiti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6B02A0"/>
    <w:rsid w:val="00993FC2"/>
    <w:rsid w:val="00CA68B1"/>
    <w:rsid w:val="00D03F87"/>
    <w:rsid w:val="00D527AF"/>
    <w:rsid w:val="00EF473F"/>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sk-S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K/TXT/?uri=OJ:L_202401623" TargetMode="External"/><Relationship Id="rId1" Type="http://schemas.openxmlformats.org/officeDocument/2006/relationships/hyperlink" Target="https://eur-lex.europa.eu/legal-content/SK/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B0F763-79CC-4155-993C-18F5CEE0F9C7}"/>
</file>

<file path=customXml/itemProps2.xml><?xml version="1.0" encoding="utf-8"?>
<ds:datastoreItem xmlns:ds="http://schemas.openxmlformats.org/officeDocument/2006/customXml" ds:itemID="{9B2111C1-A2DC-4F49-B388-33629F7BDEF4}"/>
</file>

<file path=customXml/itemProps3.xml><?xml version="1.0" encoding="utf-8"?>
<ds:datastoreItem xmlns:ds="http://schemas.openxmlformats.org/officeDocument/2006/customXml" ds:itemID="{36388A33-E7C5-436D-AE8C-395CC267ED8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4</Pages>
  <Words>1283</Words>
  <Characters>8100</Characters>
  <Application>Microsoft Office Word</Application>
  <DocSecurity>0</DocSecurity>
  <Lines>202</Lines>
  <Paragraphs>80</Paragraphs>
  <ScaleCrop>false</ScaleCrop>
  <Company>European Banking Authority</Company>
  <LinksUpToDate>false</LinksUpToDate>
  <CharactersWithSpaces>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SKYPALA Vlastimil (DGT)</cp:lastModifiedBy>
  <cp:revision>6</cp:revision>
  <dcterms:created xsi:type="dcterms:W3CDTF">2021-03-11T13:17:00Z</dcterms:created>
  <dcterms:modified xsi:type="dcterms:W3CDTF">2024-10-14T06:53:00Z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