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E756E" w14:textId="77777777" w:rsidR="00F43911" w:rsidRPr="007F4CC8" w:rsidRDefault="00F43911" w:rsidP="00F43911">
      <w:pPr>
        <w:pStyle w:val="Titlelevel2"/>
        <w:spacing w:before="0"/>
        <w:jc w:val="center"/>
        <w:rPr>
          <w:b/>
          <w:color w:val="auto"/>
          <w:sz w:val="24"/>
          <w:u w:val="single"/>
          <w:rFonts w:ascii="Times New Roman" w:hAnsi="Times New Roman" w:cs="Times New Roman"/>
        </w:rPr>
      </w:pPr>
      <w:r>
        <w:rPr>
          <w:b/>
          <w:color w:val="auto"/>
          <w:sz w:val="24"/>
          <w:u w:val="single"/>
          <w:rFonts w:ascii="Times New Roman" w:hAnsi="Times New Roman"/>
        </w:rPr>
        <w:t xml:space="preserve">PŘÍLOHA XXVI – Tabulky a šablony pro zpřístupňování informací o úvěrovém riziku protistrany:</w:t>
      </w:r>
      <w:r>
        <w:rPr>
          <w:b/>
          <w:color w:val="auto"/>
          <w:sz w:val="24"/>
          <w:u w:val="single"/>
          <w:rFonts w:ascii="Times New Roman" w:hAnsi="Times New Roman"/>
        </w:rPr>
        <w:t xml:space="preserve"> </w:t>
      </w:r>
      <w:r>
        <w:rPr>
          <w:b/>
          <w:color w:val="auto"/>
          <w:sz w:val="24"/>
          <w:u w:val="single"/>
          <w:rFonts w:ascii="Times New Roman" w:hAnsi="Times New Roman"/>
        </w:rPr>
        <w:t xml:space="preserve">Pokyny</w:t>
      </w:r>
    </w:p>
    <w:p w14:paraId="4C2BDA19" w14:textId="77B83EEA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Informace podle článku 439 nařízení (EU) č. 575/2013 týkající se jejich expozice vůči úvěrovému riziku protistrany podle části třetí hlavy II kapitoly 6 nařízení (EU) č. 575/2013</w:t>
      </w:r>
      <w:r w:rsidRPr="007F4CC8">
        <w:rPr>
          <w:rStyle w:val="FootnoteReference"/>
          <w:color w:val="auto"/>
          <w:lang w:val="en-GB"/>
        </w:rPr>
        <w:footnoteReference w:id="1"/>
      </w:r>
      <w:r>
        <w:rPr>
          <w:color w:val="auto"/>
          <w:sz w:val="24"/>
          <w:rFonts w:ascii="Times New Roman" w:hAnsi="Times New Roman"/>
        </w:rPr>
        <w:t xml:space="preserve"> (dále jen „CRR“) zpřístupňují instituce podle následujících pokynů k vyplnění tabulek a šablon obsažených v příloze XXV IT řešení orgánu EBA.</w:t>
      </w:r>
      <w:r>
        <w:rPr>
          <w:color w:val="auto"/>
          <w:sz w:val="24"/>
          <w:rFonts w:ascii="Times New Roman" w:hAnsi="Times New Roman"/>
        </w:rPr>
        <w:t xml:space="preserve"> </w:t>
      </w:r>
    </w:p>
    <w:p w14:paraId="495AC274" w14:textId="77777777" w:rsidR="00F43911" w:rsidRPr="007F4CC8" w:rsidRDefault="00F43911" w:rsidP="00F43911">
      <w:pPr>
        <w:pStyle w:val="Titlelevel2"/>
        <w:spacing w:before="0"/>
        <w:rPr>
          <w:bCs w:val="0"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b/>
          <w:color w:val="auto"/>
          <w:rFonts w:ascii="Times New Roman" w:hAnsi="Times New Roman"/>
        </w:rPr>
        <w:t xml:space="preserve">Tabulka EU CCRA – Zpřístupnění kvalitativních informací týkajících se úvěrového rizika protistrany (CCR):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color w:val="000000"/>
          <w:rFonts w:ascii="Times New Roman" w:hAnsi="Times New Roman"/>
        </w:rPr>
        <w:t xml:space="preserve">Pole s volně zadávanými údaji</w:t>
      </w:r>
      <w:r>
        <w:rPr>
          <w:sz w:val="24"/>
          <w:color w:val="000000"/>
          <w:rFonts w:ascii="Times New Roman" w:hAnsi="Times New Roman"/>
        </w:rPr>
        <w:t xml:space="preserve"> </w:t>
      </w:r>
    </w:p>
    <w:p w14:paraId="39E2C005" w14:textId="60AA582D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sz w:val="24"/>
          <w:rFonts w:ascii="Times New Roman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Informace uvedené v čl. 439 písm. a) až d) nařízení (EU) č. 575/2013 zpřístupňují instituce podle níže uvedených pokynů k vyplnění tabulky EU CCRA, obsažené v příloze XXV IT řešení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0F502B4D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ED5E87" w14:textId="77777777" w:rsidR="00F43911" w:rsidRPr="007F4CC8" w:rsidRDefault="00F43911" w:rsidP="004F3087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 pokyny</w:t>
            </w:r>
          </w:p>
        </w:tc>
      </w:tr>
      <w:tr w:rsidR="00F43911" w:rsidRPr="007F4CC8" w14:paraId="4303C7D7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199DCAD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6B3990F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090E4832" w14:textId="77777777" w:rsidTr="004F3087">
        <w:trPr>
          <w:trHeight w:val="680"/>
        </w:trPr>
        <w:tc>
          <w:tcPr>
            <w:tcW w:w="1384" w:type="dxa"/>
          </w:tcPr>
          <w:p w14:paraId="03165275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(a)</w:t>
            </w:r>
          </w:p>
        </w:tc>
        <w:tc>
          <w:tcPr>
            <w:tcW w:w="7655" w:type="dxa"/>
            <w:vAlign w:val="center"/>
          </w:tcPr>
          <w:p w14:paraId="0A6613B2" w14:textId="69564A45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Při zpřístupňování informací požadovaných v čl. 439 písm. a) nařízení (EU) č. 575/2013 instituce popíší metodiky použité k přiřazení vnitřně stanoveného kapitálu a úvěrových limitů pro úvěrové expozice vůči protistraně včetně metod, které byly použity k přiřazení těchto limitů k expozicím vůči ústředním protistranám.</w:t>
            </w:r>
          </w:p>
        </w:tc>
      </w:tr>
      <w:tr w:rsidR="00F43911" w:rsidRPr="007F4CC8" w14:paraId="5C895156" w14:textId="77777777" w:rsidTr="004F3087">
        <w:trPr>
          <w:trHeight w:val="680"/>
        </w:trPr>
        <w:tc>
          <w:tcPr>
            <w:tcW w:w="1384" w:type="dxa"/>
          </w:tcPr>
          <w:p w14:paraId="03F456F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(b)</w:t>
            </w:r>
          </w:p>
        </w:tc>
        <w:tc>
          <w:tcPr>
            <w:tcW w:w="7655" w:type="dxa"/>
          </w:tcPr>
          <w:p w14:paraId="4FB7E2EC" w14:textId="2E6C1B13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Při zpřístupňování informací požadovaných v čl. 439 písm. b) nařízení (EU) č. 575/2013 instituce popíší zásady týkající se záruk a jiných prostředků ke snižování úvěrového rizika, jako jsou zásady zajištění kolaterálu a ustavení úvěrových rezerv.</w:t>
            </w:r>
          </w:p>
        </w:tc>
      </w:tr>
      <w:tr w:rsidR="00F43911" w:rsidRPr="007F4CC8" w14:paraId="0916C922" w14:textId="77777777" w:rsidTr="004F3087">
        <w:trPr>
          <w:trHeight w:val="436"/>
        </w:trPr>
        <w:tc>
          <w:tcPr>
            <w:tcW w:w="1384" w:type="dxa"/>
          </w:tcPr>
          <w:p w14:paraId="1B024A74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(c)</w:t>
            </w:r>
          </w:p>
        </w:tc>
        <w:tc>
          <w:tcPr>
            <w:tcW w:w="7655" w:type="dxa"/>
          </w:tcPr>
          <w:p w14:paraId="41EF016F" w14:textId="29B7C31D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Při zpřístupňování informací požadovaných v čl. 439 písm. c) nařízení (EU) č. 575/2013 instituce popíší zásady týkající se rizika pozitivní korelace ve smyslu článku 291 nařízení (EU) č. 575/2013.</w:t>
            </w:r>
          </w:p>
        </w:tc>
      </w:tr>
      <w:tr w:rsidR="00F43911" w:rsidRPr="007F4CC8" w14:paraId="111B3E08" w14:textId="77777777" w:rsidTr="004F3087">
        <w:trPr>
          <w:trHeight w:val="557"/>
        </w:trPr>
        <w:tc>
          <w:tcPr>
            <w:tcW w:w="1384" w:type="dxa"/>
          </w:tcPr>
          <w:p w14:paraId="4A2ECD9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(d)</w:t>
            </w:r>
          </w:p>
        </w:tc>
        <w:tc>
          <w:tcPr>
            <w:tcW w:w="7655" w:type="dxa"/>
          </w:tcPr>
          <w:p w14:paraId="00928C41" w14:textId="09C5003D" w:rsidR="00F43911" w:rsidRPr="007F4CC8" w:rsidRDefault="00F43911" w:rsidP="004F3087">
            <w:pPr>
              <w:spacing w:after="24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souladu s čl. 431 odst. 3 a 4 nařízení (EU) č. 575/2013 instituce k výše uvedeným informacím doplní případné jiné cíle týkající se řízení rizik a příslušné zásady související s úvěrovým rizikem protistrany.</w:t>
            </w:r>
          </w:p>
        </w:tc>
      </w:tr>
      <w:tr w:rsidR="00F43911" w:rsidRPr="007F4CC8" w14:paraId="54F07496" w14:textId="77777777" w:rsidTr="004F3087">
        <w:trPr>
          <w:trHeight w:val="557"/>
        </w:trPr>
        <w:tc>
          <w:tcPr>
            <w:tcW w:w="1384" w:type="dxa"/>
          </w:tcPr>
          <w:p w14:paraId="5D27770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(e)</w:t>
            </w:r>
          </w:p>
        </w:tc>
        <w:tc>
          <w:tcPr>
            <w:tcW w:w="7655" w:type="dxa"/>
          </w:tcPr>
          <w:p w14:paraId="4E0DF669" w14:textId="65A6C953" w:rsidR="00F43911" w:rsidRPr="007F4CC8" w:rsidRDefault="00F43911" w:rsidP="004F3087">
            <w:pPr>
              <w:spacing w:after="24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Při zpřístupňování informací požadovaných v čl. 439 písm. d) nařízení (EU) č. 575/2013 instituce uvedou výši kolaterálu, kterou by instituce musela poskytnout v případě snížení svého úvěrového ratingu.</w:t>
            </w:r>
            <w:r>
              <w:rPr>
                <w:sz w:val="24"/>
                <w:color w:val="000000"/>
                <w:rFonts w:ascii="Times New Roman" w:hAnsi="Times New Roman"/>
              </w:rPr>
              <w:t xml:space="preserve"> </w:t>
            </w:r>
          </w:p>
          <w:p w14:paraId="08B2F868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Pokud centrální banka členského státu poskytuje pomoc v oblasti likvidity v podobě kolaterálových swapů, může příslušný orgán osvobodit instituce od poskytování uvedených informací, má-li za to, že zpřístupněním uvedených informací by mohlo být nouzové poskytnutí likvidity odkryto.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Pro tyto účely stanoví příslušný orgán náležité prahové hodnoty a objektivní kritéria.</w:t>
            </w:r>
          </w:p>
        </w:tc>
      </w:tr>
    </w:tbl>
    <w:p w14:paraId="27B59149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7B935B7B" w14:textId="77777777" w:rsidR="00F43911" w:rsidRPr="007F4CC8" w:rsidRDefault="00F43911" w:rsidP="00F43911">
      <w:pPr>
        <w:pStyle w:val="Titlelevel2"/>
        <w:spacing w:before="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Šablona EU CCR1 – Analýza expozic s úvěrovým rizikem protistrany podle přístupu: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Pevně daný formát</w:t>
      </w:r>
    </w:p>
    <w:p w14:paraId="5F298634" w14:textId="50AAEB3C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Informace uvedené v čl. 439 písm. f), g) a k) nařízení (EU) č. 575/2013 zpřístupňují instituce podle níže uvedených pokynů k vyplnění šablony EU CCR1, obsažené v příloze XXV IT řešení orgánu EBA.</w:t>
      </w:r>
    </w:p>
    <w:p w14:paraId="570E50EE" w14:textId="6EAB5FC6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Tato šablona nezahrnuje kapitálové požadavky k riziku úvěrových úprav v ocenění (CVA) (část třetí hlava VI nařízení (EU) č. 575/2013) a expozice vůči ústřední protistraně (část třetí hlava II kapitola 6 oddíl 9 nařízení (EU) č. 575/2013) vymezené pro účely šablony EU CCR8.</w:t>
      </w:r>
      <w:r>
        <w:t xml:space="preserve"> </w:t>
      </w:r>
      <w:r>
        <w:rPr>
          <w:sz w:val="24"/>
          <w:color w:val="000000"/>
          <w:rFonts w:ascii="Times New Roman" w:hAnsi="Times New Roman"/>
        </w:rPr>
        <w:t xml:space="preserve">V případě transakcí s financováním cenných papírů zahrnuje hodnoty expozic před účinkem snižování úvěrového rizika i po něm, jak jsou určeny pomocí metod stanovených v části třetí hlavě II kapitole 4 a 6 nařízení (EU) č. 575/2013, ať už se použije kterákoli z nich, v souladu s čl. 439 písm. g) nařízení (EU) č. 575/2013, a související objemy rizikové expozice v členění podle příslušné metody.</w:t>
      </w:r>
    </w:p>
    <w:p w14:paraId="5B43A4B5" w14:textId="294B364B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Instituce používající metody stanovené v části třetí hlavě II kapitole 6 oddílech 4 až 5 nařízení (EU) č. 575/2013 uvedou v textu připojeném k šabloně objem svých rozvahových a podrozvahových derivátových obchodů vypočtený podle čl. 273a odst. 1 nebo odst. 2 nařízení (EU) č. 575/2013 podle příslušného případu, při použití čl. 439 odst. m) nařízení (EU) č. 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5F106C62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12A352" w14:textId="77777777" w:rsidR="00F43911" w:rsidRPr="007F4CC8" w:rsidRDefault="00F43911" w:rsidP="004F3087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 pokyny</w:t>
            </w:r>
          </w:p>
        </w:tc>
      </w:tr>
      <w:tr w:rsidR="00F43911" w:rsidRPr="007F4CC8" w14:paraId="44A608CD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41AE583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6E39A5E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12C559C4" w14:textId="77777777" w:rsidTr="004F3087">
        <w:trPr>
          <w:trHeight w:val="680"/>
        </w:trPr>
        <w:tc>
          <w:tcPr>
            <w:tcW w:w="1384" w:type="dxa"/>
          </w:tcPr>
          <w:p w14:paraId="30AC7598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EU-1</w:t>
            </w:r>
          </w:p>
        </w:tc>
        <w:tc>
          <w:tcPr>
            <w:tcW w:w="7655" w:type="dxa"/>
          </w:tcPr>
          <w:p w14:paraId="632808E1" w14:textId="77777777" w:rsidR="00F43911" w:rsidRPr="00360C8C" w:rsidRDefault="00F43911" w:rsidP="004F3087">
            <w:pPr>
              <w:pStyle w:val="TableMainHeading"/>
              <w:spacing w:before="0" w:after="240"/>
              <w:jc w:val="both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Metoda původní expozice (pro deriváty)</w:t>
            </w:r>
          </w:p>
          <w:p w14:paraId="11E99694" w14:textId="456EAC3E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Deriváty a transakce s delší dobou vypořádání, u nichž se instituce rozhodly vypočítávat hodnotu expozice jako alfa*(RC+PFE), kde α=1,4 a RC a PFE se vypočítá v souladu s částí třetí hlavou II kapitolou 6 oddílem 5 článkem 282 nařízení (EU) č. 575/2013.</w:t>
            </w:r>
          </w:p>
          <w:p w14:paraId="49426263" w14:textId="41D2ADED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Tuto zjednodušenou metodu výpočtu hodnoty expozice derivátových pozic mohou použít pouze instituce, které splňují podmínky stanovené v části třetí hlavě II kapitole 6 čl. 273a odst. 2 nebo 4 nařízení (EU) č. 575/2013.</w:t>
            </w:r>
          </w:p>
        </w:tc>
      </w:tr>
      <w:tr w:rsidR="00F43911" w:rsidRPr="007F4CC8" w14:paraId="554E3BC9" w14:textId="77777777" w:rsidTr="004F3087">
        <w:trPr>
          <w:trHeight w:val="680"/>
        </w:trPr>
        <w:tc>
          <w:tcPr>
            <w:tcW w:w="1384" w:type="dxa"/>
          </w:tcPr>
          <w:p w14:paraId="381179F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EU-2</w:t>
            </w:r>
          </w:p>
        </w:tc>
        <w:tc>
          <w:tcPr>
            <w:tcW w:w="7655" w:type="dxa"/>
          </w:tcPr>
          <w:p w14:paraId="1180B055" w14:textId="77777777" w:rsidR="00F43911" w:rsidRPr="00360C8C" w:rsidRDefault="00F43911" w:rsidP="004F3087">
            <w:pPr>
              <w:pStyle w:val="TableMainHeading"/>
              <w:spacing w:before="0" w:after="240"/>
              <w:jc w:val="both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Zjednodušený standardizovaný přístup pro CCR (zjednodušený přístup SA-CCR pro deriváty)</w:t>
            </w:r>
          </w:p>
          <w:p w14:paraId="10F957D1" w14:textId="4A672A0C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Deriváty a transakce s delší dobou vypořádání, u nichž se instituce rozhodly vypočítávat hodnotu expozice jako alfa*(RC+PFE), kde α=1,4 a RC a PFE se vypočítá v souladu s částí třetí hlavou II kapitolou 6 oddílem 4 článkem 281 nařízení (EU) č. 575/2013.</w:t>
            </w:r>
          </w:p>
          <w:p w14:paraId="48AAA379" w14:textId="72C4FD1A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Tento zjednodušený standardizovaný přístup pro výpočet hodnoty expozice derivátových pozic mohou použít pouze instituce, které splňují podmínky stanovené v části třetí hlavě II kapitole 6 čl. 273a odst. 1 nebo 4 nařízení (EU) č.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43911" w:rsidRPr="007F4CC8" w14:paraId="3680CF86" w14:textId="77777777" w:rsidTr="004F3087">
        <w:trPr>
          <w:trHeight w:val="680"/>
        </w:trPr>
        <w:tc>
          <w:tcPr>
            <w:tcW w:w="1384" w:type="dxa"/>
          </w:tcPr>
          <w:p w14:paraId="35587E43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1</w:t>
            </w:r>
          </w:p>
        </w:tc>
        <w:tc>
          <w:tcPr>
            <w:tcW w:w="7655" w:type="dxa"/>
          </w:tcPr>
          <w:p w14:paraId="1EF0ADED" w14:textId="77777777" w:rsidR="00F43911" w:rsidRPr="00360C8C" w:rsidRDefault="00F43911" w:rsidP="004F3087">
            <w:pPr>
              <w:pStyle w:val="Default"/>
              <w:spacing w:after="240"/>
              <w:jc w:val="both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Standardizovaný přístup pro CCR (přístup SA-CCR pro deriváty)</w:t>
            </w:r>
          </w:p>
          <w:p w14:paraId="124D31EB" w14:textId="0A2EBA1F" w:rsidR="00F43911" w:rsidRPr="007F4CC8" w:rsidRDefault="00F43911" w:rsidP="004F3087">
            <w:pPr>
              <w:pStyle w:val="Default"/>
              <w:spacing w:after="240"/>
              <w:jc w:val="both"/>
              <w:rPr>
                <w:i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Deriváty a transakce s delší dobou vypořádání, u nichž se instituce rozhodly vypočítávat hodnotu expozice jako alfa*(RC+PFE), kde α=1,4 a RC a PFE se vypočítá v souladu s částí třetí hlavou II kapitolou 6 oddílem 3 nařízení (EU) č. 575/2013.</w:t>
            </w:r>
          </w:p>
        </w:tc>
      </w:tr>
      <w:tr w:rsidR="00F43911" w:rsidRPr="007F4CC8" w14:paraId="578C8E76" w14:textId="77777777" w:rsidTr="004F3087">
        <w:trPr>
          <w:trHeight w:val="680"/>
        </w:trPr>
        <w:tc>
          <w:tcPr>
            <w:tcW w:w="1384" w:type="dxa"/>
          </w:tcPr>
          <w:p w14:paraId="06A628A4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highlight w:val="yellow"/>
              </w:rPr>
            </w:pPr>
            <w:r>
              <w:t xml:space="preserve">2</w:t>
            </w:r>
          </w:p>
        </w:tc>
        <w:tc>
          <w:tcPr>
            <w:tcW w:w="7655" w:type="dxa"/>
          </w:tcPr>
          <w:p w14:paraId="2F71D0B4" w14:textId="77777777" w:rsidR="00F43911" w:rsidRPr="00360C8C" w:rsidRDefault="00F43911" w:rsidP="004F3087">
            <w:pPr>
              <w:pStyle w:val="Default"/>
              <w:spacing w:after="240"/>
              <w:jc w:val="both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Metoda interního modelu (pro deriváty a SFT)</w:t>
            </w:r>
          </w:p>
          <w:p w14:paraId="3C605AEA" w14:textId="3DA6EB7D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both"/>
              <w:rPr>
                <w:i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Deriváty a transakce s delší dobou vypořádání a transakce s financováním cenných papírů, u nichž bylo instituci povoleno vypočítat hodnotu expozice pomocí metody interního modelu v souladu s částí třetí hlavou II kapitolou 6 oddílem 6 nařízení (EU) č. 575/2013.</w:t>
            </w:r>
          </w:p>
        </w:tc>
      </w:tr>
      <w:tr w:rsidR="00F43911" w:rsidRPr="007F4CC8" w14:paraId="143A2404" w14:textId="77777777" w:rsidTr="004F3087">
        <w:trPr>
          <w:trHeight w:val="680"/>
        </w:trPr>
        <w:tc>
          <w:tcPr>
            <w:tcW w:w="1384" w:type="dxa"/>
          </w:tcPr>
          <w:p w14:paraId="46421B5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EU-2a</w:t>
            </w:r>
          </w:p>
        </w:tc>
        <w:tc>
          <w:tcPr>
            <w:tcW w:w="7655" w:type="dxa"/>
          </w:tcPr>
          <w:p w14:paraId="711F7D3E" w14:textId="77777777" w:rsidR="00F43911" w:rsidRPr="00A03D37" w:rsidRDefault="00F43911" w:rsidP="004F3087">
            <w:pPr>
              <w:pStyle w:val="Default"/>
              <w:spacing w:after="240"/>
              <w:jc w:val="both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Z toho skupiny transakcí se započtením transakcí s financováním cenných papírů</w:t>
            </w:r>
          </w:p>
          <w:p w14:paraId="6014ACE8" w14:textId="47A4E50A" w:rsidR="00F43911" w:rsidRPr="007F4CC8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Skupiny transakcí se započtením obsahující pouze transakce s financováním cenných papírů ve smyslu čl. 4 odst. 1 bodu 139 nařízení (EU) č. 575/2013, u nichž bylo instituci povoleno určit hodnotu expozice pomocí metody interního modelu</w:t>
            </w:r>
          </w:p>
        </w:tc>
      </w:tr>
      <w:tr w:rsidR="00F43911" w:rsidRPr="007F4CC8" w14:paraId="2A9527B7" w14:textId="77777777" w:rsidTr="004F3087">
        <w:trPr>
          <w:trHeight w:val="680"/>
        </w:trPr>
        <w:tc>
          <w:tcPr>
            <w:tcW w:w="1384" w:type="dxa"/>
          </w:tcPr>
          <w:p w14:paraId="158457DE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EU-2b</w:t>
            </w:r>
          </w:p>
        </w:tc>
        <w:tc>
          <w:tcPr>
            <w:tcW w:w="7655" w:type="dxa"/>
          </w:tcPr>
          <w:p w14:paraId="112B8BC9" w14:textId="77777777" w:rsidR="00F43911" w:rsidRPr="00A03D37" w:rsidRDefault="00F43911" w:rsidP="004F3087">
            <w:pPr>
              <w:pStyle w:val="Default"/>
              <w:spacing w:after="240"/>
              <w:jc w:val="both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Z toho skupiny transakcí se započtením zahrnující deriváty a transakce s delší dobou vypořádání</w:t>
            </w:r>
          </w:p>
          <w:p w14:paraId="4E9E50F8" w14:textId="68959B51" w:rsidR="00F43911" w:rsidRPr="007F4CC8" w:rsidRDefault="00F43911" w:rsidP="004F3087">
            <w:pPr>
              <w:pStyle w:val="Default"/>
              <w:spacing w:after="240"/>
              <w:jc w:val="both"/>
              <w:rPr>
                <w:i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Skupiny transakcí se započtením obsahující pouze derivátové nástroje uvedené v příloze II nařízení (EU) č. 575/2013 a transakce s delší dobou vypořádání ve smyslu čl. 272 bodu 2 nařízení (EU) č. 575/2013, u nichž bylo institucím povoleno určit hodnotu expozice pomocí metody interního modelu.</w:t>
            </w:r>
          </w:p>
        </w:tc>
      </w:tr>
      <w:tr w:rsidR="00F43911" w:rsidRPr="007F4CC8" w14:paraId="124CD73D" w14:textId="77777777" w:rsidTr="004F3087">
        <w:trPr>
          <w:trHeight w:val="680"/>
        </w:trPr>
        <w:tc>
          <w:tcPr>
            <w:tcW w:w="1384" w:type="dxa"/>
          </w:tcPr>
          <w:p w14:paraId="3721675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EU-2c</w:t>
            </w:r>
          </w:p>
        </w:tc>
        <w:tc>
          <w:tcPr>
            <w:tcW w:w="7655" w:type="dxa"/>
          </w:tcPr>
          <w:p w14:paraId="1786D9AA" w14:textId="77777777" w:rsidR="00F43911" w:rsidRPr="00A03D37" w:rsidRDefault="00F43911" w:rsidP="004F3087">
            <w:pPr>
              <w:pStyle w:val="Default"/>
              <w:spacing w:after="240"/>
              <w:jc w:val="both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Z toho ze smluvního křížového započtení</w:t>
            </w:r>
          </w:p>
          <w:p w14:paraId="2B590CCD" w14:textId="62BAAF0A" w:rsidR="00F43911" w:rsidRPr="007F4CC8" w:rsidRDefault="00F43911" w:rsidP="004F3087">
            <w:pPr>
              <w:pStyle w:val="Default"/>
              <w:spacing w:after="240"/>
              <w:jc w:val="both"/>
              <w:rPr>
                <w:i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Skupina transakcí se započtením zahrnující transakce různých kategorií produktů (čl. 272 bod 11 nařízení (EU) č. 575/2013), tj. deriváty a transakce s financováním cenných papírů, pro které existuje dohoda o křížovém započtení na základě smlouvy ve smyslu čl. 272 bodu 25 nařízení (EU) č. 575/2013 a u nichž bylo instituci povoleno určit hodnotu expozice pomocí metody interního modelu</w:t>
            </w:r>
          </w:p>
        </w:tc>
      </w:tr>
      <w:tr w:rsidR="00F43911" w:rsidRPr="007F4CC8" w14:paraId="7D81F05B" w14:textId="77777777" w:rsidTr="004F3087">
        <w:trPr>
          <w:trHeight w:val="680"/>
        </w:trPr>
        <w:tc>
          <w:tcPr>
            <w:tcW w:w="1384" w:type="dxa"/>
          </w:tcPr>
          <w:p w14:paraId="28E9EC92" w14:textId="77777777" w:rsidR="00F43911" w:rsidRPr="00A03D37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3, 4</w:t>
            </w:r>
          </w:p>
        </w:tc>
        <w:tc>
          <w:tcPr>
            <w:tcW w:w="7655" w:type="dxa"/>
          </w:tcPr>
          <w:p w14:paraId="3125535D" w14:textId="77777777" w:rsidR="00F43911" w:rsidRPr="00A03D37" w:rsidRDefault="00F43911" w:rsidP="004F3087">
            <w:pPr>
              <w:pStyle w:val="TableMainHeading"/>
              <w:spacing w:before="0" w:after="240"/>
              <w:jc w:val="both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Jednoduchá metoda finančního kolaterálu (pro SFT) a komplexní metoda finančního kolaterálu (pro SFT)</w:t>
            </w:r>
          </w:p>
          <w:p w14:paraId="7FFBE4B5" w14:textId="7D2E8323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Repo obchody, půjčky či výpůjčky cenných papírů nebo komodit a maržové obchody, u nichž se instituce rozhodly určit hodnotu expozice v souladu s částí třetí hlavou II kapitolou 4 články 222 a 223 nařízení (EU) č. 575/2013, nikoli s částí třetí hlavou II kapitolou 6 čl. 271 odst. 2 nařízení (EU) č. 575/2013.</w:t>
            </w:r>
          </w:p>
        </w:tc>
      </w:tr>
      <w:tr w:rsidR="00F43911" w:rsidRPr="007F4CC8" w14:paraId="0521450C" w14:textId="77777777" w:rsidTr="004F3087">
        <w:trPr>
          <w:trHeight w:val="680"/>
        </w:trPr>
        <w:tc>
          <w:tcPr>
            <w:tcW w:w="1384" w:type="dxa"/>
          </w:tcPr>
          <w:p w14:paraId="7CEED5F4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highlight w:val="yellow"/>
              </w:rPr>
            </w:pPr>
            <w:r>
              <w:t xml:space="preserve">5</w:t>
            </w:r>
          </w:p>
        </w:tc>
        <w:tc>
          <w:tcPr>
            <w:tcW w:w="7655" w:type="dxa"/>
          </w:tcPr>
          <w:p w14:paraId="7192FE6E" w14:textId="77777777" w:rsidR="00F43911" w:rsidRPr="005F3D92" w:rsidRDefault="00F43911" w:rsidP="004F3087">
            <w:pPr>
              <w:pStyle w:val="TableMainHeading"/>
              <w:spacing w:before="0" w:after="240"/>
              <w:jc w:val="both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VaR pro SFT</w:t>
            </w:r>
          </w:p>
          <w:p w14:paraId="2F37A77D" w14:textId="7C69D743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i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Repo obchody, půjčky či výpůjčky cenných papírů nebo komodit, maržové obchody nebo jiné transakce na kapitálovém trhu jiné než transakce s deriváty, u nichž se (v souladu s článkem 221 nařízení (EU) č. 575/2013) hodnota expozice vypočítá pomocí přístupu interního modelu, který zohledňuje vliv korelace mezi pozicemi v cenných papírech, které jsou předmětem dané rámcové dohody o započtení, i likviditu dotčených nástrojů</w:t>
            </w:r>
          </w:p>
        </w:tc>
      </w:tr>
      <w:tr w:rsidR="00F43911" w:rsidRPr="007F4CC8" w14:paraId="31D989D4" w14:textId="77777777" w:rsidTr="004F3087">
        <w:trPr>
          <w:trHeight w:val="680"/>
        </w:trPr>
        <w:tc>
          <w:tcPr>
            <w:tcW w:w="1384" w:type="dxa"/>
          </w:tcPr>
          <w:p w14:paraId="6862A0A5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6</w:t>
            </w:r>
          </w:p>
        </w:tc>
        <w:tc>
          <w:tcPr>
            <w:tcW w:w="7655" w:type="dxa"/>
          </w:tcPr>
          <w:p w14:paraId="2AB9B821" w14:textId="77777777" w:rsidR="00F43911" w:rsidRPr="005F3D92" w:rsidRDefault="00F43911" w:rsidP="004F3087">
            <w:pPr>
              <w:pStyle w:val="TableMainHeading"/>
              <w:spacing w:before="0" w:after="240"/>
              <w:jc w:val="both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Celkem</w:t>
            </w:r>
          </w:p>
        </w:tc>
      </w:tr>
      <w:tr w:rsidR="00F43911" w:rsidRPr="007F4CC8" w14:paraId="56B6586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895A91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 xml:space="preserve"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642A45" w14:textId="77777777" w:rsidR="00F43911" w:rsidRPr="007F4CC8" w:rsidRDefault="00F43911" w:rsidP="004F3087">
            <w:pPr>
              <w:pStyle w:val="TableMainHeading"/>
              <w:spacing w:before="0" w:after="24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464AD38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9793D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a, 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DBD8" w14:textId="77777777" w:rsidR="00F43911" w:rsidRPr="005F3D92" w:rsidRDefault="00F43911" w:rsidP="004F3087">
            <w:pPr>
              <w:pStyle w:val="TableMainHeading"/>
              <w:spacing w:before="0" w:after="240"/>
              <w:jc w:val="both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Reprodukční náklady (RC) a potenciální budoucí expozice (PFE)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66AE0A2" w14:textId="77777777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RC a PFE se vypočítají:</w:t>
            </w:r>
          </w:p>
          <w:p w14:paraId="3D3887A9" w14:textId="037427CB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v souladu s částí třetí hlavou II kapitolou 6 oddílem 5 čl. 282 odst. 3 a 4 nařízení (EU) č. 575/2013 u metody původní expozice (řádek EU-1 této šablony);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CB92BF2" w14:textId="1A27535E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v souladu s částí třetí hlavou II kapitolou 6 oddílem 5 článkem 281 nařízení (EU) č. 575/2013 u zjednodušeného přístupu SA-CCR (řádek EU-2 této šablony);</w:t>
            </w:r>
          </w:p>
          <w:p w14:paraId="26D7BCAE" w14:textId="71B5EE99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– v souladu s částí třetí hlavou II kapitolou 6 oddíly 4 a 5 články 275 a 278 nařízení (EU) č. 575/2013 u přístupu SA-CCR (řádek 1 této šablony).</w:t>
            </w:r>
          </w:p>
          <w:p w14:paraId="3D6E29EA" w14:textId="77777777" w:rsidR="00F43911" w:rsidRPr="007F4CC8" w:rsidRDefault="00F43911" w:rsidP="004F3087">
            <w:pPr>
              <w:spacing w:after="240"/>
            </w:pPr>
            <w:r>
              <w:rPr>
                <w:sz w:val="24"/>
                <w:rFonts w:ascii="Times New Roman" w:hAnsi="Times New Roman"/>
              </w:rPr>
              <w:t xml:space="preserve">Instituce uvedou součet reprodukčních nákladů pro všechny skupiny transakcí se započtením v příslušných řádcích.</w:t>
            </w:r>
          </w:p>
        </w:tc>
      </w:tr>
      <w:tr w:rsidR="00F43911" w:rsidRPr="007F4CC8" w14:paraId="48B76C0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1632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637E6" w14:textId="77777777" w:rsidR="00F43911" w:rsidRPr="005F3D92" w:rsidRDefault="00F43911" w:rsidP="004F3087">
            <w:pPr>
              <w:pStyle w:val="Default"/>
              <w:spacing w:after="240"/>
              <w:jc w:val="both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Efektivní očekávaná pozitivní expozice (EEPE)</w:t>
            </w:r>
          </w:p>
          <w:p w14:paraId="457B2CC6" w14:textId="76476F86" w:rsidR="00F43911" w:rsidRPr="007F4CC8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EEPE pro jednotlivé skupiny transakcí se započtením je definována v čl. 272 bodě 22 nařízení (EU) č. 575/2013 a vypočítá se v souladu s čl. 284 odst. 6 nařízení (EU) č. 575/2013.</w:t>
            </w:r>
          </w:p>
          <w:p w14:paraId="217186F1" w14:textId="2D8E5933" w:rsidR="00F43911" w:rsidRPr="007F4CC8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Zde se vykazuje EEPE použitá pro stanovení kapitálových požadavků v souladu s čl. 284 odst. 3 nařízení (EU) č. 575/2013, tj. buď EEPE vypočtená za použití stávajících tržních údajů, nebo EEPE vypočtená pomocí zátěžové kalibrace, podle toho, která hodnota vede k vyššímu kapitálovému požadavku.</w:t>
            </w:r>
          </w:p>
          <w:p w14:paraId="1B528B51" w14:textId="77777777" w:rsidR="00F43911" w:rsidRPr="007F4CC8" w:rsidRDefault="00F43911" w:rsidP="004F3087">
            <w:pPr>
              <w:pStyle w:val="Default"/>
              <w:spacing w:after="240"/>
              <w:jc w:val="both"/>
              <w:rPr>
                <w:b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V textu připojeném k šabloně instituce upřesní, která EEPE byla zadána.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43911" w:rsidRPr="007F4CC8" w14:paraId="4A08193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74A7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8FFD" w14:textId="77777777" w:rsidR="00F43911" w:rsidRPr="005F3D92" w:rsidRDefault="00F43911" w:rsidP="004F3087">
            <w:pPr>
              <w:pStyle w:val="Default"/>
              <w:spacing w:after="240"/>
              <w:jc w:val="both"/>
              <w:rPr>
                <w:b/>
                <w:rFonts w:ascii="Times New Roman" w:hAnsi="Times New Roman" w:cs="Times New Roman"/>
              </w:rPr>
            </w:pPr>
            <w:r>
              <w:rPr>
                <w:b/>
                <w:rFonts w:ascii="Times New Roman" w:hAnsi="Times New Roman"/>
              </w:rPr>
              <w:t xml:space="preserve">Koeficient alfa použitý pro výpočet regulatorní hodnoty expozic</w:t>
            </w:r>
          </w:p>
          <w:p w14:paraId="6B33CCED" w14:textId="4900B432" w:rsidR="00F43911" w:rsidRPr="007F4CC8" w:rsidRDefault="00F43911" w:rsidP="004F3087">
            <w:pPr>
              <w:pStyle w:val="Default"/>
              <w:spacing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Hodnota α je pevně stanovena jako 1,4 v řádcích EU-1, EU-2 a 1 této šablony v souladu s čl. 282 odst. 2, odst. 281 odst. 1 a čl. 274 odst. 2 nařízení (EU) č. 575/2013.</w:t>
            </w:r>
          </w:p>
          <w:p w14:paraId="3D498F38" w14:textId="1A3CD52A" w:rsidR="00F43911" w:rsidRPr="007F4CC8" w:rsidRDefault="00F43911" w:rsidP="004F3087">
            <w:pPr>
              <w:pStyle w:val="Default"/>
              <w:spacing w:after="240"/>
              <w:jc w:val="both"/>
              <w:rPr>
                <w:b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Pro účely metody interního modelu může koeficient α nabývat buď implicitní hodnoty 1,4, nebo jiné hodnoty, pokud příslušné orgány vyžadují vyšší koeficient α v souladu s čl. 284 odst. 4 nařízení (EU) č. 575/2013 nebo povolí institucím používat jejich vlastní odhady v souladu částí třetí hlavou II kapitolou 6 oddílem 6 čl. 284 odst. 9 nařízení (EU) č. 575/2013.</w:t>
            </w:r>
          </w:p>
        </w:tc>
      </w:tr>
      <w:tr w:rsidR="00F43911" w:rsidRPr="007F4CC8" w14:paraId="55D7A87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BD322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F80C4" w14:textId="77777777" w:rsidR="00F43911" w:rsidRPr="005F3D92" w:rsidRDefault="00F43911" w:rsidP="004F3087">
            <w:pPr>
              <w:pStyle w:val="TableMainHeading"/>
              <w:spacing w:before="0" w:after="24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Hodnota expozic před snížením úvěrového rizika</w:t>
            </w:r>
          </w:p>
          <w:p w14:paraId="4D1BA8A2" w14:textId="2ACA7816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expozice před snížením úvěrového rizika vyplývající z CCR se vypočítá v souladu s metodami stanovenými v části třetí hlavě II kapitolách 4 a 6 nařízení (EU) č. 575/2013 a s přihlédnutím k účinku započtení, avšak bez ohledu na jakékoli jiné techniky snižování úvěrového rizika (např. maržový kolaterál).</w:t>
            </w:r>
          </w:p>
          <w:p w14:paraId="392128FE" w14:textId="77777777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případě SFT se složka cenných papírů při určování hodnoty expozice před snížením úvěrového rizika, když je obdržen kolaterál, nebere v úvahu, a tudíž nesnižuje hodnotu expozice.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Složka cenných papírů SFT se naopak zohlední při určování hodnoty expozice před snížením úvěrového rizika obvyklým způsobem při poskytnutí kolaterálu.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82E5F75" w14:textId="77777777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 obchodům zajištěným kolaterálem se přistupuje stejně jako k nezajištěným obchodům, tj. neuplatní se dopady dozajištění.</w:t>
            </w:r>
          </w:p>
          <w:p w14:paraId="3610D469" w14:textId="346DB6F0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transakcí, u nichž bylo zjištěno specifické riziko pozitivní korelace, musí být hodnota expozice před snížením úvěrového rizika stanovena v souladu s článkem 291 nařízení (EU) č. 575/2013.</w:t>
            </w:r>
          </w:p>
          <w:p w14:paraId="3EB18FDE" w14:textId="700FF1F2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expozice před snížením úvěrového rizika nezohledňuje odpočet vzniklé ztráty v souvislosti s úvěrovou úpravou v ocenění podle čl. 273 odst. 6 nařízení (EU) č. 575/2013.</w:t>
            </w:r>
          </w:p>
          <w:p w14:paraId="3CE91BAE" w14:textId="77777777" w:rsidR="00F43911" w:rsidRPr="007F4CC8" w:rsidRDefault="00F43911" w:rsidP="004F3087">
            <w:pPr>
              <w:spacing w:after="24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vykazuje součet všech hodnot expozic před snížením úvěrového rizika v příslušném řádku.</w:t>
            </w:r>
          </w:p>
        </w:tc>
      </w:tr>
      <w:tr w:rsidR="00F43911" w:rsidRPr="007F4CC8" w14:paraId="0C2F5EE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7D22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f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5D69F" w14:textId="77777777" w:rsidR="00F43911" w:rsidRPr="005F3D92" w:rsidRDefault="00F43911" w:rsidP="004F3087">
            <w:pPr>
              <w:pStyle w:val="TableMainHeading"/>
              <w:spacing w:before="0" w:after="24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Hodnota expozic (po snížení úvěrového rizika)</w:t>
            </w:r>
          </w:p>
          <w:p w14:paraId="4C374AEE" w14:textId="5BC2862E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expozice po snížení úvěrového rizika vyplývající z CCR se vypočítá v souladu s metodami stanovenými v části třetí hlavě II kapitolách 4 a 6 nařízení (EU) č. 575/2013 a po uplatnění technik snižování úvěrového rizika použitelných v souladu s částí třetí hlavou II kapitolami 4 a 6 nařízení (EU) č. 575/2013.</w:t>
            </w:r>
          </w:p>
          <w:p w14:paraId="00427D02" w14:textId="50A27684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 transakcí, u nichž bylo zjištěno specifické riziko pozitivní korelace, musí být hodnota expozice stanovena v souladu s článkem 291 nařízení (EU) č. 575/2013.</w:t>
            </w:r>
          </w:p>
          <w:p w14:paraId="11C26276" w14:textId="03A97DB3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souladu s čl. 273 odst. 6 nařízení (EU) č. 575/2013 se od hodnoty expozice po snížení úvěrového rizika neodečítá vzniklá ztráta CVA.</w:t>
            </w:r>
          </w:p>
          <w:p w14:paraId="69480D33" w14:textId="77777777" w:rsidR="00F43911" w:rsidRPr="007F4CC8" w:rsidRDefault="00F43911" w:rsidP="004F3087">
            <w:pPr>
              <w:spacing w:after="24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vykazuje součet všech hodnot expozic po snížení úvěrového rizika v příslušném řádku.</w:t>
            </w:r>
          </w:p>
        </w:tc>
      </w:tr>
      <w:tr w:rsidR="00F43911" w:rsidRPr="007F4CC8" w14:paraId="253BA653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E697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EF72" w14:textId="77777777" w:rsidR="00F43911" w:rsidRPr="005F3D92" w:rsidRDefault="00F43911" w:rsidP="004F3087">
            <w:pPr>
              <w:pStyle w:val="TableMainHeading"/>
              <w:spacing w:before="0" w:after="24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Hodnota expozice</w:t>
            </w:r>
          </w:p>
          <w:p w14:paraId="48F8B1EB" w14:textId="504B8CE3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expozice vyplývající z CRR vypočtená v souladu s metodami stanovenými v části třetí hlavě II kapitolách 4 a 6 nařízení (EU) č. 575/2013, která představuje příslušnou hodnotu pro výpočet kapitálových požadavků, tj. po použití příslušných technik snižování úvěrového rizika v souladu s částí třetí hlavou II kapitolami 4 a 6 nařízení (EU) č. 575/2013 a zohlednění odpočtu vzniklé ztráty CVA v souladu s čl. 273 odst. 6 nařízení (EU) č. 575/2013.</w:t>
            </w:r>
          </w:p>
          <w:p w14:paraId="07CE657B" w14:textId="7D68C218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expozice pro transakce, u nichž bylo zjištěno specifické riziko pozitivní korelace, se stanoví v souladu s článkem 291 nařízení (EU) č. 575/2013.</w:t>
            </w:r>
          </w:p>
          <w:p w14:paraId="1417E2BF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případech, kdy se pro jednu protistranu používá více než jeden přístup CCR, se vzniklá ztráta CVA, která se odečte na úrovni protistrany, přiřadí k hodnotě expozice různých skupin transakcí se započtením v rámci každého přístupu CCR odrážející poměr hodnoty expozice po snížení úvěrového rizika příslušných skupin transakcí se započtením k celkové hodnotě expozice po snížení úvěrového rizika protistrany.</w:t>
            </w:r>
          </w:p>
          <w:p w14:paraId="736282AA" w14:textId="77777777" w:rsidR="00F43911" w:rsidRPr="007F4CC8" w:rsidRDefault="00F43911" w:rsidP="004F3087">
            <w:pPr>
              <w:spacing w:after="24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vykazuje součet všech hodnot expozic po snížení úvěrového rizika v příslušném řádku.</w:t>
            </w:r>
          </w:p>
        </w:tc>
      </w:tr>
      <w:tr w:rsidR="00F43911" w:rsidRPr="007F4CC8" w14:paraId="622D6794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88DA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F0ECB" w14:textId="77777777" w:rsidR="00F43911" w:rsidRPr="005F3D92" w:rsidRDefault="00F43911" w:rsidP="004F3087">
            <w:pPr>
              <w:pStyle w:val="TableMainHeading"/>
              <w:spacing w:before="0" w:after="24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Objem rizikově vážených expozic (RWEA)</w:t>
            </w:r>
          </w:p>
          <w:p w14:paraId="26B75465" w14:textId="746E1CAE" w:rsidR="00F43911" w:rsidRPr="007F4CC8" w:rsidRDefault="00F43911" w:rsidP="004F3087">
            <w:pPr>
              <w:pStyle w:val="TableMainHeading"/>
              <w:spacing w:before="0" w:after="24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Objemy rizikově vážených expozic ve smyslu čl. 92 odst. 3 a 4 nařízení (EU) č. 575/2013 vypočtené v souladu s článkem 107 nařízení (EU) č. 575/2013 u prvků, jejichž rizikové váhy se odhadují na základě požadavků stanovených v části třetí hlavě II kapitolách 2 a 3 nařízení (EU) č. 575/2013 a u nichž se hodnota expozice vyplývající z CCR vypočítá v souladu s částí třetí hlavou II kapitolami 4 a 6 nařízení (EU) č. 575/2013.</w:t>
            </w:r>
          </w:p>
        </w:tc>
      </w:tr>
    </w:tbl>
    <w:p w14:paraId="06E4BA45" w14:textId="77777777" w:rsidR="007D4C3D" w:rsidRDefault="007D4C3D" w:rsidP="00F43911">
      <w:pPr>
        <w:pStyle w:val="Titlelevel2"/>
        <w:jc w:val="both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518FC88E" w14:textId="345A4A64" w:rsidR="00F43911" w:rsidRPr="007F4CC8" w:rsidRDefault="00F43911" w:rsidP="00F43911">
      <w:pPr>
        <w:pStyle w:val="Titlelevel2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Šablona EU CCR3 – Standardizovaný přístup – Expozice s úvěrovým rizikem protistrany podle regulatorních kategorií expozic a rizikové váhy: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Pevně daný formát</w:t>
      </w:r>
    </w:p>
    <w:p w14:paraId="140DD484" w14:textId="71C4BF75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Informace uvedené v čl. 444 písm. e) nařízení (EU) č. 575/2013 zpřístupňují instituce podle níže uvedených pokynů k vyplnění šablony EU CCR3, obsažené v příloze XXV IT řešení orgánu EBA.</w:t>
      </w:r>
    </w:p>
    <w:p w14:paraId="719E9920" w14:textId="53B7429A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color w:val="auto"/>
          <w:rFonts w:ascii="Times New Roman" w:hAnsi="Times New Roman"/>
        </w:rPr>
        <w:t xml:space="preserve">Instituce, které používají standardizovaný přístup k úvěrovému riziku k výpočtu objemů rizikově vážených expozic (s výjimkou těch, které jsou odvozeny z kapitálových požadavků k riziku CVA a k expozicím zúčtovaným prostřednictvím ústřední protistrany) pro všechny své expozice s CCR nebo jejich část v souladu s článkem 107 nařízení (EU) č. 575/2013, bez ohledu na přístup CCR použitý ke stanovení hodnot expozice v souladu s části třetí hlavou II kapitolami 4 a 6 nařízení (EU) č. 575/2013, zpřístupňují následující informace.</w:t>
      </w:r>
      <w:r>
        <w:rPr>
          <w:sz w:val="24"/>
          <w:color w:val="auto"/>
          <w:rFonts w:ascii="Times New Roman" w:hAnsi="Times New Roman"/>
        </w:rPr>
        <w:t xml:space="preserve"> </w:t>
      </w:r>
    </w:p>
    <w:p w14:paraId="6C656446" w14:textId="77777777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000000"/>
          <w:sz w:val="24"/>
          <w:rFonts w:ascii="Times New Roman" w:eastAsiaTheme="minorEastAsia" w:hAnsi="Times New Roman" w:cs="Times New Roman"/>
        </w:rPr>
      </w:pPr>
      <w:r>
        <w:rPr>
          <w:color w:val="000000"/>
          <w:sz w:val="24"/>
          <w:rFonts w:ascii="Times New Roman" w:hAnsi="Times New Roman"/>
        </w:rPr>
        <w:t xml:space="preserve">Pokud má instituce za to, že informace požadované v této šabloně nejsou smysluplné, neboť expozice a objemy rizikově vážených expozic nejsou významné, může se instituce rozhodnout šablonu nezpřístupnit.</w:t>
      </w:r>
      <w:r>
        <w:rPr>
          <w:color w:val="000000"/>
          <w:sz w:val="24"/>
          <w:rFonts w:ascii="Times New Roman" w:hAnsi="Times New Roman"/>
        </w:rPr>
        <w:t xml:space="preserve"> </w:t>
      </w:r>
      <w:r>
        <w:rPr>
          <w:color w:val="000000"/>
          <w:sz w:val="24"/>
          <w:rFonts w:ascii="Times New Roman" w:hAnsi="Times New Roman"/>
        </w:rPr>
        <w:t xml:space="preserve">Instituce je však povinna v připojeném komentáři vysvětlit, proč nepovažuje informace za smysluplné, a uvést popis expozic v dotčených portfoliích a celkový součet objemů rizikově vážených expozic z takových expozic.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7CBFFE3D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4B0D1" w14:textId="77777777" w:rsidR="00F43911" w:rsidRPr="007F4CC8" w:rsidRDefault="00F43911" w:rsidP="004F3087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 pokyny</w:t>
            </w:r>
          </w:p>
        </w:tc>
      </w:tr>
      <w:tr w:rsidR="00F43911" w:rsidRPr="007F4CC8" w14:paraId="5AB7769D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C8972D4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00714D7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2810F45B" w14:textId="77777777" w:rsidTr="004F3087">
        <w:trPr>
          <w:trHeight w:val="680"/>
        </w:trPr>
        <w:tc>
          <w:tcPr>
            <w:tcW w:w="1384" w:type="dxa"/>
          </w:tcPr>
          <w:p w14:paraId="4B4E3E4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1–9</w:t>
            </w:r>
          </w:p>
        </w:tc>
        <w:tc>
          <w:tcPr>
            <w:tcW w:w="7655" w:type="dxa"/>
            <w:vAlign w:val="center"/>
          </w:tcPr>
          <w:p w14:paraId="13B7EA16" w14:textId="77777777" w:rsidR="00F43911" w:rsidRPr="005F3D92" w:rsidRDefault="00F43911" w:rsidP="004F3087">
            <w:pPr>
              <w:spacing w:after="24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Kategorie expozic</w:t>
            </w:r>
          </w:p>
          <w:p w14:paraId="119BFBA0" w14:textId="3882FF9D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Tyto řádky se týkají regulatorních kategorií expozic ve smyslu části třetí hlavy II kapitoly 4 článků 112 až 134 nařízení (EU) č.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 každém řádku se uvádějí příslušné hodnoty expozic (viz definice ve sloupci „g“ šablony EU CCR1).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43911" w:rsidRPr="007F4CC8" w14:paraId="24450E66" w14:textId="77777777" w:rsidTr="004F3087">
        <w:trPr>
          <w:trHeight w:val="680"/>
        </w:trPr>
        <w:tc>
          <w:tcPr>
            <w:tcW w:w="1384" w:type="dxa"/>
          </w:tcPr>
          <w:p w14:paraId="2D7B089F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10</w:t>
            </w:r>
          </w:p>
        </w:tc>
        <w:tc>
          <w:tcPr>
            <w:tcW w:w="7655" w:type="dxa"/>
            <w:vAlign w:val="center"/>
          </w:tcPr>
          <w:p w14:paraId="64069320" w14:textId="77777777" w:rsidR="00F43911" w:rsidRPr="005F3D92" w:rsidRDefault="00F43911" w:rsidP="004F3087">
            <w:pPr>
              <w:spacing w:after="24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Ostatní položky</w:t>
            </w:r>
          </w:p>
          <w:p w14:paraId="6B472AE2" w14:textId="1813D901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Týká se aktiv, na která se použije specifická riziková váha podle části třetí hlavy II kapitoly 4 článku 134 nařízení (EU) č. 575/2013, a veškerých ostatních položek neuvedených v řádcích 1 až 9 této šablony.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Rovněž jde o aktiva neodpočtená při použití článku 39 nařízení (EU) č. 575/2013 (přeplatky daně, zpětně použité daňové ztráty a odložené daňové pohledávky nezávislé na budoucím zisku), článku 41 nařízení (EU) č. 575/2013 (aktiva penzijního fondu definovaných požitků), článků 46 a 469 nařízení (EU) č. 575/2013 (nevýznamné investice do kmenového kapitálu tier 1 subjektů finančního sektoru), článku 49 a článku 471 nařízení (EU) č. 575/2013 (účasti v pojišťovnách bez ohledu na to, zda pojišťovny podléhají dohledu podle směrnice o konglomerátu), článků 60 a 475 nařízení (EU) č. 575/2013 (nevýznamné a významné nepřímé investice do nástrojů zahrnovaných do vedlejšího kapitálu tier 1 vydaných subjekty finančního sektoru), článků 70 a 477 nařízení (EU) č. 575/2013 (nevýznamné a významné přímé, nepřímé a syntetické kapitálové investice do nástrojů zahrnovaných do kapitálu tier 2 vydaných subjektem finančního sektoru), pokud nejsou zařazeny do jiných kategorií expozic a do kvalifikovaných účastí mimo finanční sektor a nepodléhají rizikové váze 1 250 % při použití části druhé hlavy I kapitoly 2 čl. 36 písm. k) nařízení (EU) č. 575/2013.</w:t>
            </w:r>
          </w:p>
        </w:tc>
      </w:tr>
      <w:tr w:rsidR="00F43911" w:rsidRPr="007F4CC8" w14:paraId="40CEECAA" w14:textId="77777777" w:rsidTr="004F3087">
        <w:trPr>
          <w:trHeight w:val="680"/>
        </w:trPr>
        <w:tc>
          <w:tcPr>
            <w:tcW w:w="1384" w:type="dxa"/>
          </w:tcPr>
          <w:p w14:paraId="084620EC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11</w:t>
            </w:r>
          </w:p>
        </w:tc>
        <w:tc>
          <w:tcPr>
            <w:tcW w:w="7655" w:type="dxa"/>
            <w:vAlign w:val="center"/>
          </w:tcPr>
          <w:p w14:paraId="0569A440" w14:textId="77777777" w:rsidR="00F43911" w:rsidRPr="005F3D92" w:rsidRDefault="00F43911" w:rsidP="004F3087">
            <w:pPr>
              <w:spacing w:after="24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Celková hodnota expozic</w:t>
            </w:r>
          </w:p>
        </w:tc>
      </w:tr>
      <w:tr w:rsidR="00F43911" w:rsidRPr="007F4CC8" w14:paraId="68F92AF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59FF3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 xml:space="preserve"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9FAE93" w14:textId="77777777" w:rsidR="00F43911" w:rsidRPr="007F4CC8" w:rsidRDefault="00F43911" w:rsidP="004F3087">
            <w:pPr>
              <w:pStyle w:val="TableMainHeading"/>
              <w:spacing w:before="0" w:after="24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32077C70" w14:textId="77777777" w:rsidTr="004F3087">
        <w:trPr>
          <w:trHeight w:val="680"/>
        </w:trPr>
        <w:tc>
          <w:tcPr>
            <w:tcW w:w="1384" w:type="dxa"/>
          </w:tcPr>
          <w:p w14:paraId="39F1752F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a–k</w:t>
            </w:r>
          </w:p>
          <w:p w14:paraId="7F295BCB" w14:textId="77777777" w:rsidR="00F43911" w:rsidRPr="007F4CC8" w:rsidRDefault="00F43911" w:rsidP="004F3087">
            <w:pPr>
              <w:spacing w:after="24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vAlign w:val="center"/>
          </w:tcPr>
          <w:p w14:paraId="70B38523" w14:textId="4C78B73B" w:rsidR="00F43911" w:rsidRPr="007F4CC8" w:rsidRDefault="00F43911" w:rsidP="004F3087">
            <w:pPr>
              <w:spacing w:after="24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Tyto sloupce se týkají stupňů úvěrové kvality / rizikových vah podle části třetí hlavy II kapitoly 2 nařízení (EU) č. 575/2013, pro které se uvádějí příslušné hodnoty expozic (viz definice ve sloupci g) šablony EU CCR1).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43911" w:rsidRPr="007F4CC8" w14:paraId="7038985C" w14:textId="77777777" w:rsidTr="004F3087">
        <w:trPr>
          <w:trHeight w:val="680"/>
        </w:trPr>
        <w:tc>
          <w:tcPr>
            <w:tcW w:w="1384" w:type="dxa"/>
          </w:tcPr>
          <w:p w14:paraId="643D9DBE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l</w:t>
            </w:r>
          </w:p>
        </w:tc>
        <w:tc>
          <w:tcPr>
            <w:tcW w:w="7655" w:type="dxa"/>
            <w:vAlign w:val="center"/>
          </w:tcPr>
          <w:p w14:paraId="2AD95FAF" w14:textId="77777777" w:rsidR="00F43911" w:rsidRPr="005F3D92" w:rsidRDefault="00F43911" w:rsidP="004F3087">
            <w:pPr>
              <w:spacing w:after="24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Celková hodnota expozic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4639EED1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</w:p>
    <w:p w14:paraId="378BA942" w14:textId="77777777" w:rsidR="00F43911" w:rsidRPr="007F4CC8" w:rsidRDefault="00F43911" w:rsidP="00F43911">
      <w:pPr>
        <w:pStyle w:val="Titlelevel2"/>
        <w:spacing w:before="0"/>
        <w:jc w:val="both"/>
        <w:rPr>
          <w:b/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Šablona EU CCR4 – Přístup IRB – Expozice s úvěrovým rizikem protistrany podle kategorie expozic a stupnice PD: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Pevně daný formát</w:t>
      </w:r>
    </w:p>
    <w:p w14:paraId="03E920F2" w14:textId="6901BA25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Informace uvedené v čl. 452 písm. g) nařízení (EU) č. 575/2013 zpřístupňují instituce podle níže uvedených pokynů k vyplnění šablony EU CCR4, obsažené v příloze XXV IT řešení orgánu EBA.</w:t>
      </w:r>
      <w:r>
        <w:rPr>
          <w:sz w:val="24"/>
          <w:color w:val="000000"/>
          <w:rFonts w:ascii="Times New Roman" w:hAnsi="Times New Roman"/>
        </w:rPr>
        <w:t xml:space="preserve"> </w:t>
      </w:r>
    </w:p>
    <w:p w14:paraId="21A1A0D5" w14:textId="71F1C68D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Instituce, které používají buď pokročilý, nebo základní přístup IRB k výpočtu objemů rizikově vážených expozic (s výjimkou těch, které jsou odvozeny z kapitálových požadavků k riziku CVA a k expozicím zúčtovaným prostřednictvím ústřední protistrany) pro všechny své expozice s CCR nebo jejich část v souladu s článkem 107 nařízení (EU) č. 575/2013, bez ohledu na přístup CCR použitý ke stanovení hodnot expozice v souladu s části třetí hlavou II kapitolami 4 a 6 nařízení (EU) č. 575/2013, zpřístupňují následující informace.</w:t>
      </w:r>
      <w:r>
        <w:rPr>
          <w:sz w:val="24"/>
          <w:color w:val="auto"/>
          <w:rFonts w:ascii="Times New Roman" w:hAnsi="Times New Roman"/>
        </w:rPr>
        <w:t xml:space="preserve">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38BD5C9D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A3D8B4" w14:textId="77777777" w:rsidR="00F43911" w:rsidRPr="007F4CC8" w:rsidRDefault="00F43911" w:rsidP="004F3087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 pokyny</w:t>
            </w:r>
          </w:p>
        </w:tc>
      </w:tr>
      <w:tr w:rsidR="00F43911" w:rsidRPr="007F4CC8" w14:paraId="176F7ACC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396CA1A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AD423D5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02634469" w14:textId="77777777" w:rsidTr="004F3087">
        <w:trPr>
          <w:trHeight w:val="680"/>
        </w:trPr>
        <w:tc>
          <w:tcPr>
            <w:tcW w:w="1384" w:type="dxa"/>
          </w:tcPr>
          <w:p w14:paraId="2AC6A479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1 až 8</w:t>
            </w:r>
          </w:p>
        </w:tc>
        <w:tc>
          <w:tcPr>
            <w:tcW w:w="7655" w:type="dxa"/>
            <w:vAlign w:val="center"/>
          </w:tcPr>
          <w:p w14:paraId="21A090EC" w14:textId="77777777" w:rsidR="00F43911" w:rsidRPr="00880BCD" w:rsidRDefault="00F43911" w:rsidP="004F3087">
            <w:pPr>
              <w:spacing w:after="24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Stupnice PD</w:t>
            </w:r>
          </w:p>
          <w:p w14:paraId="27E474D8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Expozice s CCR se přiřadí k vhodnému koši pevné stupnice PD na základě PD odhadnuté pro každého dlužníka zařazeného do dané kategorie expozic (bez zohlednění případných substitučních účinků v důsledku existence záruky nebo úvěrového derivátu).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Instituce přiřadí jednotlivé expozice k rozmezí PD uvedenému v šabloně s přehlédnutím ke kontinuálním stupnicím.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Všechny expozice, u nichž došlo k selhání, se zahrnují do koše PD o hodnotě 100 %.</w:t>
            </w:r>
          </w:p>
        </w:tc>
      </w:tr>
      <w:tr w:rsidR="00F43911" w:rsidRPr="007F4CC8" w14:paraId="67FC8DC7" w14:textId="77777777" w:rsidTr="004F3087">
        <w:trPr>
          <w:trHeight w:val="680"/>
        </w:trPr>
        <w:tc>
          <w:tcPr>
            <w:tcW w:w="1384" w:type="dxa"/>
          </w:tcPr>
          <w:p w14:paraId="35441DA1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1 až x</w:t>
            </w:r>
          </w:p>
        </w:tc>
        <w:tc>
          <w:tcPr>
            <w:tcW w:w="7655" w:type="dxa"/>
            <w:vAlign w:val="center"/>
          </w:tcPr>
          <w:p w14:paraId="113166C9" w14:textId="77777777" w:rsidR="00F43911" w:rsidRPr="00880BCD" w:rsidRDefault="00F43911" w:rsidP="004F3087">
            <w:pPr>
              <w:spacing w:after="24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Kategorie expozic X</w:t>
            </w:r>
          </w:p>
          <w:p w14:paraId="2F40E777" w14:textId="635AFB91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Týká se jednotlivých kategorií expozic vyjmenovaných v části třetí hlavě II kapitole 3 článku 147 nařízení (EU) č. 575/2013.</w:t>
            </w:r>
          </w:p>
        </w:tc>
      </w:tr>
      <w:tr w:rsidR="00F43911" w:rsidRPr="007F4CC8" w14:paraId="63C15CE0" w14:textId="77777777" w:rsidTr="004F3087">
        <w:trPr>
          <w:trHeight w:val="680"/>
        </w:trPr>
        <w:tc>
          <w:tcPr>
            <w:tcW w:w="1384" w:type="dxa"/>
          </w:tcPr>
          <w:p w14:paraId="5ED80B6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x a y</w:t>
            </w:r>
          </w:p>
        </w:tc>
        <w:tc>
          <w:tcPr>
            <w:tcW w:w="7655" w:type="dxa"/>
            <w:vAlign w:val="center"/>
          </w:tcPr>
          <w:p w14:paraId="213AF8F1" w14:textId="77777777" w:rsidR="00F43911" w:rsidRPr="00880BCD" w:rsidRDefault="00F43911" w:rsidP="004F3087">
            <w:pPr>
              <w:spacing w:after="24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Mezisoučet (kategorie expozice X) / Součet (všechny příslušné kategorie expozice s CCR)</w:t>
            </w:r>
          </w:p>
          <w:p w14:paraId="6E6CECB2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(Mezi)součet hodnot expozic, objemů rizikově vážených expozic a počtu dlužníků je prostý součet příslušných sloupců.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Pokud jde o jednotlivé parametry průměrné PD, průměrné LGD, průměrné splatnosti a hustoty objemů rizikově vážených expozic, použijí se následující definice na vzorek kategorie expozice X nebo na všechny příslušné kategorie expozice s CCR.</w:t>
            </w:r>
          </w:p>
        </w:tc>
      </w:tr>
      <w:tr w:rsidR="00F43911" w:rsidRPr="007F4CC8" w14:paraId="18700163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14F317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 xml:space="preserve"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BE7A8C" w14:textId="77777777" w:rsidR="00F43911" w:rsidRPr="007F4CC8" w:rsidRDefault="00F43911" w:rsidP="004F3087">
            <w:pPr>
              <w:pStyle w:val="TableMainHeading"/>
              <w:spacing w:before="0" w:after="24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4672F613" w14:textId="77777777" w:rsidTr="004F3087">
        <w:trPr>
          <w:trHeight w:val="680"/>
        </w:trPr>
        <w:tc>
          <w:tcPr>
            <w:tcW w:w="1384" w:type="dxa"/>
          </w:tcPr>
          <w:p w14:paraId="1BF1F31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a</w:t>
            </w:r>
          </w:p>
        </w:tc>
        <w:tc>
          <w:tcPr>
            <w:tcW w:w="7655" w:type="dxa"/>
            <w:vAlign w:val="center"/>
          </w:tcPr>
          <w:p w14:paraId="2C0818DE" w14:textId="77777777" w:rsidR="00F43911" w:rsidRPr="00880BCD" w:rsidRDefault="00F43911" w:rsidP="004F3087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Hodnota expozice</w:t>
            </w:r>
          </w:p>
          <w:p w14:paraId="4DAED01E" w14:textId="3471DCB1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expozice (viz definice ve sloupci „g“ šablony EU CCR1), členěná podle kategorií expozice a dané stupnice PD podle části třetí hlavy II kapitoly 3 nařízení (EU) č. 575/2013.</w:t>
            </w:r>
          </w:p>
        </w:tc>
      </w:tr>
      <w:tr w:rsidR="00F43911" w:rsidRPr="007F4CC8" w14:paraId="29BE1BD5" w14:textId="77777777" w:rsidTr="004F3087">
        <w:trPr>
          <w:trHeight w:val="680"/>
        </w:trPr>
        <w:tc>
          <w:tcPr>
            <w:tcW w:w="1384" w:type="dxa"/>
          </w:tcPr>
          <w:p w14:paraId="4357155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b</w:t>
            </w:r>
          </w:p>
        </w:tc>
        <w:tc>
          <w:tcPr>
            <w:tcW w:w="7655" w:type="dxa"/>
            <w:vAlign w:val="center"/>
          </w:tcPr>
          <w:p w14:paraId="7ED972CE" w14:textId="77777777" w:rsidR="00F43911" w:rsidRPr="00880BCD" w:rsidRDefault="00F43911" w:rsidP="004F3087">
            <w:pPr>
              <w:spacing w:after="240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Expozicí vážená průměrná hodnota PD (%)</w:t>
            </w:r>
          </w:p>
          <w:p w14:paraId="77163362" w14:textId="77777777" w:rsidR="00F43911" w:rsidRPr="007F4CC8" w:rsidRDefault="00F43911" w:rsidP="004F3087">
            <w:pPr>
              <w:spacing w:after="24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Průměr PD jednotlivých ratingových stupňů dlužníka vážených jejich odpovídající hodnotou expozice ve sloupci „a“ této šablony</w:t>
            </w:r>
          </w:p>
        </w:tc>
      </w:tr>
      <w:tr w:rsidR="00F43911" w:rsidRPr="007F4CC8" w14:paraId="54178E8C" w14:textId="77777777" w:rsidTr="004F3087">
        <w:trPr>
          <w:trHeight w:val="680"/>
        </w:trPr>
        <w:tc>
          <w:tcPr>
            <w:tcW w:w="1384" w:type="dxa"/>
          </w:tcPr>
          <w:p w14:paraId="7D3E7D23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c</w:t>
            </w:r>
          </w:p>
        </w:tc>
        <w:tc>
          <w:tcPr>
            <w:tcW w:w="7655" w:type="dxa"/>
            <w:vAlign w:val="center"/>
          </w:tcPr>
          <w:p w14:paraId="6153A1D9" w14:textId="77777777" w:rsidR="00F43911" w:rsidRPr="00880BCD" w:rsidRDefault="00F43911" w:rsidP="004F3087">
            <w:pPr>
              <w:spacing w:after="240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Počet dlužníků</w:t>
            </w:r>
          </w:p>
          <w:p w14:paraId="6074DEAB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Počet právních subjektů nebo dlužníků přiřazených ke každému koši pevně stanovené stupnice PD, jež byli ohodnoceni odděleně, bez ohledu na počet různých poskytnutých úvěrů nebo expozic</w:t>
            </w:r>
          </w:p>
          <w:p w14:paraId="7E8F21FB" w14:textId="0F2C452D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Pokud jsou různé expozice vůči stejnému dlužníkovi ohodnoceny samostatně, započítávají se samostatně.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 takové situaci může dojít, pokud jsou různým expozicím vůči témuž dlužníkovi přiřazeny různé ratingové stupně dlužníka v souladu s čl. 172 odst. 1 písm. e) druhou větou nařízení (EU) č. 575/2013.</w:t>
            </w:r>
          </w:p>
        </w:tc>
      </w:tr>
      <w:tr w:rsidR="00F43911" w:rsidRPr="007F4CC8" w14:paraId="3C6F4AC7" w14:textId="77777777" w:rsidTr="004F3087">
        <w:trPr>
          <w:trHeight w:val="680"/>
        </w:trPr>
        <w:tc>
          <w:tcPr>
            <w:tcW w:w="1384" w:type="dxa"/>
          </w:tcPr>
          <w:p w14:paraId="26C46E2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d</w:t>
            </w:r>
          </w:p>
        </w:tc>
        <w:tc>
          <w:tcPr>
            <w:tcW w:w="7655" w:type="dxa"/>
            <w:vAlign w:val="center"/>
          </w:tcPr>
          <w:p w14:paraId="58C260C0" w14:textId="77777777" w:rsidR="00F43911" w:rsidRPr="00880BCD" w:rsidRDefault="00F43911" w:rsidP="004F3087">
            <w:pPr>
              <w:spacing w:after="240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Expozicí vážená průměrná hodnota LGD (%)</w:t>
            </w:r>
          </w:p>
          <w:p w14:paraId="34068163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Průměrná hodnota LGD přiřazených ratingovým stupňům dlužníků vážená jejich odpovídající hodnotou expozice</w:t>
            </w:r>
          </w:p>
          <w:p w14:paraId="789E926C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Uvedená hodnota LGD odpovídá konečnému odhadu LGD použitému pro výpočet kapitálových požadavků získaných po zvážení případných dopadů snižování úvěrového rizika a podmínek hospodářského poklesu.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66422CE" w14:textId="30667EC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případě, že expozice podléhají přístupu dvojího selhání, odpovídá hodnota LGD, která má být zpřístupněna, LGD vybrané v souladu s čl. 161 odst. 4 nařízení (EU) č. 575/2013.</w:t>
            </w:r>
          </w:p>
          <w:p w14:paraId="7A98367D" w14:textId="671A714E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případě expozic, u nichž došlo k selhání podle přístupu A-IRB, se zohlední ustanovení čl. 181 odst. 1 písm. h) nařízení (EU) č.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Vykázaná LGD odpovídá odhadu LGD v selhání.</w:t>
            </w:r>
          </w:p>
        </w:tc>
      </w:tr>
      <w:tr w:rsidR="00F43911" w:rsidRPr="007F4CC8" w14:paraId="63804F3F" w14:textId="77777777" w:rsidTr="004F3087">
        <w:trPr>
          <w:trHeight w:val="680"/>
        </w:trPr>
        <w:tc>
          <w:tcPr>
            <w:tcW w:w="1384" w:type="dxa"/>
          </w:tcPr>
          <w:p w14:paraId="14948764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e</w:t>
            </w:r>
          </w:p>
        </w:tc>
        <w:tc>
          <w:tcPr>
            <w:tcW w:w="7655" w:type="dxa"/>
            <w:vAlign w:val="center"/>
          </w:tcPr>
          <w:p w14:paraId="211ACBAA" w14:textId="77777777" w:rsidR="00F43911" w:rsidRPr="00880BCD" w:rsidRDefault="00F43911" w:rsidP="004F3087">
            <w:pPr>
              <w:spacing w:after="240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Expozicí vážená průměrná splatnost (roky)</w:t>
            </w:r>
          </w:p>
          <w:p w14:paraId="1C040569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Průměr splatností dlužníka vážených jejich odpovídající hodnotou expozice ve sloupci a) této šablony.</w:t>
            </w:r>
          </w:p>
          <w:p w14:paraId="61506003" w14:textId="7C79B571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Vykazovaná hodnota splatnosti se určí v souladu s článkem 162 nařízení (EU) č. 575/2013.</w:t>
            </w:r>
          </w:p>
        </w:tc>
      </w:tr>
      <w:tr w:rsidR="00F43911" w:rsidRPr="007F4CC8" w14:paraId="2E8E0E01" w14:textId="77777777" w:rsidTr="004F3087">
        <w:trPr>
          <w:trHeight w:val="680"/>
        </w:trPr>
        <w:tc>
          <w:tcPr>
            <w:tcW w:w="1384" w:type="dxa"/>
          </w:tcPr>
          <w:p w14:paraId="4C6CFCE7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f</w:t>
            </w:r>
          </w:p>
        </w:tc>
        <w:tc>
          <w:tcPr>
            <w:tcW w:w="7655" w:type="dxa"/>
            <w:vAlign w:val="center"/>
          </w:tcPr>
          <w:p w14:paraId="0C2EFBAB" w14:textId="77777777" w:rsidR="00F43911" w:rsidRPr="00880BCD" w:rsidRDefault="00F43911" w:rsidP="004F3087">
            <w:pPr>
              <w:spacing w:after="240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Objem rizikově vážených expozic (RWEA)</w:t>
            </w:r>
          </w:p>
          <w:p w14:paraId="0179891F" w14:textId="5A822C45" w:rsidR="00F43911" w:rsidRPr="007F4CC8" w:rsidRDefault="00F43911" w:rsidP="004F3087">
            <w:pPr>
              <w:spacing w:after="24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Objemy rizikově vážených expozic vypočtené podle požadavků stanovených v části třetí hlavě II kapitole 3 nařízení (EU) č. 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expozic vůči ústředním vládám a centrálním bankám, institucím a podnikům objem rizikově vážené expozice vypočtený v souladu s čl. 153 odst. 1 až 4 nařízení (EU) č. 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zohledňují se podpůrné koeficienty pro malé a střední podniky a infrastrukturu podle článků 501 a 501a nařízení (EU) č. 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akciových expozic podle přístupu PD/LGD objem rizikově vážené expozice vypočtený v souladu s čl. 155 odst. 3 nařízení (EU) č. 575/2013.</w:t>
            </w:r>
          </w:p>
        </w:tc>
      </w:tr>
      <w:tr w:rsidR="00F43911" w:rsidRPr="007F4CC8" w14:paraId="4DB973B0" w14:textId="77777777" w:rsidTr="004F3087">
        <w:trPr>
          <w:trHeight w:val="680"/>
        </w:trPr>
        <w:tc>
          <w:tcPr>
            <w:tcW w:w="1384" w:type="dxa"/>
          </w:tcPr>
          <w:p w14:paraId="1ABC087F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g</w:t>
            </w:r>
          </w:p>
        </w:tc>
        <w:tc>
          <w:tcPr>
            <w:tcW w:w="7655" w:type="dxa"/>
            <w:vAlign w:val="center"/>
          </w:tcPr>
          <w:p w14:paraId="3A9E9DBB" w14:textId="77777777" w:rsidR="00F43911" w:rsidRPr="00880BCD" w:rsidRDefault="00F43911" w:rsidP="004F3087">
            <w:pPr>
              <w:spacing w:after="240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Hustota objemů rizikově vážených expozic</w:t>
            </w:r>
          </w:p>
          <w:p w14:paraId="7215E9DB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Poměr mezi celkovým objemem rizikově vážených expozic (ve sloupci „f“ této šablony) a hodnotou expozice (ve sloupci „a“ této šablony)</w:t>
            </w:r>
          </w:p>
        </w:tc>
      </w:tr>
    </w:tbl>
    <w:p w14:paraId="5E980DF6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</w:p>
    <w:p w14:paraId="0A5C8D35" w14:textId="77777777" w:rsidR="00F43911" w:rsidRPr="007F4CC8" w:rsidRDefault="00F43911" w:rsidP="00F43911">
      <w:pPr>
        <w:pStyle w:val="Titlelevel2"/>
        <w:spacing w:before="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Šablona EU CCR5 – Složení kolaterálu pro expozice s úvěrovým rizikem protistrany: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Pevně dané sloupce</w:t>
      </w:r>
    </w:p>
    <w:p w14:paraId="1BA1E0E1" w14:textId="5021D3B2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Informace uvedené v čl. 439 písm. e) nařízení (EU) č. 575/2013 zpřístupňují instituce podle níže uvedených pokynů k vyplnění šablony EU CCR5, obsažené v příloze XXV IT řešení orgánu EBA.</w:t>
      </w:r>
    </w:p>
    <w:p w14:paraId="2C3CDB2D" w14:textId="77777777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000000"/>
          <w:sz w:val="24"/>
          <w:rFonts w:ascii="Times New Roman" w:eastAsiaTheme="minorEastAsia" w:hAnsi="Times New Roman" w:cs="Times New Roman"/>
        </w:rPr>
      </w:pPr>
      <w:r>
        <w:rPr>
          <w:color w:val="000000"/>
          <w:sz w:val="24"/>
          <w:rFonts w:ascii="Times New Roman" w:hAnsi="Times New Roman"/>
        </w:rPr>
        <w:t xml:space="preserve">V této šabloně se uvede reálná hodnota kolaterálu (poskytnutého nebo obdrženého) použitého v expozicích s CCR týkajících se derivátových transakcí nebo transakcí s financováním cenných papírů, bez ohledu na to, zda jsou zúčtovány prostřednictvím ústřední protistrany a zda je ústřední protistraně poskytnut kolaterál, či nikoli.</w:t>
      </w:r>
      <w:r>
        <w:rPr>
          <w:color w:val="000000"/>
          <w:sz w:val="24"/>
          <w:rFonts w:ascii="Times New Roman" w:hAnsi="Times New Roman"/>
        </w:rPr>
        <w:t xml:space="preserve"> </w:t>
      </w:r>
    </w:p>
    <w:p w14:paraId="35B1131B" w14:textId="77777777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000000"/>
          <w:sz w:val="24"/>
          <w:rFonts w:ascii="Times New Roman" w:eastAsiaTheme="minorEastAsia" w:hAnsi="Times New Roman" w:cs="Times New Roman"/>
        </w:rPr>
      </w:pPr>
      <w:r>
        <w:rPr>
          <w:color w:val="000000"/>
          <w:sz w:val="24"/>
          <w:rFonts w:ascii="Times New Roman" w:hAnsi="Times New Roman"/>
        </w:rPr>
        <w:t xml:space="preserve">Pokud centrální banka členského státu poskytuje pomoc v oblasti likvidity v podobě kolaterálových swapů, může příslušný orgán osvobodit instituce od poskytování informací v této šabloně, má-li za to, že poskytnutím těchto informací by mohlo být nouzové poskytnutí likvidity odkryto.</w:t>
      </w:r>
      <w:r>
        <w:rPr>
          <w:color w:val="000000"/>
          <w:sz w:val="24"/>
          <w:rFonts w:ascii="Times New Roman" w:hAnsi="Times New Roman"/>
        </w:rPr>
        <w:t xml:space="preserve"> </w:t>
      </w:r>
      <w:r>
        <w:rPr>
          <w:color w:val="000000"/>
          <w:sz w:val="24"/>
          <w:rFonts w:ascii="Times New Roman" w:hAnsi="Times New Roman"/>
        </w:rPr>
        <w:t xml:space="preserve">Pro tyto účely stanoví příslušný orgán náležité prahové hodnoty a objektivní kritéria.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02F3E6DE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36D0C4" w14:textId="77777777" w:rsidR="00F43911" w:rsidRPr="007F4CC8" w:rsidRDefault="00F43911" w:rsidP="004F3087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 pokyny</w:t>
            </w:r>
          </w:p>
        </w:tc>
      </w:tr>
      <w:tr w:rsidR="00F43911" w:rsidRPr="007F4CC8" w14:paraId="32B68885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1EC8932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A5825FF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40BB2DFC" w14:textId="77777777" w:rsidTr="004F3087">
        <w:trPr>
          <w:trHeight w:val="680"/>
        </w:trPr>
        <w:tc>
          <w:tcPr>
            <w:tcW w:w="1384" w:type="dxa"/>
          </w:tcPr>
          <w:p w14:paraId="1FA02AD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1–8</w:t>
            </w:r>
          </w:p>
        </w:tc>
        <w:tc>
          <w:tcPr>
            <w:tcW w:w="7655" w:type="dxa"/>
            <w:vAlign w:val="center"/>
          </w:tcPr>
          <w:p w14:paraId="5E982962" w14:textId="77777777" w:rsidR="00F43911" w:rsidRPr="00BC5D5C" w:rsidRDefault="00F43911" w:rsidP="004F3087">
            <w:pPr>
              <w:spacing w:after="24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Typ kolaterálu</w:t>
            </w:r>
          </w:p>
          <w:p w14:paraId="0E78860C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Členění podle druhu kolaterálu</w:t>
            </w:r>
          </w:p>
        </w:tc>
      </w:tr>
      <w:tr w:rsidR="00F43911" w:rsidRPr="007F4CC8" w14:paraId="2B9EF130" w14:textId="77777777" w:rsidTr="004F3087">
        <w:trPr>
          <w:trHeight w:val="680"/>
        </w:trPr>
        <w:tc>
          <w:tcPr>
            <w:tcW w:w="1384" w:type="dxa"/>
          </w:tcPr>
          <w:p w14:paraId="67DFFC27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9</w:t>
            </w:r>
          </w:p>
        </w:tc>
        <w:tc>
          <w:tcPr>
            <w:tcW w:w="7655" w:type="dxa"/>
          </w:tcPr>
          <w:p w14:paraId="16D95BAE" w14:textId="77777777" w:rsidR="00F43911" w:rsidRPr="00BC5D5C" w:rsidRDefault="00F43911" w:rsidP="004F3087">
            <w:pPr>
              <w:spacing w:after="240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Celkem</w:t>
            </w:r>
          </w:p>
        </w:tc>
      </w:tr>
      <w:tr w:rsidR="00F43911" w:rsidRPr="007F4CC8" w14:paraId="61AFE274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97832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 xml:space="preserve"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8F11EF" w14:textId="77777777" w:rsidR="00F43911" w:rsidRPr="007F4CC8" w:rsidRDefault="00F43911" w:rsidP="004F3087">
            <w:pPr>
              <w:pStyle w:val="TableMainHeading"/>
              <w:spacing w:before="0" w:after="24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1561EBA0" w14:textId="77777777" w:rsidTr="004F3087">
        <w:trPr>
          <w:trHeight w:val="416"/>
        </w:trPr>
        <w:tc>
          <w:tcPr>
            <w:tcW w:w="1384" w:type="dxa"/>
          </w:tcPr>
          <w:p w14:paraId="338F53CF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a, c, e a g</w:t>
            </w:r>
          </w:p>
        </w:tc>
        <w:tc>
          <w:tcPr>
            <w:tcW w:w="7655" w:type="dxa"/>
            <w:vAlign w:val="center"/>
          </w:tcPr>
          <w:p w14:paraId="1C8EF39C" w14:textId="77777777" w:rsidR="00F43911" w:rsidRPr="00BC5D5C" w:rsidRDefault="00F43911" w:rsidP="004F3087">
            <w:pPr>
              <w:spacing w:after="240"/>
              <w:jc w:val="both"/>
              <w:rPr>
                <w:b/>
                <w:sz w:val="24"/>
                <w:rFonts w:ascii="Times New Roman" w:eastAsia="Calibr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Oddělený</w:t>
            </w:r>
          </w:p>
          <w:p w14:paraId="33245F1F" w14:textId="6699E1D8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Kolaterál, který je držen jako odolný vůči úpadku ve smyslu čl. 300 bodu 1 nařízení (EU) č. 575/2013.</w:t>
            </w:r>
          </w:p>
        </w:tc>
      </w:tr>
      <w:tr w:rsidR="00F43911" w:rsidRPr="007F4CC8" w14:paraId="7FF41939" w14:textId="77777777" w:rsidTr="004F3087">
        <w:trPr>
          <w:trHeight w:val="680"/>
        </w:trPr>
        <w:tc>
          <w:tcPr>
            <w:tcW w:w="1384" w:type="dxa"/>
          </w:tcPr>
          <w:p w14:paraId="689917EA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b, d, f a h</w:t>
            </w:r>
          </w:p>
        </w:tc>
        <w:tc>
          <w:tcPr>
            <w:tcW w:w="7655" w:type="dxa"/>
            <w:vAlign w:val="center"/>
          </w:tcPr>
          <w:p w14:paraId="54374E17" w14:textId="77777777" w:rsidR="00F43911" w:rsidRPr="00BC5D5C" w:rsidRDefault="00F43911" w:rsidP="004F3087">
            <w:pPr>
              <w:spacing w:after="240"/>
              <w:jc w:val="both"/>
              <w:rPr>
                <w:b/>
                <w:sz w:val="24"/>
                <w:rFonts w:ascii="Times New Roman" w:eastAsia="Calibr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Neoddělený</w:t>
            </w:r>
          </w:p>
          <w:p w14:paraId="68BB9947" w14:textId="3879F65C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Kolaterál, který není držen jako odolný vůči úpadku ve smyslu čl. 300 bodu 1 nařízení (EU) č. 575/2013.</w:t>
            </w:r>
          </w:p>
        </w:tc>
      </w:tr>
      <w:tr w:rsidR="00F43911" w:rsidRPr="007F4CC8" w14:paraId="432D8F5C" w14:textId="77777777" w:rsidTr="004F3087">
        <w:trPr>
          <w:trHeight w:val="680"/>
        </w:trPr>
        <w:tc>
          <w:tcPr>
            <w:tcW w:w="1384" w:type="dxa"/>
          </w:tcPr>
          <w:p w14:paraId="52789724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a až d</w:t>
            </w:r>
          </w:p>
        </w:tc>
        <w:tc>
          <w:tcPr>
            <w:tcW w:w="7655" w:type="dxa"/>
            <w:vAlign w:val="center"/>
          </w:tcPr>
          <w:p w14:paraId="774B2E98" w14:textId="77777777" w:rsidR="00F43911" w:rsidRPr="00BC5D5C" w:rsidRDefault="00F43911" w:rsidP="004F3087">
            <w:pPr>
              <w:pStyle w:val="numberedparagraph"/>
              <w:numPr>
                <w:ilvl w:val="0"/>
                <w:numId w:val="0"/>
              </w:numPr>
              <w:spacing w:before="0" w:after="240" w:line="240" w:lineRule="auto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Kolaterál použitý v transakcích s deriváty</w:t>
            </w:r>
          </w:p>
          <w:p w14:paraId="1A477A5A" w14:textId="507C455F" w:rsidR="00F43911" w:rsidRPr="007F4CC8" w:rsidRDefault="00F43911" w:rsidP="004F3087">
            <w:pPr>
              <w:pStyle w:val="numberedparagraph"/>
              <w:numPr>
                <w:ilvl w:val="0"/>
                <w:numId w:val="0"/>
              </w:numPr>
              <w:spacing w:before="0" w:after="240" w:line="240" w:lineRule="auto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Kolaterál (včetně počáteční marže a variační marže), který se používá v expozicích s CCR v souvislosti s jakýmkoli derivátovým nástrojem uvedeným v příloze II nařízení (EU) č. 575/2013 nebo s transakcí s delší dobou vypořádání podle čl. 271 odst. 2 nařízení (EU) č. 575/2013, kterou nelze považovat za transakci s financováním cenných papírů.</w:t>
            </w:r>
          </w:p>
        </w:tc>
      </w:tr>
      <w:tr w:rsidR="00F43911" w:rsidRPr="007F4CC8" w14:paraId="51EF5990" w14:textId="77777777" w:rsidTr="004F3087">
        <w:trPr>
          <w:trHeight w:val="680"/>
        </w:trPr>
        <w:tc>
          <w:tcPr>
            <w:tcW w:w="1384" w:type="dxa"/>
          </w:tcPr>
          <w:p w14:paraId="45E18CE5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e až h</w:t>
            </w:r>
          </w:p>
        </w:tc>
        <w:tc>
          <w:tcPr>
            <w:tcW w:w="7655" w:type="dxa"/>
            <w:vAlign w:val="center"/>
          </w:tcPr>
          <w:p w14:paraId="78E70A2D" w14:textId="77777777" w:rsidR="00F43911" w:rsidRPr="00BC5D5C" w:rsidRDefault="00F43911" w:rsidP="004F3087">
            <w:pPr>
              <w:pStyle w:val="numberedparagraph"/>
              <w:numPr>
                <w:ilvl w:val="0"/>
                <w:numId w:val="0"/>
              </w:numPr>
              <w:spacing w:before="0" w:after="240" w:line="240" w:lineRule="auto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Kolaterál použitý v SFT</w:t>
            </w:r>
          </w:p>
          <w:p w14:paraId="527E4A25" w14:textId="77777777" w:rsidR="00F43911" w:rsidRPr="007F4CC8" w:rsidRDefault="00F43911" w:rsidP="004F3087">
            <w:pPr>
              <w:pStyle w:val="numberedparagraph"/>
              <w:numPr>
                <w:ilvl w:val="0"/>
                <w:numId w:val="0"/>
              </w:numPr>
              <w:spacing w:before="0" w:after="240" w:line="240" w:lineRule="auto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Kolaterál (včetně počáteční marže a variační marže, jakož i kolaterálu uvedeného jako zajištění transakce s financováním cenných papírů), který se používá v expozicích s CCR v souvislosti s jakoukoli transakcí s financováním cenných papírů nebo transakcí s delší dobou vypořádání, kterou nelze považovat za derivátovou.</w:t>
            </w:r>
          </w:p>
        </w:tc>
      </w:tr>
    </w:tbl>
    <w:p w14:paraId="664BC745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</w:p>
    <w:p w14:paraId="042899BB" w14:textId="77777777" w:rsidR="00F43911" w:rsidRPr="00DD0C4D" w:rsidRDefault="00F43911" w:rsidP="00F43911">
      <w:pPr>
        <w:pStyle w:val="Titlelevel2"/>
        <w:spacing w:before="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Šablona EU CCR6 – Expozice úvěrových derivátů: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Pevně daný formát</w:t>
      </w:r>
    </w:p>
    <w:p w14:paraId="249E517C" w14:textId="75CDD354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Informace uvedené v čl. 439 písm. j) nařízení (EU) č. 575/2013 zpřístupňují instituce podle níže uvedených pokynů k vyplnění šablony EU CCR6, obsažené v příloze XXV IT řešení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2CA197D5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A8BE83" w14:textId="77777777" w:rsidR="00F43911" w:rsidRPr="007F4CC8" w:rsidRDefault="00F43911" w:rsidP="004F3087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 pokyny</w:t>
            </w:r>
          </w:p>
        </w:tc>
      </w:tr>
      <w:tr w:rsidR="00F43911" w:rsidRPr="007F4CC8" w14:paraId="123E5F61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E4AA3F7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0810F8D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5A72954E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DC6D4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1–6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1B4DE" w14:textId="77777777" w:rsidR="00F43911" w:rsidRPr="00BC5D5C" w:rsidRDefault="00F43911" w:rsidP="004F3087">
            <w:pPr>
              <w:autoSpaceDE w:val="0"/>
              <w:autoSpaceDN w:val="0"/>
              <w:adjustRightInd w:val="0"/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Pomyslné hodnoty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8247A3E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Součet absolutních pomyslných derivátových částek před započtením v členění podle typu produktu.</w:t>
            </w:r>
          </w:p>
        </w:tc>
      </w:tr>
      <w:tr w:rsidR="00F43911" w:rsidRPr="007F4CC8" w14:paraId="69078EC2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CA0B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7–8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1F9BC" w14:textId="77777777" w:rsidR="00F43911" w:rsidRPr="00BC5D5C" w:rsidRDefault="00F43911" w:rsidP="004F3087">
            <w:pPr>
              <w:autoSpaceDE w:val="0"/>
              <w:autoSpaceDN w:val="0"/>
              <w:adjustRightInd w:val="0"/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Reálné hodnoty</w:t>
            </w:r>
          </w:p>
          <w:p w14:paraId="43A6974F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i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Reálné hodnoty členěné podle aktiv (kladné reálné hodnoty) a závazků (záporné reálné hodnoty).</w:t>
            </w:r>
          </w:p>
        </w:tc>
      </w:tr>
      <w:tr w:rsidR="00F43911" w:rsidRPr="007F4CC8" w14:paraId="50E63E04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FC993E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 xml:space="preserve"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8FC786" w14:textId="77777777" w:rsidR="00F43911" w:rsidRPr="007F4CC8" w:rsidRDefault="00F43911" w:rsidP="004F3087">
            <w:pPr>
              <w:pStyle w:val="TableMainHeading"/>
              <w:spacing w:before="0" w:after="24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4640416B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ED3B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a–b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AB8BE" w14:textId="77777777" w:rsidR="00F43911" w:rsidRPr="00BC5D5C" w:rsidRDefault="00F43911" w:rsidP="004F3087">
            <w:pPr>
              <w:autoSpaceDE w:val="0"/>
              <w:autoSpaceDN w:val="0"/>
              <w:adjustRightInd w:val="0"/>
              <w:spacing w:after="240"/>
              <w:rPr>
                <w:b/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color w:val="000000"/>
                <w:sz w:val="24"/>
                <w:rFonts w:ascii="Times New Roman" w:hAnsi="Times New Roman"/>
              </w:rPr>
              <w:t xml:space="preserve">Zajištění úvěrových derivátů</w:t>
            </w:r>
          </w:p>
          <w:p w14:paraId="321E0F5D" w14:textId="63C4245C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Zajištění úvěrových derivátů nakoupené nebo prodané v souladu s částí třetí hlavou II kapitolou 6 nařízení (EU) č. 575/2013.</w:t>
            </w:r>
          </w:p>
        </w:tc>
      </w:tr>
    </w:tbl>
    <w:p w14:paraId="2A1A8F86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</w:p>
    <w:p w14:paraId="5800BF80" w14:textId="77777777" w:rsidR="00F43911" w:rsidRPr="007F4CC8" w:rsidRDefault="00F43911" w:rsidP="00F43911">
      <w:pPr>
        <w:pStyle w:val="Titlelevel2"/>
        <w:spacing w:before="0"/>
        <w:rPr>
          <w:b/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Šablona EU CCR7 – Tokové výkazy objemů rizikově vážených expozic o expozicích s úvěrovým rizikem protistrany podle metody interního modelu: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Pevně daný formát</w:t>
      </w:r>
    </w:p>
    <w:p w14:paraId="2FBF77B4" w14:textId="7EA8A8C5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Informace uvedené v čl. 438 písm. h) nařízení (EU) č. 575/2013 zpřístupňují instituce podle níže uvedených pokynů k vyplnění šablony EU CCR7, obsažené v příloze XXV IT řešení orgánu EBA.</w:t>
      </w:r>
    </w:p>
    <w:p w14:paraId="5F6004F0" w14:textId="6839AF1F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Instituce, které používají metodu interního modelu pro výpočet objemů rizikově vážených expozic pro všechny expozice s CCR nebo jejich část v souladu s částí třetí hlavou II kapitolou 6 nařízení (EU) č. 575/2013, bez ohledu na přístup k úvěrovému riziku použitý ke stanovení odpovídajících rizikových vah, zpřístupní výkaz o tocích vysvětlující změny objemů rizikově vážených expozic derivátů a SFT v rozsahu působnosti metody interního modelu v rozlišení podle klíčových faktorů a na základě přiměřených odhadů.</w:t>
      </w:r>
    </w:p>
    <w:p w14:paraId="01AA4F25" w14:textId="08472427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Tato šablona nezahrnuje objemy rizikově vážených expozic k riziku CVA (část třetí hlava VI nařízení (EU) č. 575/2013) a expozice vůči ústřední protistraně (část třetí hlava II kapitola 6 oddíl 9 nařízení (EU) č. 575/2013).</w:t>
      </w:r>
    </w:p>
    <w:p w14:paraId="7DAAFDC1" w14:textId="77777777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Instituce zpřístupní toky RWEA jako změny mezi objemy rizikově vážených expozic ke konci referenčního období, za něž se zpřístupňují informace (jak je uvedeno níže v řádku 9 této šablony), a objemy rizikově vážených expozic ke konci předchozího referenčního období (jak je uvedeno níže v řádku 1 této šablony;</w:t>
      </w:r>
      <w:r>
        <w:rPr>
          <w:color w:val="auto"/>
          <w:sz w:val="24"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v případě čtvrtletního zpřístupňování informací ke konci čtvrtletí před čtvrtletím referenčního období zpřístupňování informací).</w:t>
      </w:r>
      <w:r>
        <w:rPr>
          <w:color w:val="auto"/>
          <w:sz w:val="24"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Instituce mohou své zpřístupněné informace podle pilíře 3 doplnit zpřístupněním týchž informací za tři předchozí čtvrtletí.</w:t>
      </w:r>
    </w:p>
    <w:p w14:paraId="23D5C19D" w14:textId="77777777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color w:val="auto"/>
          <w:sz w:val="24"/>
          <w:rFonts w:ascii="Times New Roman" w:hAnsi="Times New Roman"/>
        </w:rPr>
      </w:pPr>
      <w:r>
        <w:rPr>
          <w:color w:val="auto"/>
          <w:sz w:val="24"/>
          <w:rFonts w:ascii="Times New Roman" w:hAnsi="Times New Roman"/>
        </w:rPr>
        <w:t xml:space="preserve">Instituce v komentáři přiloženém k šabloně vysvětlí číselné údaje v řádku 8 této šablony, tj. případné další faktory, které významně přispívají k odchylkám RWEA.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4B08B94F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7163A6" w14:textId="77777777" w:rsidR="00F43911" w:rsidRPr="007F4CC8" w:rsidRDefault="00F43911" w:rsidP="004F3087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 pokyny</w:t>
            </w:r>
          </w:p>
        </w:tc>
      </w:tr>
      <w:tr w:rsidR="00F43911" w:rsidRPr="007F4CC8" w14:paraId="3CBABF6D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8B9FC05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jc w:val="center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2060A03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63EEBD7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842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B410" w14:textId="77777777" w:rsidR="00F43911" w:rsidRPr="005947B9" w:rsidRDefault="00F43911" w:rsidP="004F3087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Objem rizikově vážených expozic (RWEA) na konci předchozího období, za něž se informace zpřístupňují</w:t>
            </w:r>
          </w:p>
          <w:p w14:paraId="7F1BADFD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Objemy rizikově vážených expozic pro expozice s CCR v rámci metody interního modelu na konci předchozího období, za něž se informace zpřístupňují.</w:t>
            </w:r>
          </w:p>
        </w:tc>
      </w:tr>
      <w:tr w:rsidR="00F43911" w:rsidRPr="007F4CC8" w14:paraId="7FC32BB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6AE8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21D7" w14:textId="77777777" w:rsidR="00F43911" w:rsidRPr="005947B9" w:rsidRDefault="00F43911" w:rsidP="004F3087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Výše aktiv</w:t>
            </w:r>
          </w:p>
          <w:p w14:paraId="07D133F6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Změny RWEA (kladné nebo záporné) v důsledku běžných změn ve velikosti a složení portfolia (včetně vzniku nových podniků a splatných expozic), ale s vyloučením změn ve velikosti portfolia v důsledku převzetí a zcizení subjektů.</w:t>
            </w:r>
          </w:p>
        </w:tc>
      </w:tr>
      <w:tr w:rsidR="00F43911" w:rsidRPr="007F4CC8" w14:paraId="5AB9A46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48DE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5A91" w14:textId="77777777" w:rsidR="00F43911" w:rsidRPr="005947B9" w:rsidRDefault="00F43911" w:rsidP="004F3087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Úvěrová kvalita protistran</w:t>
            </w:r>
          </w:p>
          <w:p w14:paraId="70A7587F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Změny RWEA (kladné nebo záporné) v důsledku změn v hodnocení kvality protistran instituce měřených podle rámce pro úvěrové riziko bez ohledu na přístup, který instituce používá.</w:t>
            </w:r>
          </w:p>
          <w:p w14:paraId="5EFAE896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Tento řádek obsahuje možné změny RWEA v důsledku modelů IRB, pokud instituce používá přístup IRB.</w:t>
            </w:r>
          </w:p>
        </w:tc>
      </w:tr>
      <w:tr w:rsidR="00F43911" w:rsidRPr="007F4CC8" w14:paraId="0BEA559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AC9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B8CD" w14:textId="77777777" w:rsidR="00F43911" w:rsidRPr="005947B9" w:rsidRDefault="00F43911" w:rsidP="004F3087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Aktualizace modelu (pouze metoda interního modelu)</w:t>
            </w:r>
          </w:p>
          <w:p w14:paraId="58308728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Změny RWEA (kladné nebo záporné) v důsledku zavedení modelu, změn v rozsahu modelu nebo jakýchkoli změn určených k řešení slabých stránek modelu.</w:t>
            </w:r>
          </w:p>
          <w:p w14:paraId="58BDFEF1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Tento řádek bude odrážet pouze změny metody interního modelu.</w:t>
            </w:r>
          </w:p>
        </w:tc>
      </w:tr>
      <w:tr w:rsidR="00F43911" w:rsidRPr="007F4CC8" w14:paraId="34B3658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6D3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2F14" w14:textId="77777777" w:rsidR="00F43911" w:rsidRPr="005947B9" w:rsidRDefault="00F43911" w:rsidP="004F3087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Metodika a zásady (pouze metoda interního modelu)</w:t>
            </w:r>
          </w:p>
          <w:p w14:paraId="046BC00D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Změny RWEA (kladné nebo záporné) v důsledku metodických změn ve výpočtech způsobených změnami regulační politiky, například novými předpisy (pouze v případě metody interního modelu).</w:t>
            </w:r>
          </w:p>
        </w:tc>
      </w:tr>
      <w:tr w:rsidR="00F43911" w:rsidRPr="007F4CC8" w14:paraId="4121B104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A55D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B8E8" w14:textId="77777777" w:rsidR="00F43911" w:rsidRPr="005947B9" w:rsidRDefault="00F43911" w:rsidP="004F3087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Převzetí a zcizení</w:t>
            </w:r>
          </w:p>
          <w:p w14:paraId="07E040C6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Změny RWEA (kladné nebo záporné) v důsledku změn velikosti portfolia v důsledku nabytí a pozbytí subjektů.</w:t>
            </w:r>
          </w:p>
        </w:tc>
      </w:tr>
      <w:tr w:rsidR="00F43911" w:rsidRPr="007F4CC8" w14:paraId="4A8FFE6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AC1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B1D5" w14:textId="77777777" w:rsidR="00F43911" w:rsidRPr="005947B9" w:rsidRDefault="00F43911" w:rsidP="004F3087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Devizové pohyby</w:t>
            </w:r>
          </w:p>
          <w:p w14:paraId="2A243848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Změny RWEA (kladné nebo záporné) v důsledku změn vyplývajících z pohybů přepočtů cizích měn.</w:t>
            </w:r>
          </w:p>
        </w:tc>
      </w:tr>
      <w:tr w:rsidR="00F43911" w:rsidRPr="007F4CC8" w14:paraId="29BF8EB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332C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E796" w14:textId="77777777" w:rsidR="00F43911" w:rsidRPr="005947B9" w:rsidRDefault="00F43911" w:rsidP="004F3087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Ostatní</w:t>
            </w:r>
          </w:p>
          <w:p w14:paraId="58936611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Tato kategorie se použije k zachycení změn RWEA (kladných nebo záporných), které nelze zařadit do výše uvedených kategorií.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 tomto řádku instituce uvedou součet těchto změn RWEA.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 komentáři připojeném k této šabloně instituce dále popíší jakékoli jiné podstatné faktory pohybů rizikově vážených objemů za období, za něž se informace zpřístupňují.</w:t>
            </w:r>
          </w:p>
        </w:tc>
      </w:tr>
      <w:tr w:rsidR="00F43911" w:rsidRPr="007F4CC8" w14:paraId="577B2153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E116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916" w14:textId="77777777" w:rsidR="00F43911" w:rsidRPr="005947B9" w:rsidRDefault="00F43911" w:rsidP="004F3087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RWEA na konci běžného období, za něž se informace zpřístupňují</w:t>
            </w:r>
          </w:p>
          <w:p w14:paraId="1EF927DE" w14:textId="77777777" w:rsidR="00F43911" w:rsidRPr="007F4CC8" w:rsidRDefault="00F43911" w:rsidP="004F3087">
            <w:pPr>
              <w:spacing w:after="240"/>
              <w:jc w:val="both"/>
              <w:rPr>
                <w:i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Objemy rizikově vážených expozic pro expozice s CCR v rámci metody interního modelu na konci běžného období, za něž se informace zpřístupňují.</w:t>
            </w:r>
          </w:p>
        </w:tc>
      </w:tr>
      <w:tr w:rsidR="00F43911" w:rsidRPr="007F4CC8" w14:paraId="633E665B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BA5767" w14:textId="77777777" w:rsidR="00F43911" w:rsidRPr="005947B9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 xml:space="preserve"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B7D39F" w14:textId="77777777" w:rsidR="00F43911" w:rsidRPr="005947B9" w:rsidRDefault="00F43911" w:rsidP="004F3087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791172C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AAF7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B3DF" w14:textId="77777777" w:rsidR="00F43911" w:rsidRPr="005947B9" w:rsidRDefault="00F43911" w:rsidP="004F3087">
            <w:pPr>
              <w:spacing w:after="24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Objem rizikově vážených expozic (RWEA)</w:t>
            </w:r>
          </w:p>
        </w:tc>
      </w:tr>
    </w:tbl>
    <w:p w14:paraId="2D6E78B2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02190422" w14:textId="77777777" w:rsidR="00F43911" w:rsidRPr="007F4CC8" w:rsidRDefault="00F43911" w:rsidP="00F43911">
      <w:pPr>
        <w:pStyle w:val="Titlelevel2"/>
        <w:spacing w:before="0"/>
        <w:rPr>
          <w:b/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Šablona EU CCR8 – Expozice vůči ústředním protistranám: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Pevně daný formát</w:t>
      </w:r>
      <w:r>
        <w:rPr>
          <w:color w:val="auto"/>
          <w:sz w:val="24"/>
          <w:b/>
          <w:rFonts w:ascii="Times New Roman" w:hAnsi="Times New Roman"/>
        </w:rPr>
        <w:t xml:space="preserve"> </w:t>
      </w:r>
    </w:p>
    <w:p w14:paraId="14C03A10" w14:textId="4291866F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Cs w:val="0"/>
          <w:color w:val="000000"/>
          <w:sz w:val="24"/>
          <w:rFonts w:ascii="Times New Roman" w:eastAsiaTheme="minorEastAsia" w:hAnsi="Times New Roman" w:cs="Times New Roman"/>
        </w:rPr>
      </w:pPr>
      <w:r>
        <w:rPr>
          <w:sz w:val="24"/>
          <w:color w:val="000000"/>
          <w:rFonts w:ascii="Times New Roman" w:hAnsi="Times New Roman"/>
        </w:rPr>
        <w:t xml:space="preserve">Informace uvedené v čl. 439 písm. i) nařízení (EU) č. 575/2013 zpřístupňují instituce podle níže uvedených pokynů k vyplnění šablony EU CCR8, obsažené v příloze XXV IT řešení orgánu EBA.</w:t>
      </w:r>
    </w:p>
    <w:p w14:paraId="2D8023A6" w14:textId="13DE5A1F" w:rsidR="00F43911" w:rsidRPr="007F4CC8" w:rsidRDefault="00F43911" w:rsidP="00F43911">
      <w:pPr>
        <w:pStyle w:val="Titlelevel2"/>
        <w:numPr>
          <w:ilvl w:val="0"/>
          <w:numId w:val="2"/>
        </w:numPr>
        <w:spacing w:before="0"/>
        <w:jc w:val="both"/>
        <w:rPr>
          <w:b/>
          <w:color w:val="auto"/>
          <w:sz w:val="24"/>
          <w:rFonts w:ascii="Times New Roman" w:hAnsi="Times New Roman"/>
        </w:rPr>
      </w:pPr>
      <w:r>
        <w:rPr>
          <w:sz w:val="24"/>
          <w:color w:val="000000"/>
          <w:rFonts w:ascii="Times New Roman" w:hAnsi="Times New Roman"/>
        </w:rPr>
        <w:t xml:space="preserve">Expozice vůči ústředním protistranám:</w:t>
      </w:r>
      <w:r>
        <w:rPr>
          <w:sz w:val="24"/>
          <w:color w:val="000000"/>
          <w:rFonts w:ascii="Times New Roman" w:hAnsi="Times New Roman"/>
        </w:rPr>
        <w:t xml:space="preserve"> </w:t>
      </w:r>
      <w:r>
        <w:rPr>
          <w:sz w:val="24"/>
          <w:color w:val="000000"/>
          <w:rFonts w:ascii="Times New Roman" w:hAnsi="Times New Roman"/>
        </w:rPr>
        <w:t xml:space="preserve">Smlouvy a transakce vyjmenované v čl. 301 odst. 1 nařízení (EU) č. 575/2013, které dosud nebyly s ústřední protistranou vypořádány, včetně expozic z transakcí souvisejících s ústřední protistranou v souladu s čl. 300 bodem 2 nařízení (EU) č. 575/2013, pro něž se vypočítávají kapitálové požadavky v souladu s částí třetí hlavou II kapitolou 6 oddílem 9 nařízení (EU) č. 575/2013.</w:t>
      </w:r>
      <w:r>
        <w:rPr>
          <w:sz w:val="24"/>
          <w:color w:val="000000"/>
          <w:rFonts w:ascii="Times New Roman" w:hAnsi="Times New Roman"/>
        </w:rPr>
        <w:t xml:space="preserve">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43911" w:rsidRPr="007F4CC8" w14:paraId="0106736E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E46BC0" w14:textId="77777777" w:rsidR="00F43911" w:rsidRPr="007F4CC8" w:rsidRDefault="00F43911" w:rsidP="004F3087">
            <w:pPr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Odkazy na právní předpisy a pokyny</w:t>
            </w:r>
          </w:p>
        </w:tc>
      </w:tr>
      <w:tr w:rsidR="00F43911" w:rsidRPr="007F4CC8" w14:paraId="6D3E09E0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F86EBCB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610CABA" w14:textId="77777777" w:rsidR="00F43911" w:rsidRPr="007F4CC8" w:rsidRDefault="00F43911" w:rsidP="004F3087">
            <w:pPr>
              <w:autoSpaceDE w:val="0"/>
              <w:autoSpaceDN w:val="0"/>
              <w:adjustRightInd w:val="0"/>
              <w:spacing w:after="24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37AB1FB7" w14:textId="77777777" w:rsidTr="004F3087">
        <w:trPr>
          <w:trHeight w:val="680"/>
        </w:trPr>
        <w:tc>
          <w:tcPr>
            <w:tcW w:w="1384" w:type="dxa"/>
          </w:tcPr>
          <w:p w14:paraId="000DBB15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1–10</w:t>
            </w:r>
          </w:p>
        </w:tc>
        <w:tc>
          <w:tcPr>
            <w:tcW w:w="7655" w:type="dxa"/>
            <w:vAlign w:val="center"/>
          </w:tcPr>
          <w:p w14:paraId="29CECCE7" w14:textId="77777777" w:rsidR="00F43911" w:rsidRPr="005947B9" w:rsidRDefault="00F43911" w:rsidP="004F3087">
            <w:pPr>
              <w:keepNext/>
              <w:spacing w:after="24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Způsobilá ústřední protistrana</w:t>
            </w:r>
          </w:p>
          <w:p w14:paraId="7D977D34" w14:textId="54340F62" w:rsidR="00F43911" w:rsidRPr="007F4CC8" w:rsidRDefault="00F43911" w:rsidP="004F3087">
            <w:pPr>
              <w:keepNext/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Způsobilá ústřední protistrana ve smyslu čl. 4 odst. 1 bodu 88 nařízení (EU) č. 575/2013.</w:t>
            </w:r>
          </w:p>
        </w:tc>
      </w:tr>
      <w:tr w:rsidR="00F43911" w:rsidRPr="007F4CC8" w14:paraId="68B0B77B" w14:textId="77777777" w:rsidTr="004F3087">
        <w:trPr>
          <w:trHeight w:val="680"/>
        </w:trPr>
        <w:tc>
          <w:tcPr>
            <w:tcW w:w="1384" w:type="dxa"/>
          </w:tcPr>
          <w:p w14:paraId="3AEC71A5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7 a 8</w:t>
            </w:r>
          </w:p>
          <w:p w14:paraId="1BD08955" w14:textId="77777777" w:rsidR="00F43911" w:rsidRPr="007F4CC8" w:rsidRDefault="00F43911" w:rsidP="004F3087">
            <w:pPr>
              <w:pStyle w:val="Fait"/>
              <w:spacing w:before="0" w:after="240"/>
              <w:jc w:val="center"/>
            </w:pPr>
            <w:r>
              <w:t xml:space="preserve">17 a 18</w:t>
            </w:r>
          </w:p>
        </w:tc>
        <w:tc>
          <w:tcPr>
            <w:tcW w:w="7655" w:type="dxa"/>
            <w:vAlign w:val="center"/>
          </w:tcPr>
          <w:p w14:paraId="2A3132CF" w14:textId="77777777" w:rsidR="00F43911" w:rsidRPr="005947B9" w:rsidRDefault="00F43911" w:rsidP="004F3087">
            <w:pPr>
              <w:keepNext/>
              <w:spacing w:after="240"/>
              <w:jc w:val="both"/>
              <w:rPr>
                <w:b/>
                <w:bCs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Počáteční marže</w:t>
            </w:r>
          </w:p>
          <w:p w14:paraId="3C76FA21" w14:textId="6C3EFE50" w:rsidR="00F43911" w:rsidRPr="007F4CC8" w:rsidRDefault="00F43911" w:rsidP="004F3087">
            <w:pPr>
              <w:keepNext/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Instituce uvedou reálné hodnoty obdrženého nebo poskytnutého kolaterálu jako počáteční marži definovanou v čl. 4 odst. 1 bodě 140 nařízení (EU) č. 575/2013.</w:t>
            </w:r>
          </w:p>
          <w:p w14:paraId="3B66900B" w14:textId="77777777" w:rsidR="00F43911" w:rsidRPr="007F4CC8" w:rsidRDefault="00F43911" w:rsidP="004F3087">
            <w:pPr>
              <w:keepNext/>
              <w:spacing w:after="24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 účely této šablony počáteční marže nezahrnuje příspěvky ústřední protistraně za rozložené sdílení ztráty (tj. v případech, kdy ústřední protistrana použije počáteční marži k rozložení ztrát mezi členy clearingového systému, bude považována za expozici z příspěvků fondu pro riziko selhání).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43911" w:rsidRPr="007F4CC8" w14:paraId="514E9587" w14:textId="77777777" w:rsidTr="004F3087">
        <w:trPr>
          <w:trHeight w:val="680"/>
        </w:trPr>
        <w:tc>
          <w:tcPr>
            <w:tcW w:w="1384" w:type="dxa"/>
          </w:tcPr>
          <w:p w14:paraId="5E7BE072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9 a 19</w:t>
            </w:r>
          </w:p>
        </w:tc>
        <w:tc>
          <w:tcPr>
            <w:tcW w:w="7655" w:type="dxa"/>
            <w:vAlign w:val="center"/>
          </w:tcPr>
          <w:p w14:paraId="515E4B6E" w14:textId="77777777" w:rsidR="00F43911" w:rsidRPr="005947B9" w:rsidRDefault="00F43911" w:rsidP="004F3087">
            <w:pPr>
              <w:keepNext/>
              <w:spacing w:after="24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Předfinancované příspěvky do fondu pro riziko selhání</w:t>
            </w:r>
          </w:p>
          <w:p w14:paraId="2980A8E2" w14:textId="77777777" w:rsidR="00F43911" w:rsidRPr="007F4CC8" w:rsidRDefault="00F43911" w:rsidP="004F3087">
            <w:pPr>
              <w:keepNext/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Příspěvek do fondu pro riziko selhání zřízeného ústřední protistranou, který instituce platí.</w:t>
            </w:r>
          </w:p>
          <w:p w14:paraId="47DBAB7C" w14:textId="47AF297D" w:rsidR="00F43911" w:rsidRPr="007F4CC8" w:rsidRDefault="00F43911" w:rsidP="004F3087">
            <w:pPr>
              <w:keepNext/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„Fond pro riziko selhání“ je vymezen v čl. 4 odst. 1 bodu 89 nařízení (EU) č. 575/2013.</w:t>
            </w:r>
          </w:p>
        </w:tc>
      </w:tr>
      <w:tr w:rsidR="00F43911" w:rsidRPr="007F4CC8" w14:paraId="368249A9" w14:textId="77777777" w:rsidTr="004F3087">
        <w:trPr>
          <w:trHeight w:val="680"/>
        </w:trPr>
        <w:tc>
          <w:tcPr>
            <w:tcW w:w="1384" w:type="dxa"/>
          </w:tcPr>
          <w:p w14:paraId="4ECB41F2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20</w:t>
            </w:r>
          </w:p>
        </w:tc>
        <w:tc>
          <w:tcPr>
            <w:tcW w:w="7655" w:type="dxa"/>
            <w:vAlign w:val="center"/>
          </w:tcPr>
          <w:p w14:paraId="66ADBBF3" w14:textId="77777777" w:rsidR="00F43911" w:rsidRPr="005947B9" w:rsidRDefault="00F43911" w:rsidP="004F3087">
            <w:pPr>
              <w:keepNext/>
              <w:spacing w:after="24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Nefinancované příspěvky do fondu pro riziko selhání</w:t>
            </w:r>
          </w:p>
          <w:p w14:paraId="32104DB8" w14:textId="25D785F1" w:rsidR="00F43911" w:rsidRPr="007F4CC8" w:rsidRDefault="00F43911" w:rsidP="004F3087">
            <w:pPr>
              <w:keepNext/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Příspěvky, které má instituce působící jako člen clearingového systému na základě smluvního závazku poskytnout ústřední protistraně poté, co tato ústřední protistrana vyčerpala svůj fond pro riziko selhání na pokrytí ztrát vzniklých v důsledku selhání jednoho nebo více členů jejího clearingového systému.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„Fond pro riziko selhání“ je vymezen v čl. 4 odst. 1 bodu 89 nařízení (EU) č. 575/2013.</w:t>
            </w:r>
          </w:p>
        </w:tc>
      </w:tr>
      <w:tr w:rsidR="00F43911" w:rsidRPr="007F4CC8" w14:paraId="5E181790" w14:textId="77777777" w:rsidTr="004F3087">
        <w:trPr>
          <w:trHeight w:val="680"/>
        </w:trPr>
        <w:tc>
          <w:tcPr>
            <w:tcW w:w="1384" w:type="dxa"/>
          </w:tcPr>
          <w:p w14:paraId="3F50AC9D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7 a 17</w:t>
            </w:r>
          </w:p>
        </w:tc>
        <w:tc>
          <w:tcPr>
            <w:tcW w:w="7655" w:type="dxa"/>
            <w:vAlign w:val="center"/>
          </w:tcPr>
          <w:p w14:paraId="14FAE32C" w14:textId="77777777" w:rsidR="00F43911" w:rsidRPr="005947B9" w:rsidRDefault="00F43911" w:rsidP="004F3087">
            <w:pPr>
              <w:spacing w:after="240"/>
              <w:jc w:val="both"/>
              <w:rPr>
                <w:b/>
                <w:sz w:val="24"/>
                <w:rFonts w:ascii="Times New Roman" w:eastAsia="Calibr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Oddělený</w:t>
            </w:r>
          </w:p>
          <w:p w14:paraId="77E9C42E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Calibr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Viz definice v šabloně EU CCR5.</w:t>
            </w:r>
          </w:p>
        </w:tc>
      </w:tr>
      <w:tr w:rsidR="00F43911" w:rsidRPr="007F4CC8" w14:paraId="3243F74D" w14:textId="77777777" w:rsidTr="004F3087">
        <w:trPr>
          <w:trHeight w:val="680"/>
        </w:trPr>
        <w:tc>
          <w:tcPr>
            <w:tcW w:w="1384" w:type="dxa"/>
          </w:tcPr>
          <w:p w14:paraId="5D4CDD15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8 a 18</w:t>
            </w:r>
          </w:p>
        </w:tc>
        <w:tc>
          <w:tcPr>
            <w:tcW w:w="7655" w:type="dxa"/>
            <w:vAlign w:val="center"/>
          </w:tcPr>
          <w:p w14:paraId="68CA4C70" w14:textId="77777777" w:rsidR="00F43911" w:rsidRPr="005947B9" w:rsidRDefault="00F43911" w:rsidP="004F3087">
            <w:pPr>
              <w:spacing w:after="240"/>
              <w:jc w:val="both"/>
              <w:rPr>
                <w:b/>
                <w:sz w:val="24"/>
                <w:rFonts w:ascii="Times New Roman" w:eastAsia="Calibr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Neoddělený</w:t>
            </w:r>
          </w:p>
          <w:p w14:paraId="33E34E6A" w14:textId="77777777" w:rsidR="00F43911" w:rsidRPr="007F4CC8" w:rsidRDefault="00F43911" w:rsidP="004F3087">
            <w:pPr>
              <w:spacing w:after="240"/>
              <w:jc w:val="both"/>
              <w:rPr>
                <w:sz w:val="24"/>
                <w:rFonts w:ascii="Times New Roman" w:eastAsia="Calibr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Viz definice v šabloně EU CCR5.</w:t>
            </w:r>
          </w:p>
        </w:tc>
      </w:tr>
      <w:tr w:rsidR="00F43911" w:rsidRPr="007F4CC8" w14:paraId="24950624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7300B0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  <w:rPr>
                <w:b/>
              </w:rPr>
            </w:pPr>
            <w:r>
              <w:rPr>
                <w:b/>
              </w:rPr>
              <w:t xml:space="preserve">Sloupec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EE5738" w14:textId="77777777" w:rsidR="00F43911" w:rsidRPr="007F4CC8" w:rsidRDefault="00F43911" w:rsidP="004F3087">
            <w:pPr>
              <w:pStyle w:val="TableMainHeading"/>
              <w:spacing w:before="0" w:after="24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Vysvětlení</w:t>
            </w:r>
          </w:p>
        </w:tc>
      </w:tr>
      <w:tr w:rsidR="00F43911" w:rsidRPr="007F4CC8" w14:paraId="4DE730C0" w14:textId="77777777" w:rsidTr="004F3087">
        <w:trPr>
          <w:trHeight w:val="680"/>
        </w:trPr>
        <w:tc>
          <w:tcPr>
            <w:tcW w:w="1384" w:type="dxa"/>
          </w:tcPr>
          <w:p w14:paraId="0419643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a</w:t>
            </w:r>
          </w:p>
        </w:tc>
        <w:tc>
          <w:tcPr>
            <w:tcW w:w="7655" w:type="dxa"/>
            <w:vAlign w:val="center"/>
          </w:tcPr>
          <w:p w14:paraId="5D26D40B" w14:textId="77777777" w:rsidR="00F43911" w:rsidRPr="005947B9" w:rsidRDefault="00F43911" w:rsidP="004F3087">
            <w:pPr>
              <w:keepNext/>
              <w:spacing w:after="24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Hodnota expozice</w:t>
            </w:r>
          </w:p>
          <w:p w14:paraId="35A19512" w14:textId="30257E7C" w:rsidR="00F43911" w:rsidRPr="007F4CC8" w:rsidRDefault="00F43911" w:rsidP="004F3087">
            <w:pPr>
              <w:keepNext/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Hodnota expozice vypočtená v souladu s metodami stanovenými v části třetí hlavě II kapitolách 4 a 6 nařízení (EU) č. 575/2013 pro transakce v oblasti působnosti části třetí hlavy II kapitoly 6 oddílu 9 nařízení (EU) č. 575/2013 po uplatnění příslušných úprav podle článků 304, 306 a 308 uvedeného oddílu.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2E09CAC" w14:textId="75171097" w:rsidR="00F43911" w:rsidRPr="007F4CC8" w:rsidRDefault="00F43911" w:rsidP="004F3087">
            <w:pPr>
              <w:keepNext/>
              <w:spacing w:after="240"/>
              <w:jc w:val="both"/>
              <w:rPr>
                <w:i/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Expozicí může být obchodní expozice ve smyslu čl. 4 odst. 1 bodu 91 nařízení (EU) č.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Zpřístupněnou hodnotou expozice je částka relevantní pro výpočet kapitálových požadavků v souladu s částí třetí hlavou II kapitolou 6 oddílem 9 nařízení (EU) č. 575/2013 při zohlednění požadavků článku 497 nařízení (EU) č. 575/2013 během přechodného období stanoveného v uvedeném článku.</w:t>
            </w:r>
          </w:p>
        </w:tc>
      </w:tr>
      <w:tr w:rsidR="00F43911" w:rsidRPr="007F4CC8" w14:paraId="3E896BAB" w14:textId="77777777" w:rsidTr="004F3087">
        <w:trPr>
          <w:trHeight w:val="680"/>
        </w:trPr>
        <w:tc>
          <w:tcPr>
            <w:tcW w:w="1384" w:type="dxa"/>
          </w:tcPr>
          <w:p w14:paraId="39460D6B" w14:textId="77777777" w:rsidR="00F43911" w:rsidRPr="007F4CC8" w:rsidRDefault="00F43911" w:rsidP="004F3087">
            <w:pPr>
              <w:pStyle w:val="Applicationdirecte"/>
              <w:spacing w:before="0" w:after="240"/>
              <w:jc w:val="center"/>
            </w:pPr>
            <w:r>
              <w:t xml:space="preserve">b</w:t>
            </w:r>
          </w:p>
        </w:tc>
        <w:tc>
          <w:tcPr>
            <w:tcW w:w="7655" w:type="dxa"/>
            <w:vAlign w:val="center"/>
          </w:tcPr>
          <w:p w14:paraId="4F7D8947" w14:textId="77777777" w:rsidR="00F43911" w:rsidRPr="005947B9" w:rsidRDefault="00F43911" w:rsidP="004F3087">
            <w:pPr>
              <w:keepNext/>
              <w:spacing w:after="240"/>
              <w:jc w:val="both"/>
              <w:rPr>
                <w:b/>
                <w:sz w:val="24"/>
                <w:rFonts w:ascii="Times New Roman" w:eastAsia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Objem rizikově vážených expozic (RWEA)</w:t>
            </w:r>
          </w:p>
          <w:p w14:paraId="1E08469B" w14:textId="2290AF23" w:rsidR="00F43911" w:rsidRPr="007F4CC8" w:rsidRDefault="00F43911" w:rsidP="004F3087">
            <w:pPr>
              <w:keepNext/>
              <w:spacing w:after="24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Objemy rizikově vážených expozic podle čl. 92 odst. 3 písm. a) nařízení (EU) č. 575/2013 vypočtené v souladu s částí třetí hlavou II kapitolou 6 oddílem 9 článkem 107 nařízení (EU) č. 575/2013.</w:t>
            </w:r>
          </w:p>
        </w:tc>
      </w:tr>
    </w:tbl>
    <w:p w14:paraId="38F46446" w14:textId="77777777" w:rsidR="00F43911" w:rsidRPr="007F4CC8" w:rsidRDefault="00F43911" w:rsidP="00F43911">
      <w:pPr>
        <w:pStyle w:val="Titlelevel2"/>
        <w:spacing w:before="0"/>
        <w:rPr>
          <w:rFonts w:ascii="Times New Roman" w:hAnsi="Times New Roman" w:cs="Times New Roman"/>
          <w:color w:val="auto"/>
          <w:sz w:val="24"/>
          <w:lang w:val="en-GB"/>
        </w:rPr>
      </w:pPr>
    </w:p>
    <w:p w14:paraId="12B7B384" w14:textId="77777777" w:rsidR="00993FC2" w:rsidRDefault="00993FC2"/>
    <w:sectPr w:rsidR="00993FC2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E79FB" w14:textId="77777777" w:rsidR="008F4881" w:rsidRDefault="008F4881" w:rsidP="00F43911">
      <w:r>
        <w:separator/>
      </w:r>
    </w:p>
  </w:endnote>
  <w:endnote w:type="continuationSeparator" w:id="0">
    <w:p w14:paraId="48686D03" w14:textId="77777777" w:rsidR="008F4881" w:rsidRDefault="008F4881" w:rsidP="00F4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3406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758E19" w14:textId="77777777" w:rsidR="00F43911" w:rsidRDefault="00F439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28D91080" w14:textId="77777777" w:rsidR="00F43911" w:rsidRDefault="00F43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87706" w14:textId="77777777" w:rsidR="008F4881" w:rsidRDefault="008F4881" w:rsidP="00F43911">
      <w:r>
        <w:separator/>
      </w:r>
    </w:p>
  </w:footnote>
  <w:footnote w:type="continuationSeparator" w:id="0">
    <w:p w14:paraId="2A6C6F9F" w14:textId="77777777" w:rsidR="008F4881" w:rsidRDefault="008F4881" w:rsidP="00F43911">
      <w:r>
        <w:continuationSeparator/>
      </w:r>
    </w:p>
  </w:footnote>
  <w:footnote w:id="1">
    <w:p w14:paraId="4BEF01B5" w14:textId="7B31B879" w:rsidR="00F43911" w:rsidRPr="00222AAB" w:rsidRDefault="00F43911" w:rsidP="00F43911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Nařízení Evropského parlamentu a Rady (EU) č. 575/2013 ze dne 26. června 2013 o obezřetnostních požadavcích na úvěrové instituce a o změně nařízení (EU) č. 648/2012 ve znění nařízení (EU) 2024/1623 (</w:t>
      </w:r>
      <w:hyperlink r:id="rId1" w:history="1">
        <w:r>
          <w:rPr>
            <w:rStyle w:val="Hyperlink"/>
            <w:color w:val="800080"/>
          </w:rPr>
          <w:t xml:space="preserve">Úř. věst. L 176, 27.6.2013, s. 1</w:t>
        </w:r>
      </w:hyperlink>
      <w: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nařízení – EU – 2024/1623 – CS – EUR-Lex (europa.eu)</w:t>
        </w:r>
      </w:hyperlink>
      <w:r>
        <w:rPr>
          <w:color w:val="444444"/>
        </w:rPr>
        <w:t xml:space="preserve"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56C42" w14:textId="0C7B97D6" w:rsidR="00532BBF" w:rsidRDefault="00532BBF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7C7C9B1F" wp14:editId="66BC143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211500698" name="Text Box 2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B08EA5" w14:textId="635D4341" w:rsidR="00532BBF" w:rsidRPr="00532BBF" w:rsidRDefault="00532BBF" w:rsidP="00532BBF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C7C9B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– pravidelné používání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fill o:detectmouseclick="t"/>
              <v:textbox style="mso-fit-shape-to-text:t" inset="20pt,15pt,0,0">
                <w:txbxContent>
                  <w:p w14:paraId="6FB08EA5" w14:textId="635D4341" w:rsidR="00532BBF" w:rsidRPr="00532BBF" w:rsidRDefault="00532BBF" w:rsidP="00532BBF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20DF0" w14:textId="6BDBAB63" w:rsidR="00532BBF" w:rsidRDefault="00532BBF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654AF2C4" wp14:editId="236AFA69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82856967" name="Text Box 3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5B00D7" w14:textId="6D3C2832" w:rsidR="00532BBF" w:rsidRPr="00532BBF" w:rsidRDefault="00532BBF" w:rsidP="00532BBF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54AF2C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– pravidelné používání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fill o:detectmouseclick="t"/>
              <v:textbox style="mso-fit-shape-to-text:t" inset="20pt,15pt,0,0">
                <w:txbxContent>
                  <w:p w14:paraId="7B5B00D7" w14:textId="6D3C2832" w:rsidR="00532BBF" w:rsidRPr="00532BBF" w:rsidRDefault="00532BBF" w:rsidP="00532BBF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08AD9" w14:textId="3BDEDAC3" w:rsidR="00532BBF" w:rsidRDefault="00532BBF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6F7B3877" wp14:editId="2CC51CF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69901090" name="Text Box 1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1351D1" w14:textId="2F36AB80" w:rsidR="00532BBF" w:rsidRPr="00532BBF" w:rsidRDefault="00532BBF" w:rsidP="00532BBF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F7B387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– pravidelné používání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fill o:detectmouseclick="t"/>
              <v:textbox style="mso-fit-shape-to-text:t" inset="20pt,15pt,0,0">
                <w:txbxContent>
                  <w:p w14:paraId="7B1351D1" w14:textId="2F36AB80" w:rsidR="00532BBF" w:rsidRPr="00532BBF" w:rsidRDefault="00532BBF" w:rsidP="00532BBF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C5464B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273977">
    <w:abstractNumId w:val="0"/>
  </w:num>
  <w:num w:numId="2" w16cid:durableId="288097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CD5187"/>
    <w:rsid w:val="000E630B"/>
    <w:rsid w:val="001D5CCE"/>
    <w:rsid w:val="00532BBF"/>
    <w:rsid w:val="006B1D12"/>
    <w:rsid w:val="007D4C3D"/>
    <w:rsid w:val="008F4881"/>
    <w:rsid w:val="00993FC2"/>
    <w:rsid w:val="00AB0BDD"/>
    <w:rsid w:val="00CD5187"/>
    <w:rsid w:val="00D50CDF"/>
    <w:rsid w:val="00DD6E68"/>
    <w:rsid w:val="00F43911"/>
    <w:rsid w:val="00F7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83C63"/>
  <w15:chartTrackingRefBased/>
  <w15:docId w15:val="{567D4A0B-B731-4BD6-ABD1-DB5AD25B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911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F43911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  <w:lang w:val="cs-CZ"/>
    </w:rPr>
  </w:style>
  <w:style w:type="paragraph" w:styleId="FootnoteText">
    <w:name w:val="footnote text"/>
    <w:basedOn w:val="Normal"/>
    <w:link w:val="FootnoteTextChar"/>
    <w:autoRedefine/>
    <w:qFormat/>
    <w:rsid w:val="00F43911"/>
    <w:pPr>
      <w:spacing w:before="80" w:line="200" w:lineRule="exact"/>
      <w:ind w:left="567" w:hanging="567"/>
      <w:jc w:val="both"/>
    </w:pPr>
    <w:rPr>
      <w:sz w:val="18"/>
      <w:szCs w:val="18"/>
      <w:lang w:val="cs-CZ"/>
    </w:rPr>
  </w:style>
  <w:style w:type="character" w:customStyle="1" w:styleId="FootnoteTextChar">
    <w:name w:val="Footnote Text Char"/>
    <w:basedOn w:val="DefaultParagraphFont"/>
    <w:link w:val="FootnoteText"/>
    <w:rsid w:val="00F43911"/>
    <w:rPr>
      <w:rFonts w:eastAsiaTheme="minorEastAsia"/>
      <w:sz w:val="18"/>
      <w:szCs w:val="18"/>
      <w:lang w:val="cs-CZ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F43911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F43911"/>
    <w:rPr>
      <w:color w:val="0563C1" w:themeColor="hyperlink"/>
      <w:u w:val="single"/>
    </w:rPr>
  </w:style>
  <w:style w:type="paragraph" w:customStyle="1" w:styleId="numberedparagraph">
    <w:name w:val="numbered paragraph"/>
    <w:basedOn w:val="Normal"/>
    <w:qFormat/>
    <w:rsid w:val="00F43911"/>
    <w:pPr>
      <w:numPr>
        <w:numId w:val="1"/>
      </w:numPr>
      <w:spacing w:before="240" w:after="120" w:line="276" w:lineRule="auto"/>
      <w:jc w:val="both"/>
    </w:pPr>
    <w:rPr>
      <w:lang w:val="cs-CZ"/>
    </w:rPr>
  </w:style>
  <w:style w:type="paragraph" w:customStyle="1" w:styleId="Default">
    <w:name w:val="Default"/>
    <w:rsid w:val="00F439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pplicationdirecte">
    <w:name w:val="Application directe"/>
    <w:basedOn w:val="Normal"/>
    <w:next w:val="Fait"/>
    <w:rsid w:val="00F43911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F43911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TableMainHeading">
    <w:name w:val="TableMainHeading"/>
    <w:basedOn w:val="Normal"/>
    <w:next w:val="Normal"/>
    <w:uiPriority w:val="99"/>
    <w:rsid w:val="00F43911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F43911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styleId="Header">
    <w:name w:val="header"/>
    <w:basedOn w:val="Normal"/>
    <w:link w:val="HeaderChar"/>
    <w:uiPriority w:val="99"/>
    <w:unhideWhenUsed/>
    <w:rsid w:val="00F4391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911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F4391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911"/>
    <w:rPr>
      <w:rFonts w:eastAsiaTheme="minorEastAsia"/>
      <w:szCs w:val="24"/>
    </w:rPr>
  </w:style>
  <w:style w:type="paragraph" w:styleId="Revision">
    <w:name w:val="Revision"/>
    <w:hidden/>
    <w:uiPriority w:val="99"/>
    <w:semiHidden/>
    <w:rsid w:val="00DD6E68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%3A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008F8A-E989-4CFC-8E97-A708E1DCD4F7}"/>
</file>

<file path=customXml/itemProps2.xml><?xml version="1.0" encoding="utf-8"?>
<ds:datastoreItem xmlns:ds="http://schemas.openxmlformats.org/officeDocument/2006/customXml" ds:itemID="{9BFBD7B6-171B-420E-8750-0F3A5E433B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AF98D6-CBF7-434A-9A70-030233195C5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5034</Words>
  <Characters>26735</Characters>
  <Application>Microsoft Office Word</Application>
  <DocSecurity>0</DocSecurity>
  <Lines>636</Lines>
  <Paragraphs>330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31439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8</cp:revision>
  <dcterms:created xsi:type="dcterms:W3CDTF">2021-03-11T13:24:00Z</dcterms:created>
  <dcterms:modified xsi:type="dcterms:W3CDTF">2024-09-26T14:31:00Z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ClassificationContentMarkingHeaderShapeIds">
    <vt:lpwstr>a207c22,c9b3e9a,4f04c07</vt:lpwstr>
  </property>
  <property fmtid="{D5CDD505-2E9C-101B-9397-08002B2CF9AE}" pid="4" name="ClassificationContentMarkingHeaderFontProps">
    <vt:lpwstr>#000000,12,Calibri</vt:lpwstr>
  </property>
  <property fmtid="{D5CDD505-2E9C-101B-9397-08002B2CF9AE}" pid="5" name="ClassificationContentMarkingHeaderText">
    <vt:lpwstr>EBA Regular Use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2024-09-26T14:31:28Z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f63e2b8b-8eae-40a4-8290-ac7d5722f91f</vt:lpwstr>
  </property>
  <property fmtid="{D5CDD505-2E9C-101B-9397-08002B2CF9AE}" pid="12" name="MSIP_Label_6bd9ddd1-4d20-43f6-abfa-fc3c07406f94_ContentBits">
    <vt:lpwstr>0</vt:lpwstr>
  </property>
</Properties>
</file>