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XL. melléklet – Az ESG-kockázatok nyilvánosságra hozatalára vonatkozó útmutató</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Az intézmények az 575/2013/EU rendelet 449a. cikkében említett információkat az e mellékletben foglalt útmutató szerint hozzák nyilvánosságra. Az útmutatót az EBH IT-megoldásainak XXXIX. mellékletében meghatározott táblázatok és táblák kitöltéséhez kell használni.</w:t>
      </w:r>
    </w:p>
    <w:p w14:paraId="4A061912" w14:textId="77777777" w:rsidR="00183989" w:rsidRPr="00E50FA4" w:rsidRDefault="00183989" w:rsidP="00183989">
      <w:pPr>
        <w:pStyle w:val="NumPar2"/>
        <w:numPr>
          <w:ilvl w:val="0"/>
          <w:numId w:val="11"/>
        </w:numPr>
        <w:ind w:left="567" w:hanging="567"/>
        <w:rPr>
          <w:noProof/>
        </w:rPr>
      </w:pPr>
      <w:r>
        <w:t>Ezen útmutató alkalmazásában a következő fogalommeghatározások alkalmazandók:</w:t>
      </w:r>
    </w:p>
    <w:p w14:paraId="66FCA2A6" w14:textId="77777777" w:rsidR="00183989" w:rsidRPr="00E50FA4" w:rsidRDefault="00183989" w:rsidP="00D8026E">
      <w:pPr>
        <w:pStyle w:val="Point1letter"/>
        <w:rPr>
          <w:noProof/>
          <w:szCs w:val="24"/>
        </w:rPr>
      </w:pPr>
      <w:r>
        <w:t>»környezeti, társadalmi és irányítási (ESG) kockázatok«: környezeti, társadalmi vagy irányítási tényezőknek az intézmény partnereire vagy befektetett eszközeire gyakorolt jelenlegi vagy várható hatásaiból eredő, az intézményre gyakorolt negatív pénzügyi hatásból származó veszteségek kockázata;</w:t>
      </w:r>
    </w:p>
    <w:p w14:paraId="04F8B5B7" w14:textId="77777777" w:rsidR="00183989" w:rsidRPr="00E50FA4" w:rsidRDefault="00183989" w:rsidP="00183989">
      <w:pPr>
        <w:pStyle w:val="Point1letter"/>
        <w:ind w:left="1134" w:right="-8"/>
        <w:rPr>
          <w:noProof/>
          <w:szCs w:val="24"/>
        </w:rPr>
      </w:pPr>
      <w:r>
        <w:t>»környezeti kockázat«: környezeti tényezőknek az intézmény partnereire vagy befektetett eszközeire gyakorolt jelenlegi vagy várható hatásaiból eredő, az intézményre gyakorolt negatív pénzügyi hatásból származó veszteségek kockázata, beleértve a következő környezetvédelmi célkitűzések megvalósításához szükséges átálláshoz kapcsolódó tényezőket is:</w:t>
      </w:r>
    </w:p>
    <w:p w14:paraId="545FE72D" w14:textId="77777777" w:rsidR="00183989" w:rsidRPr="00E50FA4" w:rsidRDefault="00183989" w:rsidP="00D8026E">
      <w:pPr>
        <w:pStyle w:val="Point2number"/>
        <w:numPr>
          <w:ilvl w:val="4"/>
          <w:numId w:val="32"/>
        </w:numPr>
        <w:ind w:right="-8"/>
        <w:rPr>
          <w:noProof/>
        </w:rPr>
      </w:pPr>
      <w:r>
        <w:t>az éghajlatváltozás mérséklése;</w:t>
      </w:r>
    </w:p>
    <w:p w14:paraId="7E347DF0" w14:textId="77777777" w:rsidR="00183989" w:rsidRPr="00E50FA4" w:rsidRDefault="00183989" w:rsidP="00D8026E">
      <w:pPr>
        <w:pStyle w:val="Point2number"/>
        <w:numPr>
          <w:ilvl w:val="4"/>
          <w:numId w:val="32"/>
        </w:numPr>
        <w:ind w:right="-8"/>
        <w:rPr>
          <w:noProof/>
        </w:rPr>
      </w:pPr>
      <w:r>
        <w:t>az éghajlatváltozáshoz való alkalmazkodás;</w:t>
      </w:r>
    </w:p>
    <w:p w14:paraId="3ED0632A" w14:textId="77777777" w:rsidR="00183989" w:rsidRPr="00E50FA4" w:rsidRDefault="00183989" w:rsidP="00D8026E">
      <w:pPr>
        <w:pStyle w:val="Point2number"/>
        <w:numPr>
          <w:ilvl w:val="4"/>
          <w:numId w:val="32"/>
        </w:numPr>
        <w:ind w:right="-8"/>
        <w:rPr>
          <w:noProof/>
        </w:rPr>
      </w:pPr>
      <w:r>
        <w:t>a vízi és tengeri erőforrások fenntartható használata és védelme;</w:t>
      </w:r>
    </w:p>
    <w:p w14:paraId="5B790937" w14:textId="77777777" w:rsidR="00183989" w:rsidRPr="00E50FA4" w:rsidRDefault="00183989" w:rsidP="00D8026E">
      <w:pPr>
        <w:pStyle w:val="Point2number"/>
        <w:numPr>
          <w:ilvl w:val="4"/>
          <w:numId w:val="32"/>
        </w:numPr>
        <w:ind w:right="-8"/>
        <w:rPr>
          <w:noProof/>
        </w:rPr>
      </w:pPr>
      <w:r>
        <w:t>a körforgásos gazdaságra való átállás;</w:t>
      </w:r>
    </w:p>
    <w:p w14:paraId="4D635D58" w14:textId="77777777" w:rsidR="00183989" w:rsidRPr="00E50FA4" w:rsidRDefault="00183989" w:rsidP="00D8026E">
      <w:pPr>
        <w:pStyle w:val="Point2number"/>
        <w:numPr>
          <w:ilvl w:val="4"/>
          <w:numId w:val="32"/>
        </w:numPr>
        <w:ind w:right="-8"/>
        <w:rPr>
          <w:noProof/>
        </w:rPr>
      </w:pPr>
      <w:r>
        <w:t>a környezetszennyezés megelőzése és csökkentése,</w:t>
      </w:r>
    </w:p>
    <w:p w14:paraId="7800D50D" w14:textId="77777777" w:rsidR="00183989" w:rsidRPr="00E50FA4" w:rsidRDefault="00183989" w:rsidP="00D8026E">
      <w:pPr>
        <w:pStyle w:val="Point2number"/>
        <w:numPr>
          <w:ilvl w:val="4"/>
          <w:numId w:val="32"/>
        </w:numPr>
        <w:ind w:right="-8"/>
        <w:rPr>
          <w:noProof/>
        </w:rPr>
      </w:pPr>
      <w:r>
        <w:t>a biológiai sokféleség és az ökoszisztémák védelme és helyreállítása</w:t>
      </w:r>
    </w:p>
    <w:p w14:paraId="52FA5CFE" w14:textId="77777777" w:rsidR="00183989" w:rsidRPr="00E50FA4" w:rsidRDefault="00183989" w:rsidP="00183989">
      <w:pPr>
        <w:pStyle w:val="Point2"/>
        <w:ind w:left="1134" w:right="568" w:firstLine="0"/>
        <w:rPr>
          <w:noProof/>
          <w:szCs w:val="24"/>
        </w:rPr>
      </w:pPr>
      <w:r>
        <w:t>A környezeti kockázatok fizikai kockázatot és átállási kockázatot foglalnak magukban.</w:t>
      </w:r>
    </w:p>
    <w:p w14:paraId="69CE4D1E" w14:textId="77777777" w:rsidR="00183989" w:rsidRPr="00E50FA4" w:rsidRDefault="00183989" w:rsidP="00183989">
      <w:pPr>
        <w:pStyle w:val="Point1letter"/>
        <w:ind w:left="1134" w:right="-8"/>
        <w:rPr>
          <w:noProof/>
          <w:szCs w:val="24"/>
        </w:rPr>
      </w:pPr>
      <w:r>
        <w:t>»fizikai kockázat«: az átfogó környezeti kockázat részeként a környezeti tényezők fizikai következményeinek az intézmény partnereire vagy befektetett eszközeire gyakorolt jelenlegi vagy várható hatásaiból eredő, az intézményre gyakorolt negatív pénzügyi hatásból származó veszteségek kockázata;</w:t>
      </w:r>
    </w:p>
    <w:p w14:paraId="2A7177BA" w14:textId="77777777" w:rsidR="00183989" w:rsidRPr="00E50FA4" w:rsidRDefault="00183989" w:rsidP="00183989">
      <w:pPr>
        <w:pStyle w:val="Point1letter"/>
        <w:ind w:left="1134" w:right="-8"/>
        <w:rPr>
          <w:noProof/>
          <w:szCs w:val="24"/>
        </w:rPr>
      </w:pPr>
      <w:r>
        <w:t>»átállási kockázat«: az átfogó környezeti kockázat részeként a környezetileg fenntartható gazdaságra való átállásnak az intézmény partnereire vagy befektetett eszközeire gyakorolt jelenlegi vagy várható hatásaiból eredő, az intézményre gyakorolt negatív pénzügyi hatásból származó veszteségek kockázata;</w:t>
      </w:r>
    </w:p>
    <w:p w14:paraId="5E0AEFC3" w14:textId="77777777" w:rsidR="00183989" w:rsidRPr="00E50FA4" w:rsidRDefault="00183989" w:rsidP="00183989">
      <w:pPr>
        <w:pStyle w:val="Point1letter"/>
        <w:ind w:left="1134" w:right="-8"/>
        <w:rPr>
          <w:noProof/>
          <w:szCs w:val="24"/>
        </w:rPr>
      </w:pPr>
      <w:r>
        <w:t>»társadalmi kockázat«: társadalmi tényezőknek az intézmény partnereire vagy befektetett eszközeire gyakorolt jelenlegi vagy várható hatásaiból eredő, az intézményre gyakorolt negatív pénzügyi hatásból származó veszteségek kockázata;</w:t>
      </w:r>
    </w:p>
    <w:p w14:paraId="649CF9D5" w14:textId="77777777" w:rsidR="00183989" w:rsidRPr="00E50FA4" w:rsidRDefault="00183989" w:rsidP="00183989">
      <w:pPr>
        <w:pStyle w:val="Point1letter"/>
        <w:ind w:left="1134" w:right="-8"/>
        <w:rPr>
          <w:noProof/>
        </w:rPr>
      </w:pPr>
      <w:r>
        <w:t>»irányítási kockázat«: irányítási tényezőknek az intézmény partnereire vagy befektetett eszközeire gyakorolt jelenlegi vagy várható hatásaiból eredő, az intézményre gyakorolt negatív pénzügyi hatásból származó veszteségek kockázata.</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lastRenderedPageBreak/>
        <w:t xml:space="preserve">A jelen útmutatóban szereplő, a nemzetközi és uniós szakpolitikai keretekre és a rendelkezésre álló referenciaértékekre való hivatkozások a következőket foglalják magukban: </w:t>
      </w:r>
      <w:r>
        <w:rPr>
          <w:rFonts w:ascii="Times New Roman" w:hAnsi="Times New Roman"/>
        </w:rPr>
        <w:t>az Egyesült Nemzetek Éghajlatváltozási Keretegyezménye szerint elfogadott Párizsi Megállapodás</w:t>
      </w:r>
      <w:r>
        <w:rPr>
          <w:rFonts w:ascii="Times New Roman" w:hAnsi="Times New Roman"/>
          <w:vertAlign w:val="superscript"/>
        </w:rPr>
        <w:t>*1</w:t>
      </w:r>
      <w:r>
        <w:rPr>
          <w:rFonts w:ascii="Times New Roman" w:hAnsi="Times New Roman"/>
        </w:rPr>
        <w:t xml:space="preserve"> (a továbbiakban: a Párizsi Megállapodás), az európai zöld megállapodásról szóló bizottsági közlemény</w:t>
      </w:r>
      <w:r>
        <w:rPr>
          <w:rFonts w:ascii="Times New Roman" w:hAnsi="Times New Roman"/>
          <w:vertAlign w:val="superscript"/>
        </w:rPr>
        <w:t>*2</w:t>
      </w:r>
      <w:r>
        <w:rPr>
          <w:rFonts w:ascii="Times New Roman" w:hAnsi="Times New Roman"/>
        </w:rPr>
        <w:t>, a 2013/34/EU európai parlamenti és tanácsi irányelv</w:t>
      </w:r>
      <w:r>
        <w:rPr>
          <w:rFonts w:ascii="Times New Roman" w:hAnsi="Times New Roman"/>
          <w:vertAlign w:val="superscript"/>
        </w:rPr>
        <w:t>*3</w:t>
      </w:r>
      <w:r>
        <w:rPr>
          <w:rFonts w:ascii="Times New Roman" w:hAnsi="Times New Roman"/>
        </w:rPr>
        <w:t>, a 2014/95/EU európai parlamenti és tanácsi irányelv</w:t>
      </w:r>
      <w:r>
        <w:rPr>
          <w:rFonts w:ascii="Times New Roman" w:hAnsi="Times New Roman"/>
          <w:vertAlign w:val="superscript"/>
        </w:rPr>
        <w:t>*4</w:t>
      </w:r>
      <w:r>
        <w:rPr>
          <w:rFonts w:ascii="Times New Roman" w:hAnsi="Times New Roman"/>
        </w:rPr>
        <w:t>, a Bizottság közleménye – A nem pénzügyi jelentéstételre vonatkozó iránymutatás:</w:t>
      </w:r>
      <w:r>
        <w:rPr>
          <w:rFonts w:ascii="Times New Roman" w:hAnsi="Times New Roman"/>
          <w:sz w:val="24"/>
        </w:rPr>
        <w:t xml:space="preserve"> Az éghajlattal kapcsolatos információk jelentésére vonatkozó kiegészítés</w:t>
      </w:r>
      <w:r>
        <w:rPr>
          <w:rFonts w:ascii="Times New Roman" w:hAnsi="Times New Roman"/>
          <w:sz w:val="24"/>
          <w:vertAlign w:val="superscript"/>
        </w:rPr>
        <w:t>*5</w:t>
      </w:r>
      <w:r>
        <w:rPr>
          <w:rFonts w:ascii="Times New Roman" w:hAnsi="Times New Roman"/>
          <w:sz w:val="24"/>
        </w:rPr>
        <w:t>, az éghajlattal kapcsolatos pénzügyi közzétételekkel foglalkozó munkacsoport (TCFD) ajánlásai keretében rendelkezésre bocsátott iránymutatás</w:t>
      </w:r>
      <w:r>
        <w:rPr>
          <w:rFonts w:ascii="Times New Roman" w:hAnsi="Times New Roman"/>
          <w:sz w:val="24"/>
          <w:vertAlign w:val="superscript"/>
        </w:rPr>
        <w:t>*6</w:t>
      </w:r>
      <w:r>
        <w:rPr>
          <w:rFonts w:ascii="Times New Roman" w:hAnsi="Times New Roman"/>
          <w:sz w:val="24"/>
        </w:rPr>
        <w:t>, az ENSZ Környezetvédelmi Programjának Pénzügyi Kezdeményezése (UNEP FI)</w:t>
      </w:r>
      <w:r>
        <w:rPr>
          <w:rFonts w:ascii="Times New Roman" w:hAnsi="Times New Roman"/>
          <w:sz w:val="24"/>
          <w:vertAlign w:val="superscript"/>
        </w:rPr>
        <w:t>*7</w:t>
      </w:r>
      <w:r>
        <w:rPr>
          <w:rFonts w:ascii="Times New Roman" w:hAnsi="Times New Roman"/>
          <w:sz w:val="24"/>
        </w:rPr>
        <w:t xml:space="preserve">, a Global </w:t>
      </w:r>
      <w:proofErr w:type="spellStart"/>
      <w:r>
        <w:rPr>
          <w:rFonts w:ascii="Times New Roman" w:hAnsi="Times New Roman"/>
          <w:sz w:val="24"/>
        </w:rPr>
        <w:t>Reporting</w:t>
      </w:r>
      <w:proofErr w:type="spellEnd"/>
      <w:r>
        <w:rPr>
          <w:rFonts w:ascii="Times New Roman" w:hAnsi="Times New Roman"/>
          <w:sz w:val="24"/>
        </w:rPr>
        <w:t xml:space="preserve"> </w:t>
      </w:r>
      <w:proofErr w:type="spellStart"/>
      <w:r>
        <w:rPr>
          <w:rFonts w:ascii="Times New Roman" w:hAnsi="Times New Roman"/>
          <w:sz w:val="24"/>
        </w:rPr>
        <w:t>Initiative</w:t>
      </w:r>
      <w:proofErr w:type="spellEnd"/>
      <w:r>
        <w:rPr>
          <w:rFonts w:ascii="Times New Roman" w:hAnsi="Times New Roman"/>
          <w:sz w:val="24"/>
        </w:rPr>
        <w:t xml:space="preserve"> (globális jelentéstételi kezdeményezés) fenntarthatósági beszámolási standardjai</w:t>
      </w:r>
      <w:r>
        <w:rPr>
          <w:rFonts w:ascii="Times New Roman" w:hAnsi="Times New Roman"/>
          <w:sz w:val="24"/>
          <w:vertAlign w:val="superscript"/>
        </w:rPr>
        <w:t>*8</w:t>
      </w:r>
      <w:r>
        <w:rPr>
          <w:rFonts w:ascii="Times New Roman" w:hAnsi="Times New Roman"/>
          <w:sz w:val="24"/>
        </w:rPr>
        <w:t>, valamint az ENSZ Felelős Befektetési Elvei</w:t>
      </w:r>
      <w:r>
        <w:rPr>
          <w:rFonts w:ascii="Times New Roman" w:hAnsi="Times New Roman"/>
          <w:sz w:val="24"/>
          <w:vertAlign w:val="superscript"/>
        </w:rPr>
        <w:t>*9</w:t>
      </w:r>
      <w:r>
        <w:rPr>
          <w:rFonts w:ascii="Times New Roman" w:hAnsi="Times New Roman"/>
          <w:sz w:val="24"/>
        </w:rPr>
        <w:t xml:space="preserve"> (UNPRI).</w:t>
      </w:r>
    </w:p>
    <w:p w14:paraId="4D659D14" w14:textId="77777777" w:rsidR="00183989" w:rsidRPr="00587327"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1. táblázat – A környezeti kockázatra vonatkozó minőségi információk:</w:t>
      </w:r>
      <w:r>
        <w:rPr>
          <w:rFonts w:ascii="Times New Roman" w:hAnsi="Times New Roman"/>
          <w:sz w:val="24"/>
        </w:rPr>
        <w:t xml:space="preserve"> Szabad formátumban kitölthető szövegmezők a XXXIX. mellékletben feltüntetett minőségi információk nyilvánosságra hozatalához</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Az intézményeknek az e rendelet XXXIX. mellékletében meghatározott 1. táblázat (»A környezeti kockázatra vonatkozó minőségi információk«) kitöltéséhez a következő útmutatót kell használniuk a környezeti kockázatok üzleti stratégiájukba és folyamataikba, irányítási és kockázatkezelési eljárásaikba való integrálásának bemutatására, beleértve az éghajlatváltozással kapcsolatos kockázatokra és az egyéb környezeti kockázatokra vonatkozó konkrét információkat is. Ez az 575/2013/EU rendelet 449a. cikkének az említett rendelet 435. cikkével összefüggésben értelmezett alkalmazásában értendő.</w:t>
      </w:r>
    </w:p>
    <w:p w14:paraId="758D80B4" w14:textId="77777777" w:rsidR="00183989" w:rsidRPr="00587327"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Jogszabályi hivatkozások és útmutató</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Sor jelölése</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Magyarázat</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Üzleti stratégia és folyamatok</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Az 575/2013/EU rendelet 435. cikke (1) bekezdésének a) és e) pontjával összefüggésben értelmezett 449a. cikkével összhangban az intézményeknek magyarázatot kell adniuk arra, hogy üzleti modelljük, stratégiájuk és folyamataik, valamint pénzügyi tervezésük hogyan integrálja a környezeti tényezőkből eredő kockázatokat (azaz a környezeti kockázatokat), és hogy ezek a kockázatok hogyan alakulhatnak idővel a technológia, a szakpolitikai keret, az üzleti környezet, az érdekelt felek preferenciái és magának a fizikai környezetnek a változásai miatt.</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575/2013/EU rendelet 435. cikke (1) bekezdésének a) pontjával és </w:t>
            </w:r>
            <w:proofErr w:type="gramStart"/>
            <w:r>
              <w:rPr>
                <w:rFonts w:ascii="Times New Roman" w:hAnsi="Times New Roman"/>
                <w:sz w:val="24"/>
              </w:rPr>
              <w:t>c)–</w:t>
            </w:r>
            <w:proofErr w:type="gramEnd"/>
            <w:r>
              <w:rPr>
                <w:rFonts w:ascii="Times New Roman" w:hAnsi="Times New Roman"/>
                <w:sz w:val="24"/>
              </w:rPr>
              <w:t xml:space="preserve">f) pontjával összefüggésben értelmezett 449a. cikkével összhangban az intézményeknek meg kell határozniuk a környezeti kockázatok értékelésére és kezelésére vonatkozó célkitűzéseket, célértékeket és korlátokat. Az intézményeknek ismertetniük kell azokat a folyamatokat, amelyeket e célkitűzések, célértékek és korlátok meghatározásához használnak.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Az intézményeknek ki kell fejteniük, hogy ezek a célkitűzések, célértékek és korlátok hogyan kapcsolódnak a jelenlegi nemzetközi és uniós szakpolitikai kerethez, valamint a rendelkezésre álló referenciaértékekhez.</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575/2013/EU rendelet 449a. cikkével összhangban az intézményeknek </w:t>
            </w:r>
            <w:r>
              <w:rPr>
                <w:rFonts w:ascii="Times New Roman" w:hAnsi="Times New Roman"/>
                <w:sz w:val="24"/>
              </w:rPr>
              <w:lastRenderedPageBreak/>
              <w:t>tájékoztatást kell nyújtaniuk a környezeti szempontból fenntartható tevékenységekbe, valamint az (EU) 2020/852 rendelet 9. cikkében meghatározott környezetvédelmi – többek között éghajlatváltozási – célkitűzésekhez igazodó tevékenységekbe és ágazatokba irányuló jelenlegi és jövőbeli (tervezett) befektetéseikről.</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Amennyiben ez az információ az intézmény saját megközelítésétől függ, vagy az intézmény belső feladatmeghatározásán alapul, az intézményeknek közzétételükben ismertetniük kell e megközelítést és a belső feladatmeghatározást.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(1) bekezdésének d) pontjával összefüggésben értelmezett 449a. cikkével összhangban az intézményeknek tájékoztatást kell nyújtaniuk a környezeti tényezőkkel összefüggő kockázatok mérséklését célzó intézkedéseikről. Az intézményeknek figyelembe kell venniük, hogy partnereik milyen mértékben képesek kezelni a környezeti kockázatokat.</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587327"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Irányítás</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575/2013/EU rendelet 435. cikke (1) bekezdésének b) pontjával és 435. cikke (2) bekezdésének </w:t>
            </w:r>
            <w:proofErr w:type="gramStart"/>
            <w:r>
              <w:rPr>
                <w:rFonts w:ascii="Times New Roman" w:hAnsi="Times New Roman"/>
                <w:sz w:val="24"/>
              </w:rPr>
              <w:t>a)–</w:t>
            </w:r>
            <w:proofErr w:type="gramEnd"/>
            <w:r>
              <w:rPr>
                <w:rFonts w:ascii="Times New Roman" w:hAnsi="Times New Roman"/>
                <w:sz w:val="24"/>
              </w:rPr>
              <w:t>c) pontjával összefüggésben értelmezett 449a. cikkével összhangban az intézményeknek tájékoztatást kell nyújtaniuk arról, hogyan vesz részt vezető testületük a környezeti kockázatok felügyeletében és kezelésében. Az intézményeknek figyelembe kell venniük e környezeti kockázatok (köztük a fizikai, átállási és felelősségi kockázatok) lehetséges transzmissziós csatornáit.</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(2) bekezdésének d) pontjával összefüggésben értelmezett 449a. cikkével összhangban, az intézményeknek tájékoztatást kell nyújtaniuk arról, hogy vezető testületük a kockázatkezelés céljából hogyan integrálja a környezeti kockázatok rövid, közép- és hosszú távú hatásait az intézmény szervezeti struktúrájába. Az intézményeknek ki kell fejteniük, hogy a vezető testület szintjén végrehajtott intézkedés hogyan jelenik meg üzletágaikban és belső ellenőrzési funkcióikban.</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(2) bekezdésének a–c) pontjával összefüggésben értelmezett 449a. cikkével összhangban, az intézményeknek tájékoztatást kell nyújtaniuk kockázatkezelési bizottságaik szervezetéről, valamint a kockázatkezelési keretrendszerben a környezeti kockázatok nyomon követésére és kezelésére vonatkozó feladatok és felelősségi körök felosztásáról, figyelembe véve a fizikai, átállási és felelősségi kockázatok transzmissziós csatornáit.</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(2) bekezdésének e) pontjával összefüggésben értelmezett 449a. cikkével összhangban, az intézményeknek tájékoztatást kell nyújtaniuk arról, hogy milyen módon építik be a környezeti kockázatokat a belső adatszolgáltatási keretükbe és struktúrájukba, továbbá tájékoztatást kell nyújtaniuk az említett kockázatokra vonatkozó belső adatszolgáltatás és információcsere gyakoriságáról.</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(2) bekezdésének e) pontjával </w:t>
            </w:r>
            <w:r>
              <w:rPr>
                <w:rFonts w:ascii="Times New Roman" w:hAnsi="Times New Roman"/>
                <w:sz w:val="24"/>
              </w:rPr>
              <w:lastRenderedPageBreak/>
              <w:t>összefüggésben értelmezett 449a. cikkével összhangban, az intézményeknek tájékoztatást kell nyújtaniuk arról, hogy javadalmazási politikájuk tartalmaz-e a környezeti kockázatokkal kapcsolatos elemeket, valamint azokról a kritériumokról és mérőszámokról, amelyeket a környezeti kockázati megfontolások által a javadalmazás változó összetevőire gyakorolt hatás meghatározásához használnak.</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58732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Kockázatkezelés</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f) pontjával összefüggésben értelmezett 449a. cikkével összhangban az intézményeknek tájékoztatást kell nyújtaniuk a környezeti tényezők és kockázatok rövid, közép- és hosszú távú hatásainak a kockázatitolerancia-keretbe való integrálásáról. Az intézményeknek saját kockázati profiljukat és kitettségeiket figyelembe véve kell dönteniük a releváns időhorizontról.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a) pontjával összefüggésben értelmezett 449a. cikkével összhangban az intézményeknek tájékoztatást kell nyújtaniuk a környezeti tényezők és kockázatok azonosítására és kezelésére használt módszerekről, fogalommeghatározásokról és standardokról, valamint az említett standardok, fogalommeghatározások és módszerek alapjául szolgáló keretrendszerről.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ki kell fejteniük, hogy ezek a módszerek, fogalommeghatározások és standardok hogyan viszonyulnak az alkalmazandó nemzetközi és uniós szakpolitikai kerethez és a rendelkezésre álló referenciaértékekhez.</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(1) bekezdésének a) pontjával összefüggésben értelmezett 449a. cikkével összhangban az intézményeknek nyilvánosságra kell hozniuk:</w:t>
            </w:r>
          </w:p>
          <w:p w14:paraId="37CB7831" w14:textId="77777777" w:rsidR="00183989" w:rsidRPr="00E50FA4" w:rsidRDefault="00183989" w:rsidP="00CE1107">
            <w:pPr>
              <w:pStyle w:val="ListParagraph"/>
              <w:numPr>
                <w:ilvl w:val="0"/>
                <w:numId w:val="33"/>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azokat az eljárásokat, amelyekkel az intézmény azonosítja és nyomon követi a környezeti kockázatokkal szemben érzékeny és sérülékeny tevékenységeit és kitettségeit, beleértve az ilyen tevékenységekhez és kitettségekhez kapcsolódó ingó és ingatlan eszközöket;</w:t>
            </w:r>
          </w:p>
          <w:p w14:paraId="13CEB88F" w14:textId="77777777" w:rsidR="00183989" w:rsidRPr="00E50FA4" w:rsidRDefault="00183989" w:rsidP="00CE1107">
            <w:pPr>
              <w:pStyle w:val="ListParagraph"/>
              <w:numPr>
                <w:ilvl w:val="0"/>
                <w:numId w:val="33"/>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azokat az eljárásokat, amelyekkel az intézmény azonosítja és nyomon követi azokat a környezeti kockázatokat, amelyek pénzügyileg lényegesek, vagy amelyek ugyan jelenleg nem lényegesek, de a jövőben azzá válhatnak.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Azok a tevékenységek, kitettségek és eszközök, amelyek a környezeti kockázatokkal szemben érzékenyek és sérülékenyek, magukban foglalják a mezőgazdasághoz, a halászathoz, az erdőgazdálkodáshoz, az energiaágazathoz kapcsolódó, különböző tényezők – pl. árvíz, aszály, erdőtűz és a biológiai sokféleség csökkenése – hatására érzékeny tevékenységeket, kitettségeket és eszközöket, ezek földrajzi elhelyezkedésével, víztől való függésével vagy más környezeti tényezőkkel és kockázatokkal összefüggésében is. Magukban kell foglalniuk a partner tevékenységének a veszélyeztetett övezetekben való koncentrációját is, és </w:t>
            </w:r>
            <w:r>
              <w:rPr>
                <w:rFonts w:ascii="Times New Roman" w:hAnsi="Times New Roman"/>
                <w:sz w:val="24"/>
              </w:rPr>
              <w:lastRenderedPageBreak/>
              <w:t>úgy kell tekinteni őket, hogy a partner teljes értékláncára kiterjednek.</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e pontban említett információk nyilvánosságra hozatalakor az intézményeknek fel kell tüntetniük a lényegességet (ideértve a kettős lényegességet is), amelyet a 2013/36/EU európai parlamenti és tanácsi irányelv</w:t>
            </w:r>
            <w:r>
              <w:rPr>
                <w:rFonts w:ascii="Times New Roman" w:hAnsi="Times New Roman"/>
                <w:sz w:val="24"/>
                <w:vertAlign w:val="superscript"/>
              </w:rPr>
              <w:t>*10</w:t>
            </w:r>
            <w:r>
              <w:rPr>
                <w:rFonts w:ascii="Times New Roman" w:hAnsi="Times New Roman"/>
                <w:sz w:val="24"/>
              </w:rPr>
              <w:t> 98. cikkének (8) bekezdésében említett jelentésben szereplő fogalommeghatározásoknak megfelelően kell értelmezni, és amelynek figyelembe kell vennie a kitettségek életciklusát, a hitelnyújtást, valamint a partner hitelképességének értékelését és a nyomon követést.</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ki kell fejteniük, hogy ez az értékelés milyen mértékben terjed ki a releváns transzmissziós csatornákra, beleértve i. az alacsonyabb jövedelmezőséget, ii. az alacsonyabb ingatlanértéket, a háztartások alacsonyabb vagyonát, iii. az alacsonyabb eszközteljesítményt, iv. a megfelelési költségek növekedését és v. a jogi költségek növekedését.</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Annak az intézménynek, amely nem azonosít lényeges környezeti kockázatot, magyarázatot és indokolást kell adnia ennek okairól, és ismertetnie kell az említett következtetés levonásához vezető módszereket.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(1) bekezdésének d) pontjával összefüggésben értelmezett 449a. cikkével összhangban az intézményeknek tájékoztatást kell nyújtaniuk a környezeti kockázatok mérséklése érdekében alkalmazott tevékenységeikről, kötelezettségvállalásaikról és kitettségeikről.</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nyilvánosságra kell hozniuk azokat a módszereket, amelyek segítségével azonosítják a környezeti kockázatok mérséklése érdekében alkalmazott intézkedéseket és tevékenységeket. Az intézményeknek továbbá tájékoztatást kell nyújtaniuk, hogy az említett tevékenységek, kötelezettségvállalások és kitettségek milyen mértékben érintik a releváns transzmissziós csatornákat, beleértve i. az alacsonyabb jövedelmezőséget, ii. az alacsonyabb ingatlanértéket, a háztartások alacsonyabb vagyonát, iii. az alacsonyabb eszközteljesítményt, iv. a megfelelési költségek növekedését és v. a jogi költségek növekedését.</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a) és f) pontjával összefüggésben értelmezett 449a. cikkével összhangban az intézményeknek tájékoztatást kell nyújtaniuk a környezeti kockázatok azonosítására és kezelésére használt végrehajtási eszközeikről. Ezek az eszközök magukban foglalják a stressztesztet, az érzékenységi elemzést vagy más </w:t>
            </w:r>
            <w:proofErr w:type="spellStart"/>
            <w:r>
              <w:rPr>
                <w:rFonts w:ascii="Times New Roman" w:hAnsi="Times New Roman"/>
                <w:sz w:val="24"/>
              </w:rPr>
              <w:t>előretekintő</w:t>
            </w:r>
            <w:proofErr w:type="spellEnd"/>
            <w:r>
              <w:rPr>
                <w:rFonts w:ascii="Times New Roman" w:hAnsi="Times New Roman"/>
                <w:sz w:val="24"/>
              </w:rPr>
              <w:t xml:space="preserve"> mutatókat, amelyeket a kockázat lényegességétől függően kitettségi szinten, portfóliószinten, partnerszinten vagy ágazati szinten alkalmaznak.</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 közzétett információkban fel kell tüntetni a vonatkozó végrehajtási eszközök alapjául szolgáló feltételezéseket és módszereket. Az intézményeknek fel kell továbbá tüntetniük a környezeti kockázatok számviteli és </w:t>
            </w:r>
            <w:proofErr w:type="spellStart"/>
            <w:r>
              <w:rPr>
                <w:rFonts w:ascii="Times New Roman" w:hAnsi="Times New Roman"/>
                <w:sz w:val="24"/>
              </w:rPr>
              <w:t>prudenciális</w:t>
            </w:r>
            <w:proofErr w:type="spellEnd"/>
            <w:r>
              <w:rPr>
                <w:rFonts w:ascii="Times New Roman" w:hAnsi="Times New Roman"/>
                <w:sz w:val="24"/>
              </w:rPr>
              <w:t xml:space="preserve"> mérőszámok összefüggésében elvégzett értékeléséhez használt időhorizontot, nevezetesen, hogy rövid, közép- vagy hosszú távú időhorizontról van-e szó.</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a) és f) pontjával összefüggésben értelmezett 449a. cikkével összhangban az intézményeknek tájékoztatást kell nyújtaniuk a 14. pontnak megfelelően használt kockázati </w:t>
            </w:r>
            <w:r>
              <w:rPr>
                <w:rFonts w:ascii="Times New Roman" w:hAnsi="Times New Roman"/>
                <w:sz w:val="24"/>
              </w:rPr>
              <w:lastRenderedPageBreak/>
              <w:t>eszközzel végzett értékelés eredményéről.</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tájékoztatást kell nyújtaniuk a környezeti kockázatnak – beleértve az éghajlatváltozási kockázatot is – az intézmény fizetőképességére, szabályozói tőkekövetelményeire és likviditási kockázati profiljára gyakorolt, a belső tőkemegfelelés-értékelési eljárás (ICAAP) és a likviditás megfelelőségének belső értékelési folyamata (ILAAP) keretében becsült hatásáról.</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449a. cikkével összhangban az intézményeknek tájékoztatást kell nyújtaniuk a környezeti kockázatok kezeléséhez rendelkezésükre álló adatokról és információkról, a jelenleg hiányzó kulcsfontosságú adatokról és információkról, valamint az adathiányok kezelése, az adatok minőségének és pontosságának javítása érdekében hozott intézkedéseikről.</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(1) bekezdésének f) pontjával összefüggésben értelmezett 449a. cikkével összhangban az intézményeknek tájékoztatást kell nyújtaniuk azokról a korlátokról, amelyeket az üzleti stratégiájuknak megfelelő környezeti célkitűzéseket jelentős mértékben sértő projektek vagy partnerek finanszírozása tekintetében alkalmaznak.</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Ezeknek a korlátoknak magukban kell foglalniuk az intézmények által a környezeti kockázatok elkerülése vagy mérséklése érdekében a keletkeztetési és a </w:t>
            </w:r>
            <w:proofErr w:type="spellStart"/>
            <w:r>
              <w:rPr>
                <w:rFonts w:ascii="Times New Roman" w:hAnsi="Times New Roman"/>
                <w:sz w:val="24"/>
              </w:rPr>
              <w:t>nyomonkövetési</w:t>
            </w:r>
            <w:proofErr w:type="spellEnd"/>
            <w:r>
              <w:rPr>
                <w:rFonts w:ascii="Times New Roman" w:hAnsi="Times New Roman"/>
                <w:sz w:val="24"/>
              </w:rPr>
              <w:t xml:space="preserve"> ponton meghatározott korlátokat, valamint azokat a korlátokat, amelyek jelzik, hogy egy adott kitettség mikor von maga után korrekciós intézkedéseket, további vizsgálatot, belső eszkalációt vagy a portfólióból való kizárást.</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ismertetniük kell, hogyan jelenítik meg és kapcsolják össze mérlegükben a felmerülő környezeti kockázatokat a hitelkockázattal, a likviditási kockázattal, a piaci kockázattal és a működési kockázattal.</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ki kell fejteniük, milyen módon értékelik és kezelik az alacsony szén-dioxid-kibocsátású és az éghajlatváltozás hatásaival szemben </w:t>
            </w:r>
            <w:proofErr w:type="spellStart"/>
            <w:r>
              <w:rPr>
                <w:rFonts w:ascii="Times New Roman" w:hAnsi="Times New Roman"/>
                <w:sz w:val="24"/>
              </w:rPr>
              <w:t>reziliens</w:t>
            </w:r>
            <w:proofErr w:type="spellEnd"/>
            <w:r>
              <w:rPr>
                <w:rFonts w:ascii="Times New Roman" w:hAnsi="Times New Roman"/>
                <w:sz w:val="24"/>
              </w:rPr>
              <w:t xml:space="preserve"> gazdaságra való átállásnak a </w:t>
            </w:r>
            <w:proofErr w:type="spellStart"/>
            <w:r>
              <w:rPr>
                <w:rFonts w:ascii="Times New Roman" w:hAnsi="Times New Roman"/>
                <w:sz w:val="24"/>
              </w:rPr>
              <w:t>prudenciális</w:t>
            </w:r>
            <w:proofErr w:type="spellEnd"/>
            <w:r>
              <w:rPr>
                <w:rFonts w:ascii="Times New Roman" w:hAnsi="Times New Roman"/>
                <w:sz w:val="24"/>
              </w:rPr>
              <w:t xml:space="preserve"> kockázati kategóriákra – többek között a hitelkockázatra, a likviditási kockázatra, a piaci kockázatra és a működési kockázatra – gyakorolt hatását.</w:t>
            </w:r>
          </w:p>
        </w:tc>
      </w:tr>
    </w:tbl>
    <w:p w14:paraId="1A459844" w14:textId="77777777" w:rsidR="00183989" w:rsidRPr="00587327" w:rsidRDefault="00183989" w:rsidP="00183989">
      <w:pPr>
        <w:jc w:val="both"/>
        <w:rPr>
          <w:rFonts w:ascii="Times New Roman" w:hAnsi="Times New Roman" w:cs="Times New Roman"/>
          <w:b/>
          <w:noProof/>
          <w:sz w:val="24"/>
        </w:rPr>
      </w:pPr>
    </w:p>
    <w:p w14:paraId="7AEF1E59" w14:textId="77777777" w:rsidR="00183989" w:rsidRPr="00587327"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 xml:space="preserve">2. táblázat – A társadalmi kockázatra vonatkozó minőségi információk: </w:t>
      </w:r>
      <w:r>
        <w:rPr>
          <w:rFonts w:ascii="Times New Roman" w:hAnsi="Times New Roman"/>
          <w:sz w:val="24"/>
        </w:rPr>
        <w:t>Szabad formátumban kitölthető szövegmezők a XXXVII. mellékletben feltüntetett minőségi információk nyilvánosságra hozatalához</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Az intézményeknek az e rendelet XXXIX. mellékletében meghatározott 2. táblázat (»A társadalmi kockázatra vonatkozó minőségi információk«) kitöltéséhez a következő útmutatót kell használniuk a társadalmi kockázatok üzleti stratégiájukba és folyamataikba, irányítási és kockázatkezelési eljárásaikba való integrálásának bemutatására, az 575/2013/EU rendelet 435. cikkével összefüggésben értelmezett 449a. cikkével összhangban.  </w:t>
      </w:r>
    </w:p>
    <w:p w14:paraId="4C6EAE40" w14:textId="77777777" w:rsidR="00183989" w:rsidRPr="00587327"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Jogszabályi hivatkozások és útmutató</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lastRenderedPageBreak/>
              <w:t>Sor jelölése</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Magyarázat</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Üzleti stratégia és folyamatok</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Az 575/2013/EU rendelet 435. cikke (1) bekezdésének a) és e) pontjával összefüggésben értelmezett 449a. cikkével összhangban az intézményeknek ismertetniük kell, hogy üzleti modelljük, stratégiájuk és folyamataik, valamint pénzügyi tervezésük hogyan integrálja a társadalmi tényezőkből eredő kockázatokat (azaz a társadalmi kockázatokat), és hogy ezek a kockázatok hogyan alakulhatnak idővel a technológia, a szakpolitikai keret, az üzleti környezet és az érdekelt felek preferenciáinak a változásai miatt.</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575/2013/EU rendelet 435. cikke (1) bekezdésének a) pontjával és </w:t>
            </w:r>
            <w:proofErr w:type="gramStart"/>
            <w:r>
              <w:rPr>
                <w:rFonts w:ascii="Times New Roman" w:hAnsi="Times New Roman"/>
                <w:sz w:val="24"/>
              </w:rPr>
              <w:t>c)–</w:t>
            </w:r>
            <w:proofErr w:type="gramEnd"/>
            <w:r>
              <w:rPr>
                <w:rFonts w:ascii="Times New Roman" w:hAnsi="Times New Roman"/>
                <w:sz w:val="24"/>
              </w:rPr>
              <w:t xml:space="preserve">f) pontjával összefüggésben értelmezett 449a. cikkével összhangban az intézményeknek be kell mutatniuk a társadalmi kockázatok értékelésére és kezelésére vonatkozó célkitűzéseket, célértékeket és korlátokat, valamint ismertetniük kell azokat a folyamatokat, amelyeket e célkitűzések, célértékek és korlátok meghatározásához használnak.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Az intézményeknek ki kell fejteniük, hogy e célkitűzések, célértékek és korlátok hogyan kapcsolódnak az alkalmazandó nemzetközi és uniós szakpolitikai kerethez, valamint a rendelkezésre álló referenciaértékekhez.</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 társadalmi szempontok közé tartozik az emberi jogok megsértése, a munkavállalói jogok, a jövedelmi egyenlőtlenség, az emberi jogok hiánya, a fogyasztók biztonsága és védelme, a magánélet védelme, a szegénység és a megkülönböztetésmentesség. Emellett az éghajlatváltozás és az alacsony szén-dioxid-kibocsátású gazdaságra való átállás társadalmi hatásokkal is jár, amelyek magukban foglalják a munkaerőpiac változásait is. Ezek közé tartozik egyes munkahelyek és készségek iránti kereslet csökkenése, új munkahelyek és készségek megjelenése, a fogyasztói preferenciák változása, a részvényesek hajlandósága arra, hogy az éghajlati, környezeti és társadalmi változásokat gyorsan integrálják az általuk ellenőrzött vállalatok folyamataiba, a 2013/36/EU irányelv 98. cikkének (8) bekezdése alapján elfogadott EBH-jelentés 78. pontjában foglaltak szerint.</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(1) bekezdésének d) pontjával összefüggésben értelmezett 449a. cikkével összhangban az intézményeknek ismertetniük kell, miként hoznak intézkedéseket a társadalmi tényezőkhöz kapcsolódó kockázatok csökkentésére, ezen belül miként mérik fel, hogy partnereik mennyire képesek a társadalmi kockázatok kezelésére, és folytatnak-e velük párbeszédet a társadalmi kockázatok mérséklése érdekében.</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587327"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Irányítás</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575/2013/EU rendelet 435. cikke (1) bekezdésének b) pontjával és 435. cikke (2) bekezdésének </w:t>
            </w:r>
            <w:proofErr w:type="gramStart"/>
            <w:r>
              <w:rPr>
                <w:rFonts w:ascii="Times New Roman" w:hAnsi="Times New Roman"/>
                <w:sz w:val="24"/>
              </w:rPr>
              <w:t>a)–</w:t>
            </w:r>
            <w:proofErr w:type="gramEnd"/>
            <w:r>
              <w:rPr>
                <w:rFonts w:ascii="Times New Roman" w:hAnsi="Times New Roman"/>
                <w:sz w:val="24"/>
              </w:rPr>
              <w:t xml:space="preserve">c) pontjával összefüggésben értelmezett 449a. cikkével összhangban az intézményeknek tájékoztatást kell nyújtaniuk arról, hogyan vesz részt vezető testületük a társadalmi kockázatok felügyeletében és kezelésében. A tájékoztatásnak ki kell terjednie a vezető testület által alkalmazott megközelítés indokolására, és számos társadalmi tényezőt figyelembe kell vennie. E tényezők közé tartozik az intézmény közösség és </w:t>
            </w:r>
            <w:r>
              <w:rPr>
                <w:rFonts w:ascii="Times New Roman" w:hAnsi="Times New Roman"/>
                <w:sz w:val="24"/>
              </w:rPr>
              <w:lastRenderedPageBreak/>
              <w:t>társadalom iránti elkötelezettsége, a munkavállalókkal való kapcsolata, a munkaügyi normák betartása, a fogyasztóvédelem és a termékfelelősség, valamint az emberi jogok.</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(2) bekezdésének a–c) pontjával összefüggésben értelmezett 449a. cikkével összhangban, az intézményeknek tájékoztatást kell nyújtaniuk kockázatkezelési bizottságaik szervezetéről, valamint a kockázatkezelési keretrendszerben a társadalmi kockázatok nyomon követésére és kezelésére vonatkozó feladatok és felelősségi körök meghatározásáról.</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intézményeknek tájékoztatást kell nyújtaniuk a társadalmi kockázatok értékelésére szánt belső és külső forrásaikról.</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(2) bekezdésének e) pontjával összefüggésben értelmezett 449a. cikkével összhangban, az intézményeknek tájékoztatást kell nyújtaniuk arról, hogy milyen módon építik be a társadalmi kockázatokat a belső adatszolgáltatási keretükbe és struktúrájukba, továbbá tájékoztatást kell nyújtaniuk az említett kockázatokra vonatkozó belső adatszolgáltatás és információcsere gyakoriságáról.</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(2) bekezdésének e) pontjával összefüggésben értelmezett 449a. cikkével összhangban, az intézményeknek tájékoztatást kell nyújtaniuk arról, hogy javadalmazási politikájuk tartalmaz-e a társadalmi kockázatokkal kapcsolatos elemeket, valamint azokról a kritériumokról és mérőszámokról, amelyeket a társadalmi kockázati megfontolások által a javadalmazás változó összetevőire gyakorolt hatás meghatározásához használnak.</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58732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Kockázatkezelés</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a) pontjával összefüggésben értelmezett 449a. cikkével összhangban az intézményeknek tájékoztatást kell nyújtaniuk a társadalmi tényezők és kockázatok azonosítására és kezelésére használt módszerekről, fogalommeghatározásokról és standardokról, valamint az említett standardok, fogalommeghatározások és módszerek alapjául szolgáló keretrendszerről.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ki kell fejteniük, hogy ezek a módszerek, fogalommeghatározások és standardok hogyan viszonyulnak a jelenlegi nemzetközi és uniós szakpolitikai kerethez és a rendelkezésre álló referenciaértékekhez.</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575/2013/EU rendelet 435. cikke (1) bekezdésének a) pontjával összefüggésben értelmezett 449a. cikkével összhangban az intézményeknek információt kell szolgáltatniuk arról a folyamatról, amelynek során azonosítják és nyomon követik a társadalmi kockázatokra érzékeny tevékenységeiket és kitettségeiket, ideértve a partnereikhez kapcsolódó és befektetési vagy eszközkezelési tevékenységeiket, valamint az e tevékenységekhez és kitettségekhez kapcsolódó ingó és ingatlan eszközöket </w:t>
            </w:r>
            <w:r>
              <w:rPr>
                <w:rFonts w:ascii="Times New Roman" w:hAnsi="Times New Roman"/>
                <w:sz w:val="24"/>
              </w:rPr>
              <w:lastRenderedPageBreak/>
              <w:t>is.</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tájékoztatást kell nyújtaniuk arról a folyamatról, amelynek során azonosítják és nyomon követik azokat a társadalmi kockázatokat, amelyek pénzügyileg lényegesek, vagy amelyek ugyan jelenleg nem lényegesek, de a jövőben várhatóan azzá válhatnak.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ilyen, társadalmi kockázatokra érzékeny tevékenységek, kitettségek és eszközök kapcsolódhatnak olyan partnerekhez, akik megsértik a munkajogot, az emberi jogokat vagy más szociális jogszabályokat vagy jogokat, és amelyek ennek következtében perbe foghatók lehetnek. A fokozott társadalmi kockázatot jelentő ágazatok közé tartozhatnak konkrétabban a migráns munkavállalókkal, az alacsony bérekkel, a nem megfelelő munkaügyi normákkal vagy a rossz munkakörülményekkel jellemezhető ágazatok, amelyek negatívan hatnak a közösségre, és amelyek nagyobb eséllyel válhatnak nyilvánosság általi vagy politikai ellenőrzés tárgyává.</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(1) bekezdésének a) pontjával összefüggésben értelmezett 449a. cikkével összhangban az intézményeknek tájékoztatást kell nyújtaniuk a társadalmi kockázatok mérséklése érdekében alkalmazott tevékenységeikről, kötelezettségvállalásaikról és eszközeikről.</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(1) bekezdésének a) pontjával összefüggésben értelmezett 449a. cikkével összhangban az intézményeknek tájékoztatást kell nyújtaniuk a társadalmi kockázatok azonosítására és kezelésére használt végrehajtási eszközeikről. Ezek az eszközök magukban foglalják a kitettség, a portfólió, a partner vagy az ágazat szintjén alkalmazott forgatókönyv-elemzést, és olyan tényezőket fednek le, mint a migráció, a demográfiai tendenciák, a munkaerő változása és a technológiai változások.</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 társadalmi kockázatok közé tartozhat továbbá a fogyasztói magatartás megváltozása, a megkülönböztetéssel és a társadalmi befogadással kapcsolatos kérdések, az egyenlőtlenség növekedése, az éghajlatváltozásnak, az éghajlatváltozáshoz való alkalmazkodásnak/az éghajlatváltozás mérséklésének és a környezetkárosodásnak a társadalmi hatása.</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tájékoztatást kell nyújtaniuk a forgatókönyv-elemzés elvégzéséhez használt feltételezésekről és módszerekről. Az intézményeknek fel kell tüntetniük a társadalmi kockázatok számviteli és </w:t>
            </w:r>
            <w:proofErr w:type="spellStart"/>
            <w:r>
              <w:rPr>
                <w:rFonts w:ascii="Times New Roman" w:hAnsi="Times New Roman"/>
                <w:sz w:val="24"/>
              </w:rPr>
              <w:t>prudenciális</w:t>
            </w:r>
            <w:proofErr w:type="spellEnd"/>
            <w:r>
              <w:rPr>
                <w:rFonts w:ascii="Times New Roman" w:hAnsi="Times New Roman"/>
                <w:sz w:val="24"/>
              </w:rPr>
              <w:t xml:space="preserve"> mérőszámok összefüggésében elvégzett értékeléséhez használt időhorizontot, nevezetesen, hogy rövid, közép- vagy hosszú távú időhorizontról van-e szó.</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(1) bekezdésének f) pontjával összefüggésben értelmezett 449a. cikkével összhangban az intézményeknek tájékoztatást kell nyújtaniuk azokról a korlátokról, amelyeket az üzleti stratégiájuknak megfelelő társadalmi célkitűzéseket jelentős mértékben sértő projektek vagy partnerek finanszírozása tekintetében alkalmaznak.</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Ezeknek a korlátoknak magukban kell foglalniuk az intézmények által a társadalmi kockázatok elkerülése vagy mérséklése érdekében a keletkeztetési és a </w:t>
            </w:r>
            <w:proofErr w:type="spellStart"/>
            <w:r>
              <w:rPr>
                <w:rFonts w:ascii="Times New Roman" w:hAnsi="Times New Roman"/>
                <w:sz w:val="24"/>
              </w:rPr>
              <w:t>nyomonkövetési</w:t>
            </w:r>
            <w:proofErr w:type="spellEnd"/>
            <w:r>
              <w:rPr>
                <w:rFonts w:ascii="Times New Roman" w:hAnsi="Times New Roman"/>
                <w:sz w:val="24"/>
              </w:rPr>
              <w:t xml:space="preserve"> ponton meghatározott korlátokat, valamint azokat a korlátokat, amelyek jelzik, hogy egy adott kitettség mikor von maga után további vizsgálatot, belső eszkalációt, korrekciós intézkedéseket vagy a </w:t>
            </w:r>
            <w:r>
              <w:rPr>
                <w:rFonts w:ascii="Times New Roman" w:hAnsi="Times New Roman"/>
                <w:sz w:val="24"/>
              </w:rPr>
              <w:lastRenderedPageBreak/>
              <w:t>portfólióból való kizárást.</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449a. cikkével összhangban az intézményeknek tájékoztatást kell nyújtaniuk arról, hogyan jelenítik meg és kapcsolják össze mérlegükben a felmerülő társadalmi kockázatokat a hitelkockázattal, a likviditási kockázattal, a piaci kockázattal és a működési kockázattal.</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tájékoztatást kell nyújtaniuk arról, milyen módon értékelik és kezelik a releváns, társadalmilag káros események </w:t>
            </w:r>
            <w:proofErr w:type="spellStart"/>
            <w:r>
              <w:rPr>
                <w:rFonts w:ascii="Times New Roman" w:hAnsi="Times New Roman"/>
                <w:sz w:val="24"/>
              </w:rPr>
              <w:t>prudenciális</w:t>
            </w:r>
            <w:proofErr w:type="spellEnd"/>
            <w:r>
              <w:rPr>
                <w:rFonts w:ascii="Times New Roman" w:hAnsi="Times New Roman"/>
                <w:sz w:val="24"/>
              </w:rPr>
              <w:t xml:space="preserve"> kockázati kategóriákra – többek között a hitelkockázatra, a likviditási kockázatra, a piaci kockázatra és a működési kockázatra – gyakorolt hatását.</w:t>
            </w:r>
          </w:p>
        </w:tc>
      </w:tr>
    </w:tbl>
    <w:p w14:paraId="7BD0A166" w14:textId="77777777" w:rsidR="00183989" w:rsidRPr="00587327"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3. táblázat – Az irányítási kockázatra vonatkozó minőségi információk:</w:t>
      </w:r>
      <w:r>
        <w:rPr>
          <w:rFonts w:ascii="Times New Roman" w:hAnsi="Times New Roman"/>
          <w:sz w:val="24"/>
        </w:rPr>
        <w:t xml:space="preserve"> Szabad formátumban kitölthető szövegmezők a XXXVII. mellékletben feltüntetett minőségi információk nyilvánosságra hozatalához</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Az intézményeknek az e rendelet XXXIX. mellékletében meghatározott 3. táblázat (»Az irányítási kockázatra vonatkozó minőségi információk«) kitöltéséhez a következő útmutatót kell használniuk az irányítási kockázatok irányítási és kockázatkezelési eljárásaikba való integrálásának bemutatására, az 575/2013/EU rendelet 435. cikkével összefüggésben értelmezett 449a. cikkével összhangban.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Jogszabályi hivatkozások és útmutató</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Sor jelölése</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Magyarázat</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Irányítás</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575/2013/EU rendelet 435. cikke (2) bekezdésével összefüggésben értelmezett 449a. cikkével összhangban az intézményeknek tájékoztatást kell nyújtaniuk arról, milyen módon integrálják partnereik irányítási teljesítményét saját irányítási rendszerükbe.</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 partner irányítási teljesítményével kapcsolatos megfontolásoknak ki kell terjedniük a partner döntéshozatali, felügyeleti és irányítási folyamataihoz szükséges lépésekre minden szinten, beleértve a partner legmagasabb szintű irányító testületének bizottságait és a gazdasági, környezeti és társadalmi kérdésekkel kapcsolatos döntéshozatalért felelős bizottságait is.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intézményeknek ki kell fejteniük, milyen módon veszik figyelembe a partner vezető irányító testületének szerepét a nem pénzügyi beszámolásban, beleértve azt a legfelső szintű bizottságot vagy tisztségviselőt, amely vagy aki hivatalosan felülvizsgálja és jóváhagyja a szervezet fenntarthatósági jelentését, és biztosítja, hogy az minden lényeges témára kiterjedjen.</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575/2013/EU rendelet 435. cikke (2) bekezdésével összefüggésben értelmezett 449a. cikkével összhangban az intézményeknek tájékoztatást kell nyújtaniuk arról, milyen módon integrálják partnereik irányítási teljesítményét saját irányítási rendszerükbe.</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 partnereinek irányítási teljesítményével kapcsolatos megfontolásoknak a következők mindegyikére ki kell terjedniük:</w:t>
            </w:r>
          </w:p>
          <w:p w14:paraId="15236721"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etikai megfontolások, beleértve a magatartás integritását, az értékeket és az etikát, megvesztegetés elleni és korrupcióellenes intézkedések, </w:t>
            </w:r>
            <w:r>
              <w:rPr>
                <w:rFonts w:ascii="Times New Roman" w:hAnsi="Times New Roman"/>
                <w:sz w:val="24"/>
              </w:rPr>
              <w:lastRenderedPageBreak/>
              <w:t>elszámoltathatóság és jogállamiság;</w:t>
            </w:r>
          </w:p>
          <w:p w14:paraId="0A381976"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stratégia és kockázatkezelés, beleértve a stratégia végrehajtását, az operatív végrehajtást és nyomon követést, a belső kontrollokat, valamint a kockázatkezelési politikákat és eljárásokat;</w:t>
            </w:r>
          </w:p>
          <w:p w14:paraId="25356763"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proofErr w:type="spellStart"/>
            <w:r>
              <w:rPr>
                <w:rFonts w:ascii="Times New Roman" w:hAnsi="Times New Roman"/>
                <w:sz w:val="24"/>
              </w:rPr>
              <w:t>inkluzivitás</w:t>
            </w:r>
            <w:proofErr w:type="spellEnd"/>
            <w:r>
              <w:rPr>
                <w:rFonts w:ascii="Times New Roman" w:hAnsi="Times New Roman"/>
                <w:sz w:val="24"/>
              </w:rPr>
              <w:t>; beleértve a nemek közötti szakadékot és a kisebbségi csoportokból származó személyek képviseletét a vezetésben, továbbá a jövedelmi szakadékot;</w:t>
            </w:r>
          </w:p>
          <w:p w14:paraId="0CCBF831"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átláthatóság; beleértve a hátrányos megkülönböztetésre, az adózási kötelezettségvállalásokra és kifizetésekre, a lobbitevékenységekre, valamint a szabályokra és követett gyakorlatokra vonatkozó közzétételeket;</w:t>
            </w:r>
          </w:p>
          <w:p w14:paraId="07FD1E43"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az összeférhetetlenség kezelése, beleértve a legmagasabb szintű irányító testületnek az összeférhetetlenség elkerülését, kezelését és mérséklését biztosító eljárásait; valamint</w:t>
            </w:r>
          </w:p>
          <w:p w14:paraId="147E9522" w14:textId="77777777" w:rsidR="00183989" w:rsidRPr="00E50FA4" w:rsidRDefault="00183989" w:rsidP="00CE1107">
            <w:pPr>
              <w:pStyle w:val="ListParagraph"/>
              <w:numPr>
                <w:ilvl w:val="0"/>
                <w:numId w:val="34"/>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 súlyos aggályokkal kapcsolatos belső kommunikáció, beleértve azt is, hogyan működik a partner esetében a súlyos aggályoknak a legmagasabb szintű irányító testület felé való továbbítására hivatott belső folyamat.</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58732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Kockázatkezelés</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Az 575/2013/EU rendelet 435. cikke (1) bekezdésével összefüggésben értelmezett 449a. cikkével összhangban az intézményeknek tájékoztatást kell nyújtaniuk arról, milyen módon integrálják partnereik irányítási teljesítményét saját kockázatkezelési rendszerükbe, a 3. sorban meghatározott szempontok figyelembevételével.</w:t>
            </w:r>
          </w:p>
        </w:tc>
      </w:tr>
    </w:tbl>
    <w:p w14:paraId="4ABD82C5" w14:textId="77777777" w:rsidR="00183989" w:rsidRPr="00587327"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1. tábla – Banki könyv – Az éghajlatváltozással kapcsolatos átállás potenciális kockázatának mutatói: </w:t>
      </w:r>
      <w:r>
        <w:rPr>
          <w:rFonts w:ascii="Times New Roman" w:hAnsi="Times New Roman"/>
          <w:sz w:val="24"/>
        </w:rPr>
        <w:t>A kitettségek hitelminősége ágazatonként, kibocsátásmennyiség és hátralévő futamidő szerint. Kötött formátum.</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az e rendelet XXXIX. mellékletében meghatározott 1. tábla kitöltéséhez a következő útmutatót kell használniuk azoknak a kitettségeknek a bemutatására, amelyek fokozottabban ki vannak téve az alacsony szén-dioxid-kibocsátású és az éghajlatváltozás hatásaival szemben ellenállóképes gazdaságra való átállásból eredő, az intézményt esetlegesen érintő kockázatoknak. Az 575/2013/EU rendelet 449a. cikke alkalmazásában:</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az intézményeknek információkat kell nyilvánosságra hozniuk a szén-dioxid-kibocsátással kapcsolatos ágazatokban működő nem pénzügyi vállalatokkal szembeni kitettségeikről és e kitettségek minőségéről, beleértve a nemteljesítő státuszt, a 2. szakasz szerinti besorolást és a kapcsolódó céltartalékokat, valamint a lejárati sávokat;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az intézményeknek meg kell kezdeniük a partnerek 1., 2. és 3. körbe tartozó kibocsátásaira vonatkozó információk nyilvánosságra hozatalát, amennyiben azok már rendelkezésre állnak, beleértve az e táblát kísérő szöveges beszámolóban az e kibocsátások kiszámításához használt módszertanra és forrásokra vonatkozó minőségi információkat is. Amennyiben az intézmények még nem kezdték meg partnereik finanszírozási tevékenységeikhez – többek között a hitelezési és befektetési tevékenységekhez – kapcsolódó kibocsátásainak becslését, úgy az ezen információk becslésére és közzétételére szolgáló módszerek alkalmazására irányuló terveikre vonatkozó információkat kell nyilvánosságra hozniuk. Az intézményeknek 2024. június 30-i első nyilvánosságra hozatali vonatkozási időponttal kell megkezdeniük a tábla i–k) oszlopában szereplő információk közzétételét.</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a táblát kísérő szöveges leírásban közölniük kell a nyilvánosságra hozott információkra és a korábbi nyilvánosságra hozatali időszakokhoz képest bekövetkezett változásokra vonatkozó magyarázatokat, valamint ismertetniük kell az említett kitettségeknek a hitel-, piaci, működési, reputációs és likviditási kockázatokra gyakorolt esetleges következményeit.</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a tábla soraiban fel kell tüntetniük a nem pénzügyi vállalatokkal szembeni kitettségek, köztük a hitelek és előlegek, a nem kereskedési céllal tartott hitelviszonyt megtestesítő értékpapírok és tulajdoni részesedést megtestesítő instrumentumok bruttó könyv szerinti értékének a gazdasági tevékenységek ágazatai szerinti bontását a gazdasági tevékenységek nómenklatúrájának (NACE) az 1893/2006/EK európai parlamenti és tanácsi rendeletben</w:t>
      </w:r>
      <w:r>
        <w:rPr>
          <w:rStyle w:val="FootnoteReference"/>
          <w:rFonts w:ascii="Times New Roman" w:hAnsi="Times New Roman"/>
          <w:sz w:val="24"/>
        </w:rPr>
        <w:t>*11</w:t>
      </w:r>
      <w:r>
        <w:rPr>
          <w:rFonts w:ascii="Times New Roman" w:hAnsi="Times New Roman"/>
          <w:sz w:val="24"/>
        </w:rPr>
        <w:t xml:space="preserve"> meghatározott kódjai alapján, a partner fő tevékenysége szerint. Azokat a részösszegeket is fel kell tüntetni, amelyek az éghajlatváltozáshoz jelentős mértékben hozzájáruló ágazatokkal és </w:t>
      </w:r>
      <w:proofErr w:type="spellStart"/>
      <w:r>
        <w:rPr>
          <w:rFonts w:ascii="Times New Roman" w:hAnsi="Times New Roman"/>
          <w:sz w:val="24"/>
        </w:rPr>
        <w:t>alágazatokkal</w:t>
      </w:r>
      <w:proofErr w:type="spellEnd"/>
      <w:r>
        <w:rPr>
          <w:rFonts w:ascii="Times New Roman" w:hAnsi="Times New Roman"/>
          <w:sz w:val="24"/>
        </w:rPr>
        <w:t xml:space="preserve"> szembeni kitettségek bruttó könyv szerinti értékét összesítik. Különösen az 1893/2006/EK rendelet I. mellékletének A–H. és L. nemzetgazdasági ágaiban felsorolt ágazatokra kell hivatkozni, amelyek magukban foglalják a kőolaj-, a földgáz-, a bányászati és a szállítási ágazatot mint az (EU) 2020/1818 felhatalmazáson alapuló bizottsági rendelet</w:t>
      </w:r>
      <w:r>
        <w:rPr>
          <w:rFonts w:ascii="Times New Roman" w:hAnsi="Times New Roman"/>
          <w:sz w:val="24"/>
          <w:vertAlign w:val="superscript"/>
        </w:rPr>
        <w:t>*12</w:t>
      </w:r>
      <w:r>
        <w:rPr>
          <w:rFonts w:ascii="Times New Roman" w:hAnsi="Times New Roman"/>
          <w:sz w:val="24"/>
        </w:rPr>
        <w:t xml:space="preserve"> (6) preambulumbekezdésében meghatározott, az éghajlatváltozáshoz jelentős mértékben hozzájáruló </w:t>
      </w:r>
      <w:proofErr w:type="spellStart"/>
      <w:r>
        <w:rPr>
          <w:rFonts w:ascii="Times New Roman" w:hAnsi="Times New Roman"/>
          <w:sz w:val="24"/>
        </w:rPr>
        <w:t>ágazatokat</w:t>
      </w:r>
      <w:proofErr w:type="spellEnd"/>
      <w:r>
        <w:rPr>
          <w:rFonts w:ascii="Times New Roman" w:hAnsi="Times New Roman"/>
          <w:sz w:val="24"/>
        </w:rPr>
        <w:t>; ezenkívül fel kell tüntetni az említett preambulumbekezdésben nem említett „egyéb ágazatokkal” szembeni kitettségek részösszegét.</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Az ügyfélszektor NACE szerinti meghatározása a közvetlen partner jellegén alapul.</w:t>
      </w:r>
      <w:r>
        <w:t xml:space="preserve"> </w:t>
      </w:r>
      <w:r>
        <w:rPr>
          <w:rFonts w:ascii="Times New Roman" w:hAnsi="Times New Roman"/>
          <w:sz w:val="24"/>
        </w:rPr>
        <w:t xml:space="preserve">Amennyiben az intézmény partnere holdingtársaság, az intézményeknek a holdingtársaság </w:t>
      </w:r>
      <w:r>
        <w:rPr>
          <w:rFonts w:ascii="Times New Roman" w:hAnsi="Times New Roman"/>
          <w:sz w:val="24"/>
        </w:rPr>
        <w:lastRenderedPageBreak/>
        <w:t>alá tartozó, finanszírozásban részesülő konkrét kötelezett (ha eltér a holdingtársaságtól) NACE-ágazatát kell figyelembe venniük a holdingtársaság ágazata helyett (azaz a holdingtársaság szóban forgó leányvállalatának ágazatát), különösen azokban az esetekben, amikor a finanszírozásban részesülő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 Az egynél több kötelezetthez együttesen tartozó kitettség besorolásának azon kötelezett jellemzői alapján kell történnie, amelyik az intézmény szempontjából relevánsabb vagy meghatározóbb volt a kitettségek vállalásában. Az együttesen vállalt kitettségek NACE-kódok szerinti megoszlását a relevánsabb vagy meghatározóbb ügyfél jellemzői határozzák meg. Az intézmények a tábla soraiban előírt bontási szintnek megfelelő NACE-kódok szerint kötelesek közzétenni az információkat.</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Útmutató</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Bruttó könyv szerinti érték összesen</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Az intézményeknek az (EU) 2021/451 végrehajtási rendeletnek megfelelően a banki könyvben szereplő számviteli portfóliókba besorolt, nem pénzügyi vállalatokkal szembeni kitettségeknek, köztük a hiteleknek és előlegeknek, a hitelviszonyt megtestesítő értékpapíroknak és a tulajdoni részesedést megtestesítő instrumentumoknak az említett végrehajtási rendelet V. mellékletének 1. részében említett bruttó könyv szerinti értékét kell feltüntetniük, a kereskedési céllal tartott pénzügyi eszközök és az értékesítésre tartott eszközök kivételével.</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 Párizsi Megállapodáshoz igazodó uniós referenciamutatókból kizárt vállalatokkal szembeni kitettségek</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az (EU) 2020/1818 felhatalmazáson alapuló rendelet 12. cikke (1) bekezdésének </w:t>
            </w:r>
            <w:proofErr w:type="gramStart"/>
            <w:r>
              <w:rPr>
                <w:rFonts w:ascii="Times New Roman" w:hAnsi="Times New Roman"/>
                <w:sz w:val="24"/>
              </w:rPr>
              <w:t>d)–</w:t>
            </w:r>
            <w:proofErr w:type="gramEnd"/>
            <w:r>
              <w:rPr>
                <w:rFonts w:ascii="Times New Roman" w:hAnsi="Times New Roman"/>
                <w:sz w:val="24"/>
              </w:rPr>
              <w:t>g) pontjában és 12. cikkének (2) bekezdésében meghatározott, a Párizsi Megállapodáshoz igazodó uniós referenciamutatókból kizárt partnerekkel szembeni kitettségek bruttó könyv szerinti értékét kell feltüntetniük.</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környezeti szempontból fenntartható (CCM)</w:t>
            </w:r>
          </w:p>
          <w:p w14:paraId="3835363F" w14:textId="77777777" w:rsidR="00183989" w:rsidRPr="00E50FA4" w:rsidRDefault="00183989" w:rsidP="00D0691F">
            <w:pPr>
              <w:spacing w:before="120" w:after="120"/>
              <w:jc w:val="both"/>
              <w:rPr>
                <w:bCs/>
                <w:noProof/>
              </w:rPr>
            </w:pPr>
            <w:r>
              <w:rPr>
                <w:rFonts w:ascii="Times New Roman" w:hAnsi="Times New Roman"/>
                <w:sz w:val="24"/>
              </w:rPr>
              <w:t>Az intézményeknek azokat a kitettségeket kell feltüntetniük, amelyek környezeti szempontból fenntarthatónak minősülnek, mivel olyan tevékenységeket finanszíroznak, amelyek az (EU) 2020/852 rendelet 10. és 16. cikkével összhangban hozzájárulnak az éghajlatváltozás mérséklésének (CCM) környezeti célkitűzéséhez vagy támogatják azt, az e rendelet XXXIX. mellékletének 7. táblájában feltüntetetteknek megfelelően.</w:t>
            </w:r>
          </w:p>
          <w:p w14:paraId="6C6EE831" w14:textId="77777777" w:rsidR="00183989" w:rsidRPr="00E50FA4" w:rsidRDefault="00183989" w:rsidP="00D0691F">
            <w:pPr>
              <w:pStyle w:val="Fait"/>
              <w:spacing w:after="120"/>
              <w:rPr>
                <w:noProof/>
              </w:rPr>
            </w:pPr>
            <w:r>
              <w:t xml:space="preserve">A GAR számlálójában szereplő kitettségek esetében az intézményeknek ezeket az információkat 2024-től kell nyilvánosságra hozniuk; ebben az esetben az első nyilvánosságra hozatali vonatkozási időpont 2023. december 31. </w:t>
            </w:r>
          </w:p>
          <w:p w14:paraId="75CE7E22" w14:textId="77777777" w:rsidR="00183989" w:rsidRPr="00E50FA4" w:rsidRDefault="00183989" w:rsidP="00D0691F">
            <w:pPr>
              <w:pStyle w:val="Fait"/>
              <w:spacing w:after="120"/>
              <w:rPr>
                <w:noProof/>
              </w:rPr>
            </w:pPr>
            <w:r>
              <w:t xml:space="preserve">A BTAR számlálójában szereplő, de a GAR számlálójában nem szereplő kitettségek esetében az intézményeknek ezeket az információkat elegendő 2025-től nyilvánosságra hozniuk; ebben az esetben az első nyilvánosságra </w:t>
            </w:r>
            <w:r>
              <w:lastRenderedPageBreak/>
              <w:t>hozatali vonatkozási időpont 2024. december 31.</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2. szakasz</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IFRS-t alkalmazó intézményeknek az IFRS 9 standard szerinti 2. szakaszba sorolt instrumentumok bruttó könyv szerinti értékét kell feltüntetniük.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A 86/635/EGK irányelven</w:t>
            </w:r>
            <w:r>
              <w:rPr>
                <w:rFonts w:ascii="Times New Roman" w:hAnsi="Times New Roman"/>
                <w:sz w:val="24"/>
                <w:vertAlign w:val="superscript"/>
              </w:rPr>
              <w:t>*13</w:t>
            </w:r>
            <w:r>
              <w:rPr>
                <w:rFonts w:ascii="Times New Roman" w:hAnsi="Times New Roman"/>
                <w:sz w:val="24"/>
              </w:rPr>
              <w:t xml:space="preserve"> alapuló általánosan elfogadott nemzeti számviteli elveket alkalmazó intézmények nem teszik közzé az „ebből 2. szakasz” oszlopokat.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nemteljesítő</w:t>
            </w:r>
          </w:p>
          <w:p w14:paraId="102B58BE" w14:textId="77777777" w:rsidR="00183989" w:rsidRPr="00E50FA4" w:rsidRDefault="00183989" w:rsidP="00D0691F">
            <w:pPr>
              <w:pStyle w:val="Fait"/>
              <w:spacing w:before="0" w:after="120"/>
              <w:rPr>
                <w:b/>
                <w:noProof/>
                <w:u w:val="single"/>
              </w:rPr>
            </w:pPr>
            <w:r>
              <w:t>Az intézményeknek az 575/2013/EU rendelet 47a. cikkének (3) bekezdésében meghatározott nemteljesítő kitettségeket kell feltüntetniük.</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Halmozott értékvesztés, a hitelkockázat-változásból származó negatív valósérték-változás halmozott összege és céltartalékok</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az (EU) 2021/451 végrehajtási rendelet V. melléklete 2. részének 11., 69., 70., 71., 106. és 110. pontjában meghatározott összegeket kell feltüntetniük.</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2. szakasz</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 szakaszba sorolt kitettségek halmozott értékvesztési összegét kell megadniuk.</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IFRS-t alkalmazó intézményeknek az IFRS 9 standard szerinti 2. szakaszba sorolt instrumentumok bruttó könyv szerinti értékét kell feltüntetniük.</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86/635/EGK irányelven alapuló általánosan elfogadott nemzeti számviteli elveket alkalmazó intézmények nem teszik közzé az „ebből 2. szakasz” oszlopokat.</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nemteljesítő</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az 575/2013/EU rendelet 47a. cikkének (3) bekezdésében említett nemteljesítő kitettségeket kell feltüntetniük.</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Finanszírozott ÜHG-kibocsátások (partnerek 1., 2. és 3. körbe tartozó kibocsátásai) (tonna CO2-egyenértékben)</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Amennyiben az információ rendelkezésre áll, az intézményeknek a 3. körbe tartozó kibocsátásukra vonatkozó becsléseket kell feltüntetniük az (i) oszlopban, tonna szén-dioxid-egyenértékben kifejezve. A közzététel a tábla 2–52. sorában szereplő valamennyi olyan ágazatra és alágazatra kiterjed, amely jelentős mértékben hozzájárul az éghajlatváltozáshoz, beleértve a kőolaj-, földgáz-, bányászati és szállítási ágazatot is, az (EU) 2020/1818 felhatalmazáson alapuló rendelet (6) preambulumbekezdésében meghatározottak szerint.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Az intézményeknek a 3. körbe tartozó kibocsátások becslését a partnerektől gyűjtött kibocsátási információkra és az átlagos ágazati kibocsátásintenzitásra vonatkozó információkra kell alapozniuk. A vállalkozások kibocsátásának becslésére alkalmazott módszerek közé tartozik a </w:t>
            </w:r>
            <w:proofErr w:type="spellStart"/>
            <w:r>
              <w:rPr>
                <w:rFonts w:ascii="Times New Roman" w:hAnsi="Times New Roman"/>
                <w:sz w:val="24"/>
              </w:rPr>
              <w:t>Partnership</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Carbon</w:t>
            </w:r>
            <w:proofErr w:type="spellEnd"/>
            <w:r>
              <w:rPr>
                <w:rFonts w:ascii="Times New Roman" w:hAnsi="Times New Roman"/>
                <w:sz w:val="24"/>
              </w:rPr>
              <w:t xml:space="preserve"> Accounting </w:t>
            </w:r>
            <w:proofErr w:type="spellStart"/>
            <w:r>
              <w:rPr>
                <w:rFonts w:ascii="Times New Roman" w:hAnsi="Times New Roman"/>
                <w:sz w:val="24"/>
              </w:rPr>
              <w:t>Financials</w:t>
            </w:r>
            <w:proofErr w:type="spellEnd"/>
            <w:r>
              <w:rPr>
                <w:rFonts w:ascii="Times New Roman" w:hAnsi="Times New Roman"/>
                <w:sz w:val="24"/>
              </w:rPr>
              <w:t xml:space="preserve"> (PCAF) által kidolgozott Global GHG Accounting and </w:t>
            </w:r>
            <w:proofErr w:type="spellStart"/>
            <w:r>
              <w:rPr>
                <w:rFonts w:ascii="Times New Roman" w:hAnsi="Times New Roman"/>
                <w:sz w:val="24"/>
              </w:rPr>
              <w:lastRenderedPageBreak/>
              <w:t>Reporting</w:t>
            </w:r>
            <w:proofErr w:type="spellEnd"/>
            <w:r>
              <w:rPr>
                <w:rFonts w:ascii="Times New Roman" w:hAnsi="Times New Roman"/>
                <w:sz w:val="24"/>
              </w:rPr>
              <w:t xml:space="preserve"> Standard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the</w:t>
            </w:r>
            <w:proofErr w:type="spellEnd"/>
            <w:r>
              <w:rPr>
                <w:rFonts w:ascii="Times New Roman" w:hAnsi="Times New Roman"/>
                <w:sz w:val="24"/>
              </w:rPr>
              <w:t xml:space="preserve"> Financial </w:t>
            </w:r>
            <w:proofErr w:type="spellStart"/>
            <w:r>
              <w:rPr>
                <w:rFonts w:ascii="Times New Roman" w:hAnsi="Times New Roman"/>
                <w:sz w:val="24"/>
              </w:rPr>
              <w:t>Industry</w:t>
            </w:r>
            <w:proofErr w:type="spellEnd"/>
            <w:r>
              <w:rPr>
                <w:rFonts w:ascii="Times New Roman" w:hAnsi="Times New Roman"/>
                <w:sz w:val="24"/>
                <w:vertAlign w:val="superscript"/>
              </w:rPr>
              <w:t>*14</w:t>
            </w:r>
            <w:r>
              <w:rPr>
                <w:rFonts w:ascii="Times New Roman" w:hAnsi="Times New Roman"/>
                <w:sz w:val="24"/>
              </w:rPr>
              <w:t xml:space="preserve"> (amely különösen az éghajlattal kapcsolatos pénzügyi közzétételekkel foglalkozó munkacsoport (TCFD) számára releváns) vagy a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Disclosure</w:t>
            </w:r>
            <w:proofErr w:type="spellEnd"/>
            <w:r>
              <w:rPr>
                <w:rFonts w:ascii="Times New Roman" w:hAnsi="Times New Roman"/>
                <w:sz w:val="24"/>
              </w:rPr>
              <w:t xml:space="preserv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bookmarkEnd w:id="10"/>
            <w:r>
              <w:rPr>
                <w:rFonts w:ascii="Times New Roman" w:hAnsi="Times New Roman"/>
                <w:sz w:val="24"/>
              </w:rPr>
              <w:t xml:space="preserve">Az intézményeknek arányos módon kell megbecsülniük a 3. körbe tartozó, </w:t>
            </w:r>
            <w:proofErr w:type="spellStart"/>
            <w:r>
              <w:rPr>
                <w:rFonts w:ascii="Times New Roman" w:hAnsi="Times New Roman"/>
                <w:sz w:val="24"/>
              </w:rPr>
              <w:t>ágazatonkénti</w:t>
            </w:r>
            <w:proofErr w:type="spellEnd"/>
            <w:r>
              <w:rPr>
                <w:rFonts w:ascii="Times New Roman" w:hAnsi="Times New Roman"/>
                <w:sz w:val="24"/>
              </w:rPr>
              <w:t xml:space="preserve"> kibocsátást, többek között úgy, hogy a partnerrel szembeni kitettségeiket (hitelek és előlegek, hitelviszonyt megtestesítő értékpapírok és tulajdonviszonyt megtestesítő eszközök) a partner összes kötelezettségéhez (számviteli kötelezettségeihez és saját tőkéjéhez) viszonyítva veszik figyelembe.</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táblát kísérő szöveges részben az intézményeknek részletes magyarázatot kell adniuk a felhasznált adatforrásokra és a 3. körbe tartozó ÜHG-kibocsátásuk becslésére alkalmazott módszertanra. Az intézményeknek különösen arról kell számot adniuk, hogy a feltüntetett értékek:</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jelentett kibocsátások (a kibocsátásokra vonatkozó adatok közvetlenül a hitelfelvevőtől vagy a befektetést befogadó vállalkozástól származnak);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fizikai tevékenységen alapuló kibocsátások (a kibocsátásokat az adatszolgáltató pénzügyi intézmény becsüli a hitelfelvevőtől vagy a befektetést befogadótól gyűjtött, az elsődleges fizikai tevékenységre vonatkozó adatok alapján);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gazdasági tevékenységen alapuló kibocsátások (a kibocsátásokat az adatszolgáltató pénzügyi intézmény becsüli a hitelfelvevőtől vagy a befektetést befogadótól gyűjtött, a gazdasági tevékenységre vonatkozó adatok alapján).</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Amennyiben az intézmények még nem kezdték meg a finanszírozási tevékenységeikhez – többek között a hitelezési és befektetési tevékenységekhez – kapcsolódó partnerkibocsátások becslését, úgy azokat az információkat kell nyilvánosságra hozniuk, amelyek az e becslésekhez használt módszerek alkalmazására irányuló terveikre vonatkoznak. Az intézményeknek 2024. június 30-i első nyilvánosságra hozatali vonatkozási időponttal kell megkezdeniük a tábla i–k) oszlopában szereplő információk közzétételét.</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 dönthetnek úgy, hogy ezeket az információkat korábban, 2022. december 31-i első nyilvánosságra hozatali vonatkozási időponttal kezdik közzétenni.</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finanszírozott, 3. körbe tartozó kibocsátások</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partnereik 3. körbe tartozó, az intézmények hitelezési és befektetési tevékenységeihez kapcsolódó kibocsátásait kell feltüntetniük. Amennyiben az intézmények még nem kezdték meg a 3. körbe tartozó kibocsátásaik becslését, a j) oszlopot üresen kell hagyniuk, és a táblát kísérő szöveges részben az e becslésekhez használt módszerek alkalmazására irányuló terveiket kell nyilvánosságra hozniuk.</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Az intézményeknek a 3. alkalmazási körbe tartozó kibocsátásaikat a legnagyobb gondosság elve alapján a legrelevánsabb ágazatokra kiterjedően kell nyilvánosságra hozniuk, összhangban a PCAF-módszerrel és az (EU) 2020/1818 felhatalmazáson alapuló rendelet 5. cikkében foglalt, a 3. alkalmazási körbe tartozó kibocsátásokra vonatkozó fokozatos bevezetésre vonatkozó megközelítéssel.</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lastRenderedPageBreak/>
              <w:t>Az intézményeknek a táblában szereplő valamennyi ágazat tekintetében 2024. június 30-i első vonatkozási időponttal kell nyilvánosságra hozniuk a partnereik 3. körbe tartozó kibocsátására vonatkozó információkat.</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Azon ágazatok esetében, ahol az adatokat érintő és módszertani kihívások állnak fenn, az intézményeknek követniük kell a </w:t>
            </w:r>
            <w:proofErr w:type="spellStart"/>
            <w:r>
              <w:rPr>
                <w:rFonts w:ascii="Times New Roman" w:hAnsi="Times New Roman"/>
                <w:color w:val="auto"/>
                <w:sz w:val="24"/>
              </w:rPr>
              <w:t>Greenhouse</w:t>
            </w:r>
            <w:proofErr w:type="spellEnd"/>
            <w:r>
              <w:rPr>
                <w:rFonts w:ascii="Times New Roman" w:hAnsi="Times New Roman"/>
                <w:color w:val="auto"/>
                <w:sz w:val="24"/>
              </w:rPr>
              <w:t xml:space="preserve"> </w:t>
            </w:r>
            <w:proofErr w:type="spellStart"/>
            <w:r>
              <w:rPr>
                <w:rFonts w:ascii="Times New Roman" w:hAnsi="Times New Roman"/>
                <w:color w:val="auto"/>
                <w:sz w:val="24"/>
              </w:rPr>
              <w:t>Gas</w:t>
            </w:r>
            <w:proofErr w:type="spellEnd"/>
            <w:r>
              <w:rPr>
                <w:rFonts w:ascii="Times New Roman" w:hAnsi="Times New Roman"/>
                <w:color w:val="auto"/>
                <w:sz w:val="24"/>
              </w:rPr>
              <w:t xml:space="preserve"> </w:t>
            </w:r>
            <w:proofErr w:type="spellStart"/>
            <w:r>
              <w:rPr>
                <w:rFonts w:ascii="Times New Roman" w:hAnsi="Times New Roman"/>
                <w:color w:val="auto"/>
                <w:sz w:val="24"/>
              </w:rPr>
              <w:t>Protocol</w:t>
            </w:r>
            <w:proofErr w:type="spellEnd"/>
            <w:r>
              <w:rPr>
                <w:rFonts w:ascii="Times New Roman" w:hAnsi="Times New Roman"/>
                <w:color w:val="auto"/>
                <w:sz w:val="24"/>
              </w:rPr>
              <w:t xml:space="preserve"> által kidolgozott módszertant, figyelembe véve annak mind az </w:t>
            </w:r>
            <w:proofErr w:type="spellStart"/>
            <w:r>
              <w:rPr>
                <w:rFonts w:ascii="Times New Roman" w:hAnsi="Times New Roman"/>
                <w:color w:val="auto"/>
                <w:sz w:val="24"/>
              </w:rPr>
              <w:t>upstream</w:t>
            </w:r>
            <w:proofErr w:type="spellEnd"/>
            <w:r>
              <w:rPr>
                <w:rFonts w:ascii="Times New Roman" w:hAnsi="Times New Roman"/>
                <w:color w:val="auto"/>
                <w:sz w:val="24"/>
              </w:rPr>
              <w:t xml:space="preserve">, mind a </w:t>
            </w:r>
            <w:proofErr w:type="spellStart"/>
            <w:r>
              <w:rPr>
                <w:rFonts w:ascii="Times New Roman" w:hAnsi="Times New Roman"/>
                <w:color w:val="auto"/>
                <w:sz w:val="24"/>
              </w:rPr>
              <w:t>downstream</w:t>
            </w:r>
            <w:proofErr w:type="spellEnd"/>
            <w:r>
              <w:rPr>
                <w:rFonts w:ascii="Times New Roman" w:hAnsi="Times New Roman"/>
                <w:color w:val="auto"/>
                <w:sz w:val="24"/>
              </w:rPr>
              <w:t xml:space="preserve"> tevékenységekre kiterjedő 15 kategóriáját.</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TCFD mérőszámokra és célértékekre vonatkozó iránymutatásával összhangban az intézmények nem hallgathatják el az ilyen típusú információk gyűjtésével kapcsolatos kihívásokat, és a lehető legnagyobb mértékben el kell kerülniük a kétszeres beszámítást.</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Az intézményeknek 2024. június 30-i első nyilvánosságra hozatali vonatkozási időponttal kell megkezdeniük a tábla j) oszlopában szereplő információk közzétételét.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Az intézmények dönthetnek úgy, hogy ezeket az információkat korábban, 2022. december 31-i első nyilvánosságra hozatali vonatkozási időponttal kezdik közzétenni.</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A portfólió bruttó könyv szerinti értékének azon százalékos aránya, amelyre vonatkozóan az (i) oszlop adata (finanszírozott ÜHG-kibocsátás) vállalatspecifikus adatszolgáltatásból származik</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 portfólió (a kitettségek bruttó könyv szerinti értéke) azon százalékát kell feltüntetniük, amelyre vonatkozóan a hitelezési és befektetési tevékenységeikhez kapcsolódó 1., 2. és 3. körbe tartozó partnerkibocsátásokat a partnerek által közzétett vagy az intézmény számára kétoldalú alapon jelentett információk alapján tudták megbecsülni.</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 5 év &gt; 5 év ≤ 10 év &gt; 10 év ≤ 20 év &gt; 20 év Súlyozott átlagos futamidő</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Az intézményeknek a kitettségeket az érintett sávba kell sorolniuk a pénzügyi instrumentum hátralévő </w:t>
            </w:r>
            <w:proofErr w:type="spellStart"/>
            <w:r>
              <w:rPr>
                <w:rFonts w:ascii="Times New Roman" w:hAnsi="Times New Roman"/>
                <w:sz w:val="24"/>
              </w:rPr>
              <w:t>futamidejétől</w:t>
            </w:r>
            <w:proofErr w:type="spellEnd"/>
            <w:r>
              <w:rPr>
                <w:rFonts w:ascii="Times New Roman" w:hAnsi="Times New Roman"/>
                <w:sz w:val="24"/>
              </w:rPr>
              <w:t xml:space="preserve"> függően, figyelembe véve a következőket:</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ha az összeget részletekben fizetik vissza, a kitettséget az utolsó részletnek megfelelő lejárati sávba kell besorolni;</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amennyiben egy kitettségnek nincs meghatározott lejárata, és ennek oka nem az, hogy a partner megválaszthatja a törlesztés időpontját, vagy tulajdonviszonyt megtestesítő eszközök esetében e kitettség összegét a legnagyobb lejárati sávba („&gt; 20 év”) kell sorolni;</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 xml:space="preserve">c) a kitettségek átlagos </w:t>
            </w:r>
            <w:proofErr w:type="spellStart"/>
            <w:r>
              <w:rPr>
                <w:rFonts w:ascii="Times New Roman" w:hAnsi="Times New Roman"/>
                <w:sz w:val="24"/>
              </w:rPr>
              <w:t>futamidejének</w:t>
            </w:r>
            <w:proofErr w:type="spellEnd"/>
            <w:r>
              <w:rPr>
                <w:rFonts w:ascii="Times New Roman" w:hAnsi="Times New Roman"/>
                <w:sz w:val="24"/>
              </w:rPr>
              <w:t xml:space="preserve"> kiszámításához az intézményeknek az egyes kitettségek </w:t>
            </w:r>
            <w:proofErr w:type="spellStart"/>
            <w:r>
              <w:rPr>
                <w:rFonts w:ascii="Times New Roman" w:hAnsi="Times New Roman"/>
                <w:sz w:val="24"/>
              </w:rPr>
              <w:t>futamidejét</w:t>
            </w:r>
            <w:proofErr w:type="spellEnd"/>
            <w:r>
              <w:rPr>
                <w:rFonts w:ascii="Times New Roman" w:hAnsi="Times New Roman"/>
                <w:sz w:val="24"/>
              </w:rPr>
              <w:t xml:space="preserve"> a kitettségek bruttó könyv szerinti értékével kell súlyozniuk.</w:t>
            </w:r>
          </w:p>
        </w:tc>
      </w:tr>
    </w:tbl>
    <w:p w14:paraId="386F8D8E" w14:textId="77777777" w:rsidR="00183989" w:rsidRPr="00587327"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2. tábla: Banki könyv – Az éghajlatváltozással kapcsolatos átállás potenciális kockázatának mutatói: Ingatlannal fedezett hitelek – A biztosíték energiahatékonysága. Kötött formátum.</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lastRenderedPageBreak/>
        <w:t xml:space="preserve">Az intézményeknek az e rendelet XXXIX. mellékletében meghatározott 2. tábla kitöltéséhez a következő útmutatót kell használniuk.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A 2010/31/EU európai parlamenti és tanácsi irányelv</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és a 2012/27/EU európai parlamenti és tanácsi irányelv</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elő kívánja segíteni, hogy 2050-re nagymértékben energiahatékony és kibocsátásmentes épületállomány jöjjön létre. A 2010/31/EU irányelv bevezette az energetikai </w:t>
      </w:r>
      <w:proofErr w:type="gramStart"/>
      <w:r>
        <w:rPr>
          <w:rFonts w:ascii="Times New Roman" w:hAnsi="Times New Roman"/>
          <w:sz w:val="24"/>
        </w:rPr>
        <w:t>tanúsítványokat</w:t>
      </w:r>
      <w:proofErr w:type="gramEnd"/>
      <w:r>
        <w:rPr>
          <w:rFonts w:ascii="Times New Roman" w:hAnsi="Times New Roman"/>
          <w:sz w:val="24"/>
        </w:rPr>
        <w:t xml:space="preserve"> mint az épületek energiahatékonyságának javítását szolgáló eszközt. Az energetikai tanúsítvány valamely tagállam vagy az általa kijelölt jogi személy által elismert olyan tanúsítvány, amely feltünteti az épületnek vagy önálló rendeltetési egységének az említett irányelvvel összhangban számított energiahatékonyságát.</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Ez a tábla a kereskedelmi és lakóingatlannal fedezett hitelek, valamint a birtokbavétellel megszerzett ingatlanbiztosítékok az (EU) 2021/451 végrehajtási rendelet V. mellékletének 1. része szerinti bruttó könyv szerinti értékét mutatja. Tartalmazza a biztosítékok energiahatékonyságának szintjére vonatkozó információkat egyrészt a biztosíték kWh/m²-ben mért energiafogyasztása alapján (a tábla b)–g) oszlopa), másrészt egyfelől – tagállamok esetében – a biztosíték a 2010/31/EU irányelv 2. cikke 12. pontjában említett energetikai tanúsítványának címkéje alapján, másfelől – az Unión kívüli kitettségek esetében – az alkalmazandó helyi rendelkezés meghatározása alapján, amennyiben annak kategóriái megfeleltethetők az uniós energetikai tanúsítvány kategóriáinak (a tábla h)–n) oszlopa).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Konkrétabban, a </w:t>
      </w:r>
      <w:proofErr w:type="gramStart"/>
      <w:r>
        <w:rPr>
          <w:rFonts w:ascii="Times New Roman" w:hAnsi="Times New Roman"/>
          <w:sz w:val="24"/>
        </w:rPr>
        <w:t>b)–</w:t>
      </w:r>
      <w:proofErr w:type="gramEnd"/>
      <w:r>
        <w:rPr>
          <w:rFonts w:ascii="Times New Roman" w:hAnsi="Times New Roman"/>
          <w:sz w:val="24"/>
        </w:rPr>
        <w:t xml:space="preserve">g) oszlopban az intézményeknek a kitettségek energiahatékonysági kategóriák szerinti bruttó könyv szerinti értékét kell megadniuk a biztosíték kWh/m²-ben kifejezett fajlagos energiafogyasztása alapján, a biztosíték energetikai tanúsítványán feltüntetettek szerint, vagy ilyen tanúsítvány hiányában az intézmények által becsült módon. Az intézményeknek a tábla 5. és 10. sorában fel kell tüntetniük, hogy az adatok milyen mértékben becslésen, és nem energetikai tanúsítványon alapulnak. A </w:t>
      </w:r>
      <w:proofErr w:type="gramStart"/>
      <w:r>
        <w:rPr>
          <w:rFonts w:ascii="Times New Roman" w:hAnsi="Times New Roman"/>
          <w:sz w:val="24"/>
        </w:rPr>
        <w:t>h)–</w:t>
      </w:r>
      <w:proofErr w:type="gramEnd"/>
      <w:r>
        <w:rPr>
          <w:rFonts w:ascii="Times New Roman" w:hAnsi="Times New Roman"/>
          <w:sz w:val="24"/>
        </w:rPr>
        <w:t xml:space="preserve">n) oszlopban az intézményeknek a biztosíték energetikai tanúsítványa által csoportosított kitettségek bruttó könyv szerinti értékét kell megadniuk azon biztosítékok esetében, amelyeknél az energetikai tanúsítvány az intézmény rendelkezésére áll.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A biztosítékok energetikai tanúsítvány szerinti eloszlásának közzétételekor az intézményeknek az o) oszlopban külön közzé kell tenniük azokat a kitettségeket, amelyek esetében nem rendelkeznek a biztosítékra vonatkozó energetikai tanúsítványból származó információkkal. Az intézményeknek közzé kell tenniük azon kitettségek százalékos arányát, amelyek biztosítékai vonatkozásában nem rendelkeznek energetikai tanúsítványból származó információkkal, de belső számításokat használnak a biztosíték energiahatékonyságának becslésére (a százalékos arányt a kitettségek bruttó könyv szerinti értéke alapján kell kiszámítani). Az intézményeknek a teljes bruttó könyv szerinti értéket az energiafogyasztási szint és az energetikai tanúsítványban feltüntetett besorolás szerint kell megadniuk, helyszín (uniós és nem uniós terület) alapján történő bontásban, különbséget téve a kereskedelmi ingatlannal fedezett hitelek, a lakóingatlannal fedezett hitelek és a birtokbavétellel megszerzett biztosítékok között.</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olyan harmadik országokban található partnerekkel szembeni kitettségek esetében, ahol nincs egyenértékű energetikai tanúsítvány, az intézményeknek üresen kell hagyniuk a </w:t>
      </w:r>
      <w:proofErr w:type="gramStart"/>
      <w:r>
        <w:rPr>
          <w:rFonts w:ascii="Times New Roman" w:hAnsi="Times New Roman"/>
          <w:sz w:val="24"/>
        </w:rPr>
        <w:t>h)–</w:t>
      </w:r>
      <w:proofErr w:type="gramEnd"/>
      <w:r>
        <w:rPr>
          <w:rFonts w:ascii="Times New Roman" w:hAnsi="Times New Roman"/>
          <w:sz w:val="24"/>
        </w:rPr>
        <w:t xml:space="preserve">n) oszlopokat. Az intézményeknek azonban az o) és p) oszlopban, valamint adott esetben a </w:t>
      </w:r>
      <w:proofErr w:type="gramStart"/>
      <w:r>
        <w:rPr>
          <w:rFonts w:ascii="Times New Roman" w:hAnsi="Times New Roman"/>
          <w:sz w:val="24"/>
        </w:rPr>
        <w:t>b)–</w:t>
      </w:r>
      <w:proofErr w:type="gramEnd"/>
      <w:r>
        <w:rPr>
          <w:rFonts w:ascii="Times New Roman" w:hAnsi="Times New Roman"/>
          <w:sz w:val="24"/>
        </w:rPr>
        <w:t>g) oszlopban előírt információkat a becsült adatokkal nyilvánosságra kell hozniuk.</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lastRenderedPageBreak/>
        <w:t xml:space="preserve">Az egynél több biztosítékhoz, például két ingatlanhoz kapcsolódó kitettségek esetében a kitettséghez kapcsolódó ingatlanokra vonatkozó energiahatékonysági információkat fel kell osztani és külön kell közzétenni az energiahatékonysági szintek szerint (mind az egyes biztosítékok </w:t>
      </w:r>
      <w:proofErr w:type="spellStart"/>
      <w:r>
        <w:rPr>
          <w:rFonts w:ascii="Times New Roman" w:hAnsi="Times New Roman"/>
          <w:sz w:val="24"/>
        </w:rPr>
        <w:t>Kwh</w:t>
      </w:r>
      <w:proofErr w:type="spellEnd"/>
      <w:r>
        <w:rPr>
          <w:rFonts w:ascii="Times New Roman" w:hAnsi="Times New Roman"/>
          <w:sz w:val="24"/>
        </w:rPr>
        <w:t xml:space="preserve">/m² értékére vonatkozóan a </w:t>
      </w:r>
      <w:proofErr w:type="gramStart"/>
      <w:r>
        <w:rPr>
          <w:rFonts w:ascii="Times New Roman" w:hAnsi="Times New Roman"/>
          <w:sz w:val="24"/>
        </w:rPr>
        <w:t>b)–</w:t>
      </w:r>
      <w:proofErr w:type="gramEnd"/>
      <w:r>
        <w:rPr>
          <w:rFonts w:ascii="Times New Roman" w:hAnsi="Times New Roman"/>
          <w:sz w:val="24"/>
        </w:rPr>
        <w:t>g) oszlopokban, mind pedig energetikai tanúsítványaikra vonatkozóan a h)–n) oszlopokban). Az egyes biztosítékoknak a kitettség bruttó könyv szerinti értékén belüli részesedését a biztosíték értéke alapján kell kiszámítani, és a kitettséget ennek megfelelően kell közzétenni az egyes energiahatékonysági kategóriákban. Például az intézmény 100 000 EUR bruttó könyv szerinti értékű hitellel rendelkezik, amelyet két ingatlan fedez: az „A” és a „B” ingatlan. „A” biztosítéki értéke 80 000 EUR, és energetikai tanúsítványa „A”, míg a „B” ingatlan biztosítéki értéke 70 000 EUR, és energetikai tanúsítványa „D”. Ebben a példában az intézményeknek 53 333 EUR-t (azaz 100 000 EUR * [80 000</w:t>
      </w:r>
      <w:proofErr w:type="gramStart"/>
      <w:r>
        <w:rPr>
          <w:rFonts w:ascii="Times New Roman" w:hAnsi="Times New Roman"/>
          <w:sz w:val="24"/>
        </w:rPr>
        <w:t>/(</w:t>
      </w:r>
      <w:proofErr w:type="gramEnd"/>
      <w:r>
        <w:rPr>
          <w:rFonts w:ascii="Times New Roman" w:hAnsi="Times New Roman"/>
          <w:sz w:val="24"/>
        </w:rPr>
        <w:t xml:space="preserve">80 000 + 70 000)] EUR-t kell feltüntetniük az „A” energetikai tanúsítványi szinten és 46 667 EUR-t (azaz 100 000 EUR * [70 000/(80 000 + 70 000)] a „D” energetikai tanúsítványi szinten, melyek mindegyike a szóban forgó egyedi hitelnek felel meg.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3. tábla: Banki könyv – Az éghajlatváltozással kapcsolatos átállás potenciális kockázatának mutatói: Igazodási mérőszámok.</w:t>
      </w:r>
      <w:r>
        <w:rPr>
          <w:rFonts w:ascii="Times New Roman" w:hAnsi="Times New Roman"/>
          <w:sz w:val="24"/>
        </w:rPr>
        <w:t xml:space="preserve"> Módosítható formátum (rögzített oszlopok, módosítható sorok).</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Az intézményeknek az e rendelet XXXIX. mellékletében meghatározott 3. tábla kitöltéséhez a következő útmutatót kell használniuk.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ebben a táblában a Párizsi Megállapodás célkitűzéseihez való igazodásra irányuló erőfeszítéseikről kell információkat </w:t>
      </w:r>
      <w:proofErr w:type="spellStart"/>
      <w:r>
        <w:rPr>
          <w:rFonts w:ascii="Times New Roman" w:hAnsi="Times New Roman"/>
          <w:sz w:val="24"/>
        </w:rPr>
        <w:t>közzétenniük</w:t>
      </w:r>
      <w:proofErr w:type="spellEnd"/>
      <w:r>
        <w:rPr>
          <w:rFonts w:ascii="Times New Roman" w:hAnsi="Times New Roman"/>
          <w:sz w:val="24"/>
        </w:rPr>
        <w:t xml:space="preserve"> kiválasztott ágazatok esetében. Az igazodásra vonatkozó közzétételnek meg kell mutatnia, hogy a pénzügyi mozgások milyen mértékben állnak összhangban a Párizsi Megállapodásban említett, az üvegházhatásúgáz-kibocsátás csökkentésére és az éghajlatváltozás hatásaival szemben </w:t>
      </w:r>
      <w:proofErr w:type="spellStart"/>
      <w:r>
        <w:rPr>
          <w:rFonts w:ascii="Times New Roman" w:hAnsi="Times New Roman"/>
          <w:sz w:val="24"/>
        </w:rPr>
        <w:t>reziliens</w:t>
      </w:r>
      <w:proofErr w:type="spellEnd"/>
      <w:r>
        <w:rPr>
          <w:rFonts w:ascii="Times New Roman" w:hAnsi="Times New Roman"/>
          <w:sz w:val="24"/>
        </w:rPr>
        <w:t xml:space="preserve"> fejlődésre irányuló pályával. A </w:t>
      </w:r>
      <w:proofErr w:type="spellStart"/>
      <w:r>
        <w:rPr>
          <w:rFonts w:ascii="Times New Roman" w:hAnsi="Times New Roman"/>
          <w:sz w:val="24"/>
        </w:rPr>
        <w:t>dekarbonizációt</w:t>
      </w:r>
      <w:proofErr w:type="spellEnd"/>
      <w:r>
        <w:rPr>
          <w:rFonts w:ascii="Times New Roman" w:hAnsi="Times New Roman"/>
          <w:sz w:val="24"/>
        </w:rPr>
        <w:t xml:space="preserve"> leíró gazdasági forgatókönyv a Nemzetközi Energiaügynökség (IEA) 2050-ig számított nulla nettó kibocsátásra vonatkozó forgatókönyve (NZE</w:t>
      </w:r>
      <w:proofErr w:type="gramStart"/>
      <w:r>
        <w:rPr>
          <w:rFonts w:ascii="Times New Roman" w:hAnsi="Times New Roman"/>
          <w:sz w:val="24"/>
        </w:rPr>
        <w:t>2050)</w:t>
      </w:r>
      <w:r>
        <w:rPr>
          <w:rFonts w:ascii="Times New Roman" w:hAnsi="Times New Roman"/>
          <w:sz w:val="24"/>
          <w:vertAlign w:val="superscript"/>
        </w:rPr>
        <w:t>*</w:t>
      </w:r>
      <w:proofErr w:type="gramEnd"/>
      <w:r>
        <w:rPr>
          <w:rFonts w:ascii="Times New Roman" w:hAnsi="Times New Roman"/>
          <w:sz w:val="24"/>
          <w:vertAlign w:val="superscript"/>
        </w:rPr>
        <w:t>18</w:t>
      </w:r>
      <w:r>
        <w:rPr>
          <w:rFonts w:ascii="Times New Roman" w:hAnsi="Times New Roman"/>
          <w:sz w:val="24"/>
        </w:rPr>
        <w:t xml:space="preserve">. Az intézményeknek ezt a forgatókönyvet kell figyelembe venniük. Tekintettel arra, hogy az IEA globális szintű forgatókönyveket és európai szintű konkrét mérőszámokat is közzétett, az intézményeknek globális szinten, illetve – amennyiben rendelkezésre állnak konkrét európai szintű mérőszámok – európai szinten kell mérniük az IEA-forgatókönyv referenciaértékeitől való távolságot.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Azoknak az intézményeknek, amelyek már készítenek becslést a Párizsi Megállapodáshoz való ágazati igazodásukról, ebben a táblában kell nyilvánosságra hozniuk ezeket az információkat. Az intézményeknek a táblát kísérő szöveges részben ismertetniük kell az alkalmazott módszert és az adatforrást. Azoknak az intézményeknek, amelyek még nem készítenek becslést az ágazati igazodásra, azokat az információkat kell nyilvánosságra hozniuk, amelyek ezen információk becslésére és közzétételére szolgáló módszerek alkalmazására irányuló terveikre vonatkoznak. Az intézményeknek minden esetben 2024. június 30-i első nyilvánosságra hozatali vonatkozási időponttal kell megkezdeniük az e táblában szereplő információk közzétételét.</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ebben a táblában a következőket kell nyilvánosságra hozniuk:</w:t>
      </w:r>
    </w:p>
    <w:p w14:paraId="77BC626F"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rPr>
      </w:pPr>
      <w:r>
        <w:rPr>
          <w:rFonts w:ascii="Times New Roman" w:hAnsi="Times New Roman"/>
          <w:sz w:val="24"/>
        </w:rPr>
        <w:t xml:space="preserve">Az a) és b) oszlop: az a) oszlop tartalmazza az </w:t>
      </w:r>
      <w:proofErr w:type="spellStart"/>
      <w:r>
        <w:rPr>
          <w:rFonts w:ascii="Times New Roman" w:hAnsi="Times New Roman"/>
          <w:sz w:val="24"/>
        </w:rPr>
        <w:t>ágazatokat</w:t>
      </w:r>
      <w:proofErr w:type="spellEnd"/>
      <w:r>
        <w:rPr>
          <w:rFonts w:ascii="Times New Roman" w:hAnsi="Times New Roman"/>
          <w:sz w:val="24"/>
        </w:rPr>
        <w:t xml:space="preserve"> (IEA-ágazatok), ahol is az 1–8. sor az ágazatok kötelező minimális körét sorolja fel, a b) oszlop pedig az </w:t>
      </w:r>
      <w:proofErr w:type="spellStart"/>
      <w:r>
        <w:rPr>
          <w:rFonts w:ascii="Times New Roman" w:hAnsi="Times New Roman"/>
          <w:sz w:val="24"/>
        </w:rPr>
        <w:t>alágazatokat</w:t>
      </w:r>
      <w:proofErr w:type="spellEnd"/>
      <w:r>
        <w:rPr>
          <w:rFonts w:ascii="Times New Roman" w:hAnsi="Times New Roman"/>
          <w:sz w:val="24"/>
        </w:rPr>
        <w:t xml:space="preserve"> (NACE-ágazatok, amelyek minimálisan feltüntetendő körét a táblában szereplő „A figyelembe veendő NACE-ágazatok listája” határozza meg).</w:t>
      </w:r>
    </w:p>
    <w:p w14:paraId="11193CAE"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rPr>
      </w:pPr>
      <w:r>
        <w:rPr>
          <w:rFonts w:ascii="Times New Roman" w:hAnsi="Times New Roman"/>
          <w:sz w:val="24"/>
        </w:rPr>
        <w:lastRenderedPageBreak/>
        <w:t>Amennyiben az intézmény partnere holdingtársaság, az intézményeknek a holdingtársaság alá tartozó, finanszírozásban részesülő konkrét kötelezett (ha eltér a holdingtársaságtól) NACE-ágazatát kell figyelembe venniük a holdingtársaság ágazata helyett, különösen azokban az esetekben, amikor a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w:t>
      </w:r>
    </w:p>
    <w:p w14:paraId="10399889"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rPr>
      </w:pPr>
      <w:r>
        <w:rPr>
          <w:rFonts w:ascii="Times New Roman" w:hAnsi="Times New Roman"/>
          <w:sz w:val="24"/>
        </w:rPr>
        <w:t>Az egynél több kötelezetthez együttesen tartozó kitettség besorolásának azon kötelezett jellemzői alapján kell történnie, amelyik az intézmény szempontjából relevánsabb vagy meghatározóbb volt a kitettségek vállalásában. Az intézmények a b) oszlopban előírt bontási szintnek megfelelő NACE-kódok szerint teszik közzé az információkat.</w:t>
      </w:r>
    </w:p>
    <w:p w14:paraId="0C9D7186"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rPr>
      </w:pPr>
      <w:r>
        <w:rPr>
          <w:rFonts w:ascii="Times New Roman" w:hAnsi="Times New Roman"/>
          <w:sz w:val="24"/>
        </w:rPr>
        <w:t>A c) oszlop: az (EU) 2021/451 végrehajtási rendeletnek megfelelően a banki könyvben szereplő számviteli portfóliókba besorolt, az a) és b) oszlop szerinti ágazatokba tartozó nem pénzügyi vállalatokkal szembeni kitettségeknek, köztük a hiteleknek és előlegeknek, a hitelviszonyt megtestesítő értékpapíroknak és a tulajdoni részesedést megtestesítő instrumentumoknak az (EU) 2021/451 végrehajtási rendelet V. mellékletének 1. részében meghatározott bruttó könyv szerinti értékét kell feltüntetni, a kereskedési céllal tartott pénzügyi eszközök és az értékesítésre tartott eszközök kivételével.</w:t>
      </w:r>
    </w:p>
    <w:p w14:paraId="0F18EC89"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szCs w:val="24"/>
        </w:rPr>
      </w:pPr>
      <w:r>
        <w:rPr>
          <w:rFonts w:ascii="Times New Roman" w:hAnsi="Times New Roman"/>
          <w:sz w:val="24"/>
        </w:rPr>
        <w:t xml:space="preserve">A d) és e) oszlop: az intézmény által alkalmazott igazodási mérőszám(ok) és a mérőszám legközelebbi referenciaéve az egyes ágazatokra vonatkozóan. Az intézményeknek a 2050-ig elérendő nulla nettó kibocsátásra vonatkozó forgatókönyvhöz (NZE2050) viszonyított igazodási </w:t>
      </w:r>
      <w:proofErr w:type="spellStart"/>
      <w:r>
        <w:rPr>
          <w:rFonts w:ascii="Times New Roman" w:hAnsi="Times New Roman"/>
          <w:sz w:val="24"/>
        </w:rPr>
        <w:t>mérőszámo</w:t>
      </w:r>
      <w:proofErr w:type="spellEnd"/>
      <w:r>
        <w:rPr>
          <w:rFonts w:ascii="Times New Roman" w:hAnsi="Times New Roman"/>
          <w:sz w:val="24"/>
        </w:rPr>
        <w:t>(</w:t>
      </w:r>
      <w:proofErr w:type="spellStart"/>
      <w:r>
        <w:rPr>
          <w:rFonts w:ascii="Times New Roman" w:hAnsi="Times New Roman"/>
          <w:sz w:val="24"/>
        </w:rPr>
        <w:t>ka</w:t>
      </w:r>
      <w:proofErr w:type="spellEnd"/>
      <w:r>
        <w:rPr>
          <w:rFonts w:ascii="Times New Roman" w:hAnsi="Times New Roman"/>
          <w:sz w:val="24"/>
        </w:rPr>
        <w:t xml:space="preserve">)t kell alkalmazniuk. Az intézményeknek biztosítaniuk kell, hogy a mérőszámok lehetővé tegyék az intézmények által finanszírozott termelési kapacitások átfogó közzétételét, és magukban foglalják az összes releváns, finanszírozott szén-dioxid-intenzív tevékenységet. A tábla példaként felsorol néhány mérőszámot. Az intézményeknek minden szektorra vonatkozóan több, finanszírozási tevékenységük szempontjából releváns mérőszámot kell nyilvánosságra hozniuk. Ezeknek tartalmazniuk kell kibocsátásintenzitási </w:t>
      </w:r>
      <w:proofErr w:type="gramStart"/>
      <w:r>
        <w:rPr>
          <w:rFonts w:ascii="Times New Roman" w:hAnsi="Times New Roman"/>
          <w:sz w:val="24"/>
        </w:rPr>
        <w:t>mérőszámokat,  technológiamixen</w:t>
      </w:r>
      <w:proofErr w:type="gramEnd"/>
      <w:r>
        <w:rPr>
          <w:rFonts w:ascii="Times New Roman" w:hAnsi="Times New Roman"/>
          <w:sz w:val="24"/>
        </w:rPr>
        <w:t xml:space="preserve"> alapuló mérőszámokat és termelésen alapuló mérőszámokat. Az intézményeknek a pénzügyi instrumentumokhoz kapcsolódó mögöttes eszközök és tevékenységek értékelésére kell támaszkodniuk.</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Azon hitelek esetében, amelyek felhasználása ismert, az értékeket az adott ágazatra és igazodási mérőszámra vonatkozóan kell megadni. Azon hitelek esetében, amelyek felhasználása nem ismert, a kitettség bruttó könyv szerinti értékét a partnerek tevékenységének megoszlása, például a partnerek </w:t>
      </w:r>
      <w:proofErr w:type="spellStart"/>
      <w:r>
        <w:rPr>
          <w:rFonts w:ascii="Times New Roman" w:hAnsi="Times New Roman"/>
          <w:sz w:val="24"/>
        </w:rPr>
        <w:t>tevékenységenkénti</w:t>
      </w:r>
      <w:proofErr w:type="spellEnd"/>
      <w:r>
        <w:rPr>
          <w:rFonts w:ascii="Times New Roman" w:hAnsi="Times New Roman"/>
          <w:sz w:val="24"/>
        </w:rPr>
        <w:t xml:space="preserve"> árbevétele alapján kell az egyes ágazatokhoz és az igazodási mérőszámokhoz rendelni.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Az intézményeknek a b) oszlopban feltüntetett ágazatok és a d) oszlopban feltüntetett igazodási mérőszámok minden egyes releváns kombinációjára vonatkozóan egy-egy sort kell beilleszteniük a táblába.</w:t>
      </w:r>
    </w:p>
    <w:p w14:paraId="1D2A64A6" w14:textId="77777777" w:rsidR="00183989" w:rsidRPr="00E50FA4" w:rsidRDefault="00183989" w:rsidP="00CE1107">
      <w:pPr>
        <w:pStyle w:val="ListParagraph"/>
        <w:numPr>
          <w:ilvl w:val="1"/>
          <w:numId w:val="35"/>
        </w:numPr>
        <w:spacing w:before="120" w:after="120"/>
        <w:jc w:val="both"/>
        <w:rPr>
          <w:rFonts w:ascii="Times New Roman" w:hAnsi="Times New Roman"/>
          <w:noProof/>
          <w:sz w:val="24"/>
        </w:rPr>
      </w:pPr>
      <w:r>
        <w:rPr>
          <w:rFonts w:ascii="Times New Roman" w:hAnsi="Times New Roman"/>
          <w:sz w:val="24"/>
        </w:rPr>
        <w:t>Az f) oszlop: a d) oszlop mérőszáma(i) és a 2050-ig elérendő nulla nettó kibocsátásra vonatkozó forgatókönyv (NZE2050) 2030. évi adatpontjai közötti eltérést kell százalékpontban kifejezni. Ez az eltérés a forgatókönyvben szereplő mutató 2030-ra vonatkozó értékéhez való igazodás jelenlegi mértékét mutatja, és az eltérést a d) oszlopban szereplő mutató és az IEA 2030-ra vonatkozó forgatókönyv-</w:t>
      </w:r>
      <w:r>
        <w:rPr>
          <w:rFonts w:ascii="Times New Roman" w:hAnsi="Times New Roman"/>
          <w:sz w:val="24"/>
        </w:rPr>
        <w:lastRenderedPageBreak/>
        <w:t>előrejelzés közötti különbségként kell kifejezni, elosztva a forgatókönyvi referenciamutatóval, és átszámítva százalékos értékekre.</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Az intézmények az IEA honlapján megtalálhatják a releváns információkat és a 2030-ra vonatkozó, ágazatonként alkalmazandó forgatókönyvi mutatókat. Az intézményeknek az IEA által évente kiadott „Net </w:t>
      </w:r>
      <w:proofErr w:type="spellStart"/>
      <w:r>
        <w:rPr>
          <w:rFonts w:ascii="Times New Roman" w:hAnsi="Times New Roman"/>
          <w:sz w:val="24"/>
        </w:rPr>
        <w:t>Zero</w:t>
      </w:r>
      <w:proofErr w:type="spellEnd"/>
      <w:r>
        <w:rPr>
          <w:rFonts w:ascii="Times New Roman" w:hAnsi="Times New Roman"/>
          <w:sz w:val="24"/>
        </w:rPr>
        <w:t xml:space="preserve"> </w:t>
      </w:r>
      <w:proofErr w:type="spellStart"/>
      <w:r>
        <w:rPr>
          <w:rFonts w:ascii="Times New Roman" w:hAnsi="Times New Roman"/>
          <w:sz w:val="24"/>
        </w:rPr>
        <w:t>by</w:t>
      </w:r>
      <w:proofErr w:type="spellEnd"/>
      <w:r>
        <w:rPr>
          <w:rFonts w:ascii="Times New Roman" w:hAnsi="Times New Roman"/>
          <w:sz w:val="24"/>
        </w:rPr>
        <w:t xml:space="preserve"> 2050 – A </w:t>
      </w:r>
      <w:proofErr w:type="spellStart"/>
      <w:r>
        <w:rPr>
          <w:rFonts w:ascii="Times New Roman" w:hAnsi="Times New Roman"/>
          <w:sz w:val="24"/>
        </w:rPr>
        <w:t>Roadmap</w:t>
      </w:r>
      <w:proofErr w:type="spellEnd"/>
      <w:r>
        <w:rPr>
          <w:rFonts w:ascii="Times New Roman" w:hAnsi="Times New Roman"/>
          <w:sz w:val="24"/>
        </w:rPr>
        <w:t xml:space="preserve"> </w:t>
      </w:r>
      <w:proofErr w:type="spellStart"/>
      <w:r>
        <w:rPr>
          <w:rFonts w:ascii="Times New Roman" w:hAnsi="Times New Roman"/>
          <w:sz w:val="24"/>
        </w:rPr>
        <w:t>for</w:t>
      </w:r>
      <w:proofErr w:type="spellEnd"/>
      <w:r>
        <w:rPr>
          <w:rFonts w:ascii="Times New Roman" w:hAnsi="Times New Roman"/>
          <w:sz w:val="24"/>
        </w:rPr>
        <w:t xml:space="preserve"> </w:t>
      </w:r>
      <w:proofErr w:type="spellStart"/>
      <w:r>
        <w:rPr>
          <w:rFonts w:ascii="Times New Roman" w:hAnsi="Times New Roman"/>
          <w:sz w:val="24"/>
        </w:rPr>
        <w:t>the</w:t>
      </w:r>
      <w:proofErr w:type="spellEnd"/>
      <w:r>
        <w:rPr>
          <w:rFonts w:ascii="Times New Roman" w:hAnsi="Times New Roman"/>
          <w:sz w:val="24"/>
        </w:rPr>
        <w:t xml:space="preserve"> Global </w:t>
      </w:r>
      <w:proofErr w:type="spellStart"/>
      <w:r>
        <w:rPr>
          <w:rFonts w:ascii="Times New Roman" w:hAnsi="Times New Roman"/>
          <w:sz w:val="24"/>
        </w:rPr>
        <w:t>Energy</w:t>
      </w:r>
      <w:proofErr w:type="spellEnd"/>
      <w:r>
        <w:rPr>
          <w:rFonts w:ascii="Times New Roman" w:hAnsi="Times New Roman"/>
          <w:sz w:val="24"/>
        </w:rPr>
        <w:t xml:space="preserve"> Sector” című publikációt</w:t>
      </w:r>
      <w:r>
        <w:rPr>
          <w:rFonts w:ascii="Times New Roman" w:hAnsi="Times New Roman"/>
          <w:sz w:val="24"/>
          <w:vertAlign w:val="superscript"/>
        </w:rPr>
        <w:t>*19</w:t>
      </w:r>
      <w:r>
        <w:rPr>
          <w:rFonts w:ascii="Times New Roman" w:hAnsi="Times New Roman"/>
          <w:sz w:val="24"/>
        </w:rPr>
        <w:t xml:space="preserve"> kell használniuk. A konkrét adatpontok és mutatók letölthetők a „Net </w:t>
      </w:r>
      <w:proofErr w:type="spellStart"/>
      <w:r>
        <w:rPr>
          <w:rFonts w:ascii="Times New Roman" w:hAnsi="Times New Roman"/>
          <w:sz w:val="24"/>
        </w:rPr>
        <w:t>Zero</w:t>
      </w:r>
      <w:proofErr w:type="spellEnd"/>
      <w:r>
        <w:rPr>
          <w:rFonts w:ascii="Times New Roman" w:hAnsi="Times New Roman"/>
          <w:sz w:val="24"/>
        </w:rPr>
        <w:t xml:space="preserve"> </w:t>
      </w:r>
      <w:proofErr w:type="spellStart"/>
      <w:r>
        <w:rPr>
          <w:rFonts w:ascii="Times New Roman" w:hAnsi="Times New Roman"/>
          <w:sz w:val="24"/>
        </w:rPr>
        <w:t>by</w:t>
      </w:r>
      <w:proofErr w:type="spellEnd"/>
      <w:r>
        <w:rPr>
          <w:rFonts w:ascii="Times New Roman" w:hAnsi="Times New Roman"/>
          <w:sz w:val="24"/>
        </w:rPr>
        <w:t xml:space="preserve"> 2050” forgatókönyvben szereplő Excel-táblázatból.</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A kitettségek mögöttes tevékenysége csökkenő referenciamutatók (szén-dioxid-intenzív tevékenységek) esetében akkor tekinthető a forgatókönyvhöz igazodónak, ha a mutató értéke alacsonyabb, mint a referenciamutató, növekvő referenciamutató (alacsony szén-dioxid-kibocsátású tevékenységek) esetében pedig akkor, ha értéke magasabb, mint a referenciamutató.</w:t>
      </w:r>
    </w:p>
    <w:p w14:paraId="7182897D" w14:textId="77777777" w:rsidR="00183989" w:rsidRPr="00587327" w:rsidRDefault="00183989" w:rsidP="00183989">
      <w:pPr>
        <w:ind w:left="567"/>
        <w:rPr>
          <w:rFonts w:ascii="Times New Roman" w:hAnsi="Times New Roman"/>
          <w:noProof/>
        </w:rPr>
      </w:pPr>
    </w:p>
    <w:p w14:paraId="37E18170" w14:textId="7ABFA5CD" w:rsidR="00183989" w:rsidRPr="00E50FA4" w:rsidRDefault="00587327" w:rsidP="00183989">
      <w:pPr>
        <w:ind w:left="567"/>
        <w:rPr>
          <w:rFonts w:ascii="Times New Roman" w:hAnsi="Times New Roman"/>
          <w:noProof/>
        </w:rPr>
      </w:pPr>
      <m:oMathPara>
        <m:oMath>
          <m:r>
            <w:rPr>
              <w:rFonts w:ascii="Cambria Math" w:hAnsi="Cambria Math"/>
              <w:noProof/>
            </w:rPr>
            <m:t>Távolság</m:t>
          </m:r>
        </m:oMath>
      </m:oMathPara>
    </w:p>
    <w:p w14:paraId="612F776F" w14:textId="77777777" w:rsidR="00183989" w:rsidRPr="00E50FA4" w:rsidRDefault="00183989" w:rsidP="00183989">
      <w:pPr>
        <w:ind w:left="567"/>
        <w:rPr>
          <w:rFonts w:ascii="Times New Roman" w:hAnsi="Times New Roman"/>
          <w:noProof/>
          <w:lang w:val="en-GB"/>
        </w:rPr>
      </w:pPr>
    </w:p>
    <w:p w14:paraId="7505BDAE" w14:textId="0508FD3A"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Mérőszám a referenciaévben-(Az IEA forgatókönyve szerinti mérőszám 2030-ban)</m:t>
              </m:r>
            </m:num>
            <m:den>
              <m:r>
                <w:rPr>
                  <w:rFonts w:ascii="Cambria Math" w:hAnsi="Cambria Math"/>
                  <w:noProof/>
                  <w:lang w:val="en-GB"/>
                </w:rPr>
                <m:t>(Az IEA forgatókönyve szerinti mérőszám 2030-ban)</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A g) oszlop: az intézményeknek az e) oszlopban feltüntetett referenciaévtől számított 3 évre és a d) oszlopban jelzett igazodási mérőszámra vonatkozó célértéke. A g) oszlopban kell feltüntetni azt a portfóliókiigazítási pályát és célértékeket, amelyek azt szolgálják, hogy az intézmény hosszú távon az IEA forgatókönyvének megfelelő pályán maradjon.</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4. tábla: Banki könyv – Az éghajlatváltozással kapcsolatos átállás potenciális kockázatának mutatói: A 20 legnagyobb szén-dioxid-kibocsátó vállalattal szembeni kitettségek.</w:t>
      </w:r>
      <w:r>
        <w:rPr>
          <w:rFonts w:ascii="Times New Roman" w:hAnsi="Times New Roman"/>
          <w:sz w:val="24"/>
        </w:rPr>
        <w:t xml:space="preserve"> </w:t>
      </w:r>
      <w:r>
        <w:rPr>
          <w:rFonts w:ascii="Times New Roman" w:hAnsi="Times New Roman"/>
          <w:b/>
          <w:sz w:val="24"/>
        </w:rPr>
        <w:t>Kötött formátum</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Az intézményeknek az e rendelet XXXIX. mellékletében meghatározott 4. tábla kitöltéséhez a következő útmutatót kell használniuk.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Az intézményeknek ebben a táblában összesített információkat kell nyilvánosságra hozniuk azon kitettségeikről, amelyek a világ legnagyobb szén-dioxid-kibocsátású vállalataival szemben állnak fenn. Összesített és </w:t>
      </w:r>
      <w:proofErr w:type="spellStart"/>
      <w:r>
        <w:rPr>
          <w:rFonts w:ascii="Times New Roman" w:hAnsi="Times New Roman"/>
          <w:sz w:val="24"/>
        </w:rPr>
        <w:t>anonimizált</w:t>
      </w:r>
      <w:proofErr w:type="spellEnd"/>
      <w:r>
        <w:rPr>
          <w:rFonts w:ascii="Times New Roman" w:hAnsi="Times New Roman"/>
          <w:sz w:val="24"/>
        </w:rPr>
        <w:t xml:space="preserve"> információkat kell feltüntetniük a legfeljebb 20 olyan partnerrel szembeni kitettségek bruttó könyv szerinti értékéről, amelyek a világ 20 legnagyobb szén-dioxid-kibocsátást okozó vállalata közé tartoznak. Az információknak nyilvánosan hozzáférhető, megbízható és pontos adatokon kell alapulniuk. A legnagyobb szén-dioxid-kibocsátást okozó vállalatok azonosítására szolgáló adatforrások közé tartozik a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Disclosure</w:t>
      </w:r>
      <w:proofErr w:type="spellEnd"/>
      <w:r>
        <w:rPr>
          <w:rFonts w:ascii="Times New Roman" w:hAnsi="Times New Roman"/>
          <w:sz w:val="24"/>
        </w:rPr>
        <w:t xml:space="preserve"> Project, a </w:t>
      </w:r>
      <w:proofErr w:type="spellStart"/>
      <w:r>
        <w:rPr>
          <w:rFonts w:ascii="Times New Roman" w:hAnsi="Times New Roman"/>
          <w:sz w:val="24"/>
        </w:rPr>
        <w:t>Climate</w:t>
      </w:r>
      <w:proofErr w:type="spellEnd"/>
      <w:r>
        <w:rPr>
          <w:rFonts w:ascii="Times New Roman" w:hAnsi="Times New Roman"/>
          <w:sz w:val="24"/>
        </w:rPr>
        <w:t xml:space="preserve"> </w:t>
      </w:r>
      <w:proofErr w:type="spellStart"/>
      <w:r>
        <w:rPr>
          <w:rFonts w:ascii="Times New Roman" w:hAnsi="Times New Roman"/>
          <w:sz w:val="24"/>
        </w:rPr>
        <w:t>Accountability</w:t>
      </w:r>
      <w:proofErr w:type="spellEnd"/>
      <w:r>
        <w:rPr>
          <w:rFonts w:ascii="Times New Roman" w:hAnsi="Times New Roman"/>
          <w:sz w:val="24"/>
        </w:rPr>
        <w:t xml:space="preserve"> Institute és a Thompson Reuters legnagyobb szén-dioxid-kibocsátást okozó vállalatokat tartalmazó adatbázisa (</w:t>
      </w:r>
      <w:proofErr w:type="spellStart"/>
      <w:r>
        <w:rPr>
          <w:rFonts w:ascii="Times New Roman" w:hAnsi="Times New Roman"/>
          <w:sz w:val="24"/>
        </w:rPr>
        <w:t>Carbon</w:t>
      </w:r>
      <w:proofErr w:type="spellEnd"/>
      <w:r>
        <w:rPr>
          <w:rFonts w:ascii="Times New Roman" w:hAnsi="Times New Roman"/>
          <w:sz w:val="24"/>
        </w:rPr>
        <w:t xml:space="preserve"> </w:t>
      </w:r>
      <w:proofErr w:type="spellStart"/>
      <w:r>
        <w:rPr>
          <w:rFonts w:ascii="Times New Roman" w:hAnsi="Times New Roman"/>
          <w:sz w:val="24"/>
        </w:rPr>
        <w:t>Majors</w:t>
      </w:r>
      <w:proofErr w:type="spellEnd"/>
      <w:r>
        <w:rPr>
          <w:rFonts w:ascii="Times New Roman" w:hAnsi="Times New Roman"/>
          <w:sz w:val="24"/>
        </w:rPr>
        <w:t xml:space="preserve"> </w:t>
      </w:r>
      <w:proofErr w:type="spellStart"/>
      <w:r>
        <w:rPr>
          <w:rFonts w:ascii="Times New Roman" w:hAnsi="Times New Roman"/>
          <w:sz w:val="24"/>
        </w:rPr>
        <w:t>Database</w:t>
      </w:r>
      <w:proofErr w:type="spellEnd"/>
      <w:r>
        <w:rPr>
          <w:rFonts w:ascii="Times New Roman" w:hAnsi="Times New Roman"/>
          <w:sz w:val="24"/>
        </w:rPr>
        <w:t>) és vonatkozó jelentései.</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Az intézményeknek a közzétételt kísérő szöveges magyarázatban fel kell tüntetniük az általuk felhasznált adatok forrását. Amennyiben az intézmények nem képesek azonosítani a világ 20 legnagyobb szén-dioxid-kibocsátó vállalkozásával szembeni kitettségeiket, magyarázatot kell adniuk arra, miért nem tüntették fel e kitettségeket, ideértve azt az esetet is, ha nincsenek kitettségeik a világ 20 legnagyobb szén-dioxid-kibocsátású vállalkozásával szemben. </w:t>
      </w:r>
    </w:p>
    <w:p w14:paraId="5749086F" w14:textId="77777777" w:rsidR="00183989" w:rsidRPr="00587327"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587327"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Oszlop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Útmutató</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Bruttó könyv szerinti érték (aggregált)</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2021/451/EU bizottsági végrehajtási rendelet V. melléklete 1. részében meghatározottak szerinti bruttó könyv szerinti érték. Idetartoznak az említett végrehajtási rendeletnek megfelelően a banki könyvben szereplő számviteli portfóliókba besorolt hitelek és előlegek, hitelviszonyt megtestesítő értékpapírok és tulajdoni részesedést megtestesítő instrumentumok, kivéve a kereskedési céllal tartott pénzügyi eszközöket és az értékesítésre tartott eszközöket.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Az intézmény azon legfeljebb 20 partnerével szembeni összesített kitettségeket kell figyelembe venni, amelyek a világ 20 legnagyobb szén-dioxid-kibocsátást okozó vállalata közé tartoznak.</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Bruttó könyv szerinti érték (aggregált) a teljes bruttó könyv szerinti értékhez képest</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 xml:space="preserve">Az intézményeknek itt az a) oszlopban feltüntetett aggregált bruttó könyv szerinti érték és a banki könyvben szereplő kitettségeik az (EU) 2021/451 végrehajtási rendelet V. mellékletének 1. részében említett teljes bruttó könyv szerinti értékének hányadosát kell </w:t>
            </w:r>
            <w:proofErr w:type="spellStart"/>
            <w:r>
              <w:rPr>
                <w:rFonts w:ascii="Times New Roman" w:hAnsi="Times New Roman"/>
                <w:sz w:val="24"/>
              </w:rPr>
              <w:t>közzétenniük</w:t>
            </w:r>
            <w:proofErr w:type="spellEnd"/>
            <w:r>
              <w:rPr>
                <w:rFonts w:ascii="Times New Roman" w:hAnsi="Times New Roman"/>
                <w:sz w:val="24"/>
              </w:rPr>
              <w:t>, utóbbiak közé számítva az említett végrehajtási rendeletnek megfelelően a banki könyvben szereplő számviteli portfóliókba besorolt hiteleket és előlegeket, hitelviszonyt megtestesítő értékpapírokat és tulajdoni részesedést megtestesítő instrumentumokat, kivéve a kereskedési céllal tartott pénzügyi eszközöket és az értékesítésre tartott eszközöket.</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ebből környezeti szempontból fenntartható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 mérséklésének célkitűzéséhez hozzájáruló, környezeti szempontból fenntartható kitettségek aggregált bruttó könyv szerinti értékét kell feltüntetniük. Az összegnek különleges célú hitelezés esetében a finanszírozott tevékenység célján, vagy a partner arra vonatkozó információin kell alapulnia, hogy gazdasági tevékenységei milyen mértékben igazodnak az (EU) 2020/852 rendelethez az éghajlatváltozás mérséklésének célkitűzése tekintetében (árbevételének mekkora százaléka járul hozzá lényegesen az éghajlatváltozás mérsékléséhez).</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ezeket az információkat 2023. december 31-i első nyilvánosságra hozatali vonatkozási időponttal kell először </w:t>
            </w:r>
            <w:proofErr w:type="spellStart"/>
            <w:r>
              <w:rPr>
                <w:rFonts w:ascii="Times New Roman" w:hAnsi="Times New Roman"/>
                <w:sz w:val="24"/>
              </w:rPr>
              <w:t>közzétenniük</w:t>
            </w:r>
            <w:proofErr w:type="spellEnd"/>
            <w:r>
              <w:rPr>
                <w:rFonts w:ascii="Times New Roman" w:hAnsi="Times New Roman"/>
                <w:sz w:val="24"/>
              </w:rPr>
              <w:t>.</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Súlyozott átlagos futamidő</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számításban figyelembe vett kitettségek átlagos </w:t>
            </w:r>
            <w:proofErr w:type="spellStart"/>
            <w:r>
              <w:rPr>
                <w:rFonts w:ascii="Times New Roman" w:hAnsi="Times New Roman"/>
                <w:sz w:val="24"/>
              </w:rPr>
              <w:t>futamidejét</w:t>
            </w:r>
            <w:proofErr w:type="spellEnd"/>
            <w:r>
              <w:rPr>
                <w:rFonts w:ascii="Times New Roman" w:hAnsi="Times New Roman"/>
                <w:sz w:val="24"/>
              </w:rPr>
              <w:t xml:space="preserve"> kell megadniuk, súlyozva a kitettségek bruttó könyv szerinti értékével.</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 figyelembe vett vállalatok száma</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fel kell tüntetniük, hogy az aggregált bruttó könyv szerinti értéket hány vállalat figyelembevételével számították ki.</w:t>
            </w:r>
          </w:p>
        </w:tc>
      </w:tr>
    </w:tbl>
    <w:p w14:paraId="09C823B2" w14:textId="77777777" w:rsidR="00183989" w:rsidRPr="00587327"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lastRenderedPageBreak/>
        <w:t>5. tábla: Banki könyv – Az éghajlatváltozással kapcsolatos potenciális fizikai kockázatok mutatói: Fizikai kockázatokkal szembeni kitettség.</w:t>
      </w:r>
      <w:r>
        <w:rPr>
          <w:rFonts w:ascii="Times New Roman" w:hAnsi="Times New Roman"/>
          <w:sz w:val="24"/>
        </w:rPr>
        <w:t xml:space="preserve"> Kötött formátum.</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Az intézményeknek az e rendelet XXXIX. mellékletében meghatározott 5. tábla kitöltéséhez a következő útmutatót kell használniuk.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ebben a táblában a krónikus és akut éghajlati veszélyek által fenyegetett, a banki könyvben szereplő kitettségekre vonatkozó információkat kell feltüntetniük gazdasági tevékenységi ágazatok (NACE-osztályozás) szerinti bontásban, valamint a partner tevékenysége vagy a biztosíték földrajzi elhelyezkedése szerinti bontásban azon ágazatok és földrajzi területek vonatkozásában, amelyeket éghajlatváltozás okozta akut és krónikus események érintenek. Az említett, nem pénzügyi vállalatokkal szembeni kitettségek közé tartoznak a hitelek és előlegek, a nem kereskedési vagy értékesítési céllal tartott hitelviszonyt megtestesítő értékpapírok és tulajdoni részesedést megtestesítő instrumentumok, az ingatlannal fedezett hitelek és a birtokbavétellel megszerzett ingatlanbiztosítékok.</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Az éghajlattal kapcsolatos konkrét veszélyeknek kitett földrajzi területek azonosításához az intézményeknek a külön erre a célra létrehozott portálokat és adatbázisokat kell használniuk. Az éghajlatváltozási eseményekre érzékeny helyszínek jellemzőire vonatkozó információk beszerzéséhez az intézmények használhatják az uniós szervek és a nemzeti kormányzati hatóságok – többek között meteorológiai, környezetvédelmi, statisztikai hivatalok vagy földtudományi szervezetek – által rendelkezésre bocsátott adatforrásokat. Az éghajlatváltozással összefüggő kockázatok által fenyegetett földrajzi területek azonosításához például az alábbi adatforrások használhatók</w:t>
      </w:r>
      <w:r>
        <w:rPr>
          <w:rFonts w:ascii="Times New Roman" w:hAnsi="Times New Roman"/>
          <w:sz w:val="24"/>
          <w:vertAlign w:val="superscript"/>
        </w:rPr>
        <w:t>*20</w:t>
      </w:r>
      <w:r>
        <w:rPr>
          <w:rFonts w:ascii="Times New Roman" w:hAnsi="Times New Roman"/>
          <w:sz w:val="24"/>
        </w:rPr>
        <w:t xml:space="preserve">: GFDRR – </w:t>
      </w:r>
      <w:proofErr w:type="spellStart"/>
      <w:r>
        <w:rPr>
          <w:rFonts w:ascii="Times New Roman" w:hAnsi="Times New Roman"/>
          <w:sz w:val="24"/>
        </w:rPr>
        <w:t>ThinkHazard</w:t>
      </w:r>
      <w:proofErr w:type="spellEnd"/>
      <w:r>
        <w:rPr>
          <w:rFonts w:ascii="Times New Roman" w:hAnsi="Times New Roman"/>
          <w:sz w:val="24"/>
        </w:rPr>
        <w:t xml:space="preserve">! (hőhullám, vízhiány, aszály, árvíz, erdőtűz, hurrikán, földcsuszamlás); PREP – </w:t>
      </w:r>
      <w:proofErr w:type="spellStart"/>
      <w:r>
        <w:rPr>
          <w:rFonts w:ascii="Times New Roman" w:hAnsi="Times New Roman"/>
          <w:sz w:val="24"/>
        </w:rPr>
        <w:t>PREPdata</w:t>
      </w:r>
      <w:proofErr w:type="spellEnd"/>
      <w:r>
        <w:rPr>
          <w:rFonts w:ascii="Times New Roman" w:hAnsi="Times New Roman"/>
          <w:sz w:val="24"/>
        </w:rPr>
        <w:t xml:space="preserve"> (tengerpart menti áradás, szélsőséges hőség, földcsuszamlás, vízhiány, aszály, erdőtűz); WRI – </w:t>
      </w:r>
      <w:proofErr w:type="spellStart"/>
      <w:r>
        <w:rPr>
          <w:rFonts w:ascii="Times New Roman" w:hAnsi="Times New Roman"/>
          <w:sz w:val="24"/>
        </w:rPr>
        <w:t>Aqueduct</w:t>
      </w:r>
      <w:proofErr w:type="spellEnd"/>
      <w:r>
        <w:rPr>
          <w:rFonts w:ascii="Times New Roman" w:hAnsi="Times New Roman"/>
          <w:sz w:val="24"/>
        </w:rPr>
        <w:t xml:space="preserve"> </w:t>
      </w:r>
      <w:proofErr w:type="spellStart"/>
      <w:r>
        <w:rPr>
          <w:rFonts w:ascii="Times New Roman" w:hAnsi="Times New Roman"/>
          <w:sz w:val="24"/>
        </w:rPr>
        <w:t>Water</w:t>
      </w:r>
      <w:proofErr w:type="spellEnd"/>
      <w:r>
        <w:rPr>
          <w:rFonts w:ascii="Times New Roman" w:hAnsi="Times New Roman"/>
          <w:sz w:val="24"/>
        </w:rPr>
        <w:t xml:space="preserve"> </w:t>
      </w:r>
      <w:proofErr w:type="spellStart"/>
      <w:r>
        <w:rPr>
          <w:rFonts w:ascii="Times New Roman" w:hAnsi="Times New Roman"/>
          <w:sz w:val="24"/>
        </w:rPr>
        <w:t>Risk</w:t>
      </w:r>
      <w:proofErr w:type="spellEnd"/>
      <w:r>
        <w:rPr>
          <w:rFonts w:ascii="Times New Roman" w:hAnsi="Times New Roman"/>
          <w:sz w:val="24"/>
        </w:rPr>
        <w:t xml:space="preserve"> Atlas (árvíz, tengerpart menti áradás, vízhiány, aszály) </w:t>
      </w:r>
      <w:proofErr w:type="spellStart"/>
      <w:r>
        <w:rPr>
          <w:rFonts w:ascii="Times New Roman" w:hAnsi="Times New Roman"/>
          <w:sz w:val="24"/>
        </w:rPr>
        <w:t>Swiss</w:t>
      </w:r>
      <w:proofErr w:type="spellEnd"/>
      <w:r>
        <w:rPr>
          <w:rFonts w:ascii="Times New Roman" w:hAnsi="Times New Roman"/>
          <w:sz w:val="24"/>
        </w:rPr>
        <w:t xml:space="preserve"> Re – </w:t>
      </w:r>
      <w:proofErr w:type="spellStart"/>
      <w:r>
        <w:rPr>
          <w:rFonts w:ascii="Times New Roman" w:hAnsi="Times New Roman"/>
          <w:sz w:val="24"/>
        </w:rPr>
        <w:t>CatNet</w:t>
      </w:r>
      <w:proofErr w:type="spellEnd"/>
      <w:r>
        <w:rPr>
          <w:rFonts w:ascii="Times New Roman" w:hAnsi="Times New Roman"/>
          <w:sz w:val="24"/>
        </w:rPr>
        <w:t xml:space="preserve">® (árvíz, trópusi ciklon (hurrikán és tájfun), erdőtűz); Világbank – </w:t>
      </w:r>
      <w:proofErr w:type="spellStart"/>
      <w:r>
        <w:rPr>
          <w:rFonts w:ascii="Times New Roman" w:hAnsi="Times New Roman"/>
          <w:sz w:val="24"/>
        </w:rPr>
        <w:t>Climate</w:t>
      </w:r>
      <w:proofErr w:type="spellEnd"/>
      <w:r>
        <w:rPr>
          <w:rFonts w:ascii="Times New Roman" w:hAnsi="Times New Roman"/>
          <w:sz w:val="24"/>
        </w:rPr>
        <w:t xml:space="preserve"> </w:t>
      </w:r>
      <w:proofErr w:type="spellStart"/>
      <w:r>
        <w:rPr>
          <w:rFonts w:ascii="Times New Roman" w:hAnsi="Times New Roman"/>
          <w:sz w:val="24"/>
        </w:rPr>
        <w:t>Change</w:t>
      </w:r>
      <w:proofErr w:type="spellEnd"/>
      <w:r>
        <w:rPr>
          <w:rFonts w:ascii="Times New Roman" w:hAnsi="Times New Roman"/>
          <w:sz w:val="24"/>
        </w:rPr>
        <w:t xml:space="preserve"> </w:t>
      </w:r>
      <w:proofErr w:type="spellStart"/>
      <w:r>
        <w:rPr>
          <w:rFonts w:ascii="Times New Roman" w:hAnsi="Times New Roman"/>
          <w:sz w:val="24"/>
        </w:rPr>
        <w:t>Knowledge</w:t>
      </w:r>
      <w:proofErr w:type="spellEnd"/>
      <w:r>
        <w:rPr>
          <w:rFonts w:ascii="Times New Roman" w:hAnsi="Times New Roman"/>
          <w:sz w:val="24"/>
        </w:rPr>
        <w:t xml:space="preserve"> </w:t>
      </w:r>
      <w:proofErr w:type="spellStart"/>
      <w:r>
        <w:rPr>
          <w:rFonts w:ascii="Times New Roman" w:hAnsi="Times New Roman"/>
          <w:sz w:val="24"/>
        </w:rPr>
        <w:t>Portal</w:t>
      </w:r>
      <w:proofErr w:type="spellEnd"/>
      <w:r>
        <w:rPr>
          <w:rFonts w:ascii="Times New Roman" w:hAnsi="Times New Roman"/>
          <w:sz w:val="24"/>
        </w:rPr>
        <w:t xml:space="preserve"> (szélsőséges hőség, szélsőséges csapadék, aszály); PCA – Global </w:t>
      </w:r>
      <w:proofErr w:type="spellStart"/>
      <w:r>
        <w:rPr>
          <w:rFonts w:ascii="Times New Roman" w:hAnsi="Times New Roman"/>
          <w:sz w:val="24"/>
        </w:rPr>
        <w:t>Drought</w:t>
      </w:r>
      <w:proofErr w:type="spellEnd"/>
      <w:r>
        <w:rPr>
          <w:rFonts w:ascii="Times New Roman" w:hAnsi="Times New Roman"/>
          <w:sz w:val="24"/>
        </w:rPr>
        <w:t xml:space="preserve"> </w:t>
      </w:r>
      <w:proofErr w:type="spellStart"/>
      <w:r>
        <w:rPr>
          <w:rFonts w:ascii="Times New Roman" w:hAnsi="Times New Roman"/>
          <w:sz w:val="24"/>
        </w:rPr>
        <w:t>Risk</w:t>
      </w:r>
      <w:proofErr w:type="spellEnd"/>
      <w:r>
        <w:rPr>
          <w:rFonts w:ascii="Times New Roman" w:hAnsi="Times New Roman"/>
          <w:sz w:val="24"/>
        </w:rPr>
        <w:t xml:space="preserve"> platform (aszály); NOAA – </w:t>
      </w:r>
      <w:proofErr w:type="spellStart"/>
      <w:r>
        <w:rPr>
          <w:rFonts w:ascii="Times New Roman" w:hAnsi="Times New Roman"/>
          <w:sz w:val="24"/>
        </w:rPr>
        <w:t>Historical</w:t>
      </w:r>
      <w:proofErr w:type="spellEnd"/>
      <w:r>
        <w:rPr>
          <w:rFonts w:ascii="Times New Roman" w:hAnsi="Times New Roman"/>
          <w:sz w:val="24"/>
        </w:rPr>
        <w:t xml:space="preserve"> </w:t>
      </w:r>
      <w:proofErr w:type="spellStart"/>
      <w:r>
        <w:rPr>
          <w:rFonts w:ascii="Times New Roman" w:hAnsi="Times New Roman"/>
          <w:sz w:val="24"/>
        </w:rPr>
        <w:t>hurricane</w:t>
      </w:r>
      <w:proofErr w:type="spellEnd"/>
      <w:r>
        <w:rPr>
          <w:rFonts w:ascii="Times New Roman" w:hAnsi="Times New Roman"/>
          <w:sz w:val="24"/>
        </w:rPr>
        <w:t xml:space="preserve"> </w:t>
      </w:r>
      <w:proofErr w:type="spellStart"/>
      <w:r>
        <w:rPr>
          <w:rFonts w:ascii="Times New Roman" w:hAnsi="Times New Roman"/>
          <w:sz w:val="24"/>
        </w:rPr>
        <w:t>tracks</w:t>
      </w:r>
      <w:proofErr w:type="spellEnd"/>
      <w:r>
        <w:rPr>
          <w:rFonts w:ascii="Times New Roman" w:hAnsi="Times New Roman"/>
          <w:sz w:val="24"/>
        </w:rPr>
        <w:t xml:space="preserve"> (trópusi ciklon (hurrikán és tájfun)).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Amennyiben az intézmény partnere holdingtársaság, az intézményeknek a holdingtársaság alá tartozó, finanszírozásban részesülő konkrét kötelezett (ha eltér a holdingtársaságtól) NACE-ágazatát kell figyelembe venniük, különösen azokban az esetekben, amikor a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 Az egynél több kötelezetthez együttesen tartozó kitettség besorolásának azon kötelezett jellemzői alapján kell történnie, amelyik a legrelevánsabb vagy meghatározóbb volt a tekintetben, hogy az intézmény vállalta a kitettséget. Az egynél több kötelezetthez együttesen tartozó kitettségek NACE-kódok szerinti besorolását a relevánsabb vagy meghatározóbb ügyfél jellemzői alapján kell meghatározni.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Az intézményeknek az ebben a táblában szereplő információkat a legnagyobb gondosság elve alapján kell nyilvánosságra hozniuk, és a táblát kísérő szöveges magyarázatban ismertetniük kell azokat az információforrásokat és módszereket, amelyeket az éghajlatváltozás fizikai kockázatának kitett kitettségek azonosításához használtak.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Oszlop</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Útmutató</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Az éghajlatváltozás okozta akut és krónikus események által érintett földrajzi terület</w:t>
            </w:r>
          </w:p>
          <w:p w14:paraId="1D184C39" w14:textId="77777777" w:rsidR="00183989" w:rsidRPr="00587327"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Az intézményeknek az éghajlatváltozás káros fizikai hatásai által érintett földrajzi területeket kell lefedniük. E földrajzi területek közé tartoznak azok az országok vagy egyéb földrajzi vagy közigazgatási egységek, ahol a partner tevékenykedik vagy a biztosíték található, és amelyek krónikus vagy akut éghajlati eseményeknek vannak kitéve. A kitettségek földrajzi lefedettsége tekintetében az intézményeknek a statisztikai célú területi egységek nómenklatúrájában (NUTS) megadott területi egységek szintjét kell értelemszerűen alkalmazniuk.</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Bruttó könyv szerinti érték</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rendeletnek megfelelően a banki könyvben szereplő számviteli portfóliókba besorolt, nem pénzügyi vállalatokkal szembeni kitettségeknek, köztük a hiteleknek és előlegeknek, a hitelviszonyt megtestesítő értékpapíroknak és a tulajdoni részesedést megtestesítő instrumentumoknak az (EU) 2021/451 végrehajtási rendelet V. mellékletének 1. részében meghatározott bruttó könyv szerinti értékét kell feltüntetniük, a kereskedési céllal tartott pénzügyi eszközök és az értékesítésre tartott eszközök kivételével.</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az éghajlatváltozás okozta fizikai események hatásaira érzékeny kitettség</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intézményeknek azon kitettségek bruttó könyv szerinti értékét kell feltüntetniük, amelyekre hatással lehetnek az éghajlatváltozás okozta fizikai események. Az éghajlatváltozás okozta fizikai események hatásaira érzékeny kitettségek bruttó könyv szerinti értéke megegyezhet a tábla b) oszlopában feltüntetett teljes kitettségértékkel, vagy annak részét képezheti.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Lejárati sávok szerinti bontás</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 kitettségeket a pénzügyi instrumentum hátralévő </w:t>
            </w:r>
            <w:proofErr w:type="spellStart"/>
            <w:r>
              <w:rPr>
                <w:rFonts w:ascii="Times New Roman" w:hAnsi="Times New Roman"/>
                <w:sz w:val="24"/>
              </w:rPr>
              <w:t>futamidejétől</w:t>
            </w:r>
            <w:proofErr w:type="spellEnd"/>
            <w:r>
              <w:rPr>
                <w:rFonts w:ascii="Times New Roman" w:hAnsi="Times New Roman"/>
                <w:sz w:val="24"/>
              </w:rPr>
              <w:t xml:space="preserve"> függően kell az egyes sávokba besorolni, figyelembe véve a következőket:</w:t>
            </w:r>
          </w:p>
          <w:p w14:paraId="175EED83" w14:textId="77777777" w:rsidR="00183989" w:rsidRPr="00E50FA4" w:rsidRDefault="00183989" w:rsidP="00CE1107">
            <w:pPr>
              <w:pStyle w:val="ListParagraph"/>
              <w:numPr>
                <w:ilvl w:val="0"/>
                <w:numId w:val="23"/>
              </w:numPr>
              <w:ind w:left="293"/>
              <w:jc w:val="both"/>
              <w:rPr>
                <w:rFonts w:ascii="Times New Roman" w:hAnsi="Times New Roman"/>
                <w:noProof/>
                <w:sz w:val="24"/>
              </w:rPr>
            </w:pPr>
            <w:r>
              <w:rPr>
                <w:rFonts w:ascii="Times New Roman" w:hAnsi="Times New Roman"/>
                <w:sz w:val="24"/>
              </w:rPr>
              <w:t>ha az összeget részletekben fizetik vissza, a kitettséget az utolsó részletnek megfelelő lejárati sávba kell besorolni;</w:t>
            </w:r>
          </w:p>
          <w:p w14:paraId="2FCA88D1" w14:textId="77777777" w:rsidR="00183989" w:rsidRPr="00E50FA4" w:rsidRDefault="00183989" w:rsidP="00CE1107">
            <w:pPr>
              <w:pStyle w:val="ListParagraph"/>
              <w:numPr>
                <w:ilvl w:val="0"/>
                <w:numId w:val="23"/>
              </w:numPr>
              <w:spacing w:before="120" w:after="120"/>
              <w:ind w:left="293"/>
              <w:jc w:val="both"/>
              <w:rPr>
                <w:rFonts w:ascii="Times New Roman" w:hAnsi="Times New Roman"/>
                <w:noProof/>
                <w:sz w:val="24"/>
              </w:rPr>
            </w:pPr>
            <w:r>
              <w:rPr>
                <w:rFonts w:ascii="Times New Roman" w:hAnsi="Times New Roman"/>
                <w:sz w:val="24"/>
              </w:rPr>
              <w:t>Ha egy kitettségnek nincs meghatározott futamideje, és ennek más oka van, mint hogy a partner választhatja meg a visszafizetés idejét, e kitettség összegét a „&gt; 20 év” oszlopban kell feltüntetni.</w:t>
            </w:r>
          </w:p>
          <w:p w14:paraId="07EF85AF" w14:textId="77777777" w:rsidR="00183989" w:rsidRPr="00E50FA4" w:rsidRDefault="00183989" w:rsidP="00CE1107">
            <w:pPr>
              <w:pStyle w:val="ListParagraph"/>
              <w:numPr>
                <w:ilvl w:val="0"/>
                <w:numId w:val="23"/>
              </w:numPr>
              <w:spacing w:before="120" w:after="120"/>
              <w:ind w:left="293"/>
              <w:jc w:val="both"/>
              <w:rPr>
                <w:rFonts w:ascii="Times New Roman" w:hAnsi="Times New Roman"/>
                <w:noProof/>
                <w:sz w:val="24"/>
              </w:rPr>
            </w:pPr>
            <w:r>
              <w:rPr>
                <w:rFonts w:ascii="Times New Roman" w:hAnsi="Times New Roman"/>
                <w:sz w:val="24"/>
              </w:rPr>
              <w:t xml:space="preserve">a kitettségek átlagos </w:t>
            </w:r>
            <w:proofErr w:type="spellStart"/>
            <w:r>
              <w:rPr>
                <w:rFonts w:ascii="Times New Roman" w:hAnsi="Times New Roman"/>
                <w:sz w:val="24"/>
              </w:rPr>
              <w:t>futamidejének</w:t>
            </w:r>
            <w:proofErr w:type="spellEnd"/>
            <w:r>
              <w:rPr>
                <w:rFonts w:ascii="Times New Roman" w:hAnsi="Times New Roman"/>
                <w:sz w:val="24"/>
              </w:rPr>
              <w:t xml:space="preserve"> kiszámításához az intézményeknek az egyes kitettségek </w:t>
            </w:r>
            <w:proofErr w:type="spellStart"/>
            <w:r>
              <w:rPr>
                <w:rFonts w:ascii="Times New Roman" w:hAnsi="Times New Roman"/>
                <w:sz w:val="24"/>
              </w:rPr>
              <w:t>futamidejét</w:t>
            </w:r>
            <w:proofErr w:type="spellEnd"/>
            <w:r>
              <w:rPr>
                <w:rFonts w:ascii="Times New Roman" w:hAnsi="Times New Roman"/>
                <w:sz w:val="24"/>
              </w:rPr>
              <w:t xml:space="preserve"> a kitettségek bruttó könyv szerinti értékével kell súlyozniuk.</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az éghajlatváltozás okozta krónikus események hatásaira érzékeny kitettség</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intézményeknek csak a krónikus éghajlatváltozási események hatásaira érzékeny kitettségek bruttó könyv szerinti értékét kell feltüntetniük, ezen események alatt értve az időjárás és az éghajlat fokozatos változásához kapcsolódó és a gazdasági kibocsátásra és termelékenységre esetlegesen </w:t>
            </w:r>
            <w:r>
              <w:rPr>
                <w:rFonts w:ascii="Times New Roman" w:hAnsi="Times New Roman"/>
                <w:sz w:val="24"/>
              </w:rPr>
              <w:lastRenderedPageBreak/>
              <w:t>hatást gyakorló veszélyeket.</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az éghajlatváltozás okozta akut események hatásaira érzékeny kitettség</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intézményeknek csak az akut éghajlatváltozási események hatásaira érzékeny kitettségek bruttó könyv szerinti értékét kell feltüntetniük, ezen események alatt értve azokat a veszélyeket, amelyek az ingatlan és ingó vagyon hirtelen károsodásához, az ellátási láncok zavarához és az eszközök értékcsökkenéséhez vezethetnek.</w:t>
            </w:r>
          </w:p>
          <w:p w14:paraId="48D7B200" w14:textId="77777777" w:rsidR="00183989" w:rsidRPr="00587327"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az éghajlatváltozás okozta krónikus és akut események hatásaira egyaránt érzékeny kitettség</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Az intézményeknek a h) és i) oszlopban említett, mind a krónikus, mind az akut éghajlatváltozási események hatásaira érzékeny kitettségek bruttó könyv szerinti értékét kell feltüntetniük.</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2. szakasz</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Az IFRS-t alkalmazó intézményeknek az IFRS 9 standard szerinti 2. szakaszba sorolt instrumentumok bruttó könyv szerinti értékét kell feltüntetniük.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A 86/635/EGK irányelven alapuló általánosan elfogadott nemzeti számviteli elveket alkalmazó intézmények nem teszik közzé az „ebből 2. szakasz” oszlopokat.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nemteljesítő</w:t>
            </w:r>
          </w:p>
          <w:p w14:paraId="20F3319C" w14:textId="77777777" w:rsidR="00183989" w:rsidRPr="00E50FA4" w:rsidRDefault="00183989" w:rsidP="00D0691F">
            <w:pPr>
              <w:pStyle w:val="Fait"/>
              <w:spacing w:before="0" w:after="120"/>
              <w:rPr>
                <w:noProof/>
              </w:rPr>
            </w:pPr>
            <w:r>
              <w:t>Az intézményeknek az 575/2013/EU rendelet 47a. cikkének (3) bekezdésében említett azon nemteljesítő kitettségek bruttó könyv szerinti értékét kell feltüntetniük, amelyekre hatással lehetnek az éghajlatváltozás okozta események.</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Halmozott értékvesztés, a hitelkockázat-változásból származó negatív valósérték-változás halmozott összege és céltartalékok</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2. részének 11., 69., 70., 71., 106. és 110. pontjában említett összegeket kell feltüntetniük.</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2. szakasz</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 szakaszba sorolt kitettségek halmozott értékvesztési összegét kell feltüntetniük.</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IFRS-t alkalmazó intézményeknek az IFRS 9 standard szerinti 2. szakaszba sorolt instrumentumok bruttó könyv szerinti értékét kell feltüntetniük.</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86/635/EGK irányelven alapuló általánosan elfogadott nemzeti számviteli elveket alkalmazó intézmények nem teszik közzé az „ebből 2. szakasz” oszlopokat.</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n</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nemteljesítő</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az 575/2013/EU rendelet 47a. cikkének (3) bekezdésében említett nemteljesítő kitettségek halmozott értékvesztését, hitelkockázat miatti negatív valósérték-változásának halmozott összegét és a nemteljesítő kitettségekhez rendelhető céltartalékokat kell feltüntetniük.</w:t>
            </w:r>
          </w:p>
        </w:tc>
      </w:tr>
    </w:tbl>
    <w:p w14:paraId="3729E508" w14:textId="77777777" w:rsidR="00183989" w:rsidRPr="00587327"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6. tábla – Összefoglalás – A taxonómiához igazodó kitettségekre vonatkozó fő teljesítménymutatók (KPI). </w:t>
      </w:r>
      <w:r>
        <w:rPr>
          <w:rFonts w:ascii="Times New Roman" w:hAnsi="Times New Roman"/>
          <w:sz w:val="24"/>
        </w:rPr>
        <w:t>Kötött formátum.</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a 6. táblában áttekintést kell nyújtaniuk a XXXIX. melléklet 7. és 8. táblája alapján kiszámított fő teljesítménymutatókról, beleértve az (EU) 2021/2178 felhatalmazáson alapuló bizottsági rendeletben</w:t>
      </w:r>
      <w:r>
        <w:rPr>
          <w:rFonts w:ascii="Times New Roman" w:hAnsi="Times New Roman"/>
          <w:sz w:val="24"/>
          <w:vertAlign w:val="superscript"/>
        </w:rPr>
        <w:t>*21</w:t>
      </w:r>
      <w:r>
        <w:rPr>
          <w:rFonts w:ascii="Times New Roman" w:hAnsi="Times New Roman"/>
          <w:sz w:val="24"/>
        </w:rPr>
        <w:t xml:space="preserve"> említett zöldeszköz-arányt is.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Bár az (EU) 2021/2178 felhatalmazáson alapuló rendelet azt írja elő a szervezetek számára, hogy kétszer becsüljék meg és tegyék közzé a zöldeszköz-arányt (GAR) – egyszer az általános hitelezés vonatkozásában a nem pénzügyi vállalat partnerrel szembeni azon kitettségek alapján, amelyek a taxonómiához igazodó árbevételt generáló tevékenységeket finanszíroznak, másodszor a partnerrel szembeni ugyancsak általános célú azon hitelezési kitettségek alapján, amelyek a taxonómiához igazodó tőkekiadással (CAPEX) járó tevékenységeket finanszíroznak –, ebben a táblában az intézményeknek csak egyszer kell </w:t>
      </w:r>
      <w:proofErr w:type="spellStart"/>
      <w:r>
        <w:rPr>
          <w:rFonts w:ascii="Times New Roman" w:hAnsi="Times New Roman"/>
          <w:sz w:val="24"/>
        </w:rPr>
        <w:t>közzétenniük</w:t>
      </w:r>
      <w:proofErr w:type="spellEnd"/>
      <w:r>
        <w:rPr>
          <w:rFonts w:ascii="Times New Roman" w:hAnsi="Times New Roman"/>
          <w:sz w:val="24"/>
        </w:rPr>
        <w:t xml:space="preserve"> a GAR-t, kizárólag az általános célú hitelezésre vonatkozó árbevétel-alapú taxonómiai igazodás tekintetében.</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Az állományi változó („GAR-állomány” sor) esetében az „Éghajlatváltozás mérséklése”, az „Éghajlatváltozáshoz való alkalmazkodás” és e kettő együttes értéke megfelel a 8. tábla b), g) és l) oszlopában szereplő fő teljesítménymutatóknak. Hasonlóképpen, az állományváltozás („GAR-állományváltozás” sor) esetében az „Éghajlatváltozás mérséklése”, az „Éghajlatváltozáshoz való alkalmazkodás” és e kettő együttes értéke megfelel a 8. tábla 1. sorának r), w) és ab) oszlopában szereplő fő teljesítménymutatóknak.</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 lefedettségre vonatkozó információkat a GAR-állomány vonatkozásában a 8. tábla 1. sorának p) oszlopában, a GAR-állományváltozás vonatkozásában pedig az </w:t>
      </w:r>
      <w:proofErr w:type="spellStart"/>
      <w:r>
        <w:rPr>
          <w:rFonts w:ascii="Times New Roman" w:hAnsi="Times New Roman"/>
          <w:sz w:val="24"/>
        </w:rPr>
        <w:t>af</w:t>
      </w:r>
      <w:proofErr w:type="spellEnd"/>
      <w:r>
        <w:rPr>
          <w:rFonts w:ascii="Times New Roman" w:hAnsi="Times New Roman"/>
          <w:sz w:val="24"/>
        </w:rPr>
        <w:t>) oszlopban kell megadni.</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ezeket az információkat 2023. december 31-i első vonatkozási időponttal kell nyilvánosságra hozniuk, összhangban az (EU) 2021/2178 felhatalmazáson alapuló rendeletben a GAR tekintetében megjelölt első nyilvánosságra hozatali vonatkozási időponttal.</w:t>
      </w:r>
    </w:p>
    <w:p w14:paraId="0050DFCF" w14:textId="77777777" w:rsidR="00183989" w:rsidRPr="00587327"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7. tábla – Mérséklő intézkedések: A GAR kiszámításához figyelembe vett eszközök. </w:t>
      </w:r>
      <w:r>
        <w:rPr>
          <w:rFonts w:ascii="Times New Roman" w:hAnsi="Times New Roman"/>
          <w:sz w:val="24"/>
        </w:rPr>
        <w:t>Kötött formátum.</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az e rendelet XXXIX. mellékletében meghatározott 7. tábla kitöltéséhez a következő útmutatót kell használniuk.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ebben a táblában a banki könyvben szereplő hitelek és előlegek, hitelviszonyt megtestesítő értékpapírok és tulajdoni részesedést megtestesítő instrumentumok bruttó könyv szerinti értékét kell </w:t>
      </w:r>
      <w:proofErr w:type="spellStart"/>
      <w:r>
        <w:rPr>
          <w:rFonts w:ascii="Times New Roman" w:hAnsi="Times New Roman"/>
          <w:sz w:val="24"/>
        </w:rPr>
        <w:t>közzétenniük</w:t>
      </w:r>
      <w:proofErr w:type="spellEnd"/>
      <w:r>
        <w:rPr>
          <w:rFonts w:ascii="Times New Roman" w:hAnsi="Times New Roman"/>
          <w:sz w:val="24"/>
        </w:rPr>
        <w:t xml:space="preserve"> partnertípusok szerinti bontásban – ideértve a pénzügyi vállalatokat, a nem pénzügyi vállalatokat, a háztartásokat, a helyi önkormányzatokat, valamint a háztartásoknak nyújtott ingatlanhiteleket –, továbbá ebben a táblában kell közzétenni az éghajlatváltozás mérséklésével és az éghajlatváltozáshoz való alkalmazkodással kapcsolatos, az (EU) 2020/852 rendelet 9. cikkének a) és b) pontjában említett környezetvédelmi célkitűzések tekintetében a taxonómiához igazítható és a taxonómiához igazodó tevékenységekhez kapcsolódó kitettségek mértékét.</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Konkrétabban, az intézményeknek ebben a táblában fel kell tüntetniük a GAR (EU) 2021/2178 felhatalmazáson alapuló rendelet szerinti kiszámításához szükséges információkat. Bár az (EU) 2021/2178 felhatalmazáson alapuló rendelet azt írja elő az </w:t>
      </w:r>
      <w:r>
        <w:rPr>
          <w:rFonts w:ascii="Times New Roman" w:hAnsi="Times New Roman"/>
          <w:sz w:val="24"/>
        </w:rPr>
        <w:lastRenderedPageBreak/>
        <w:t xml:space="preserve">intézmények számára, hogy kétszer becsüljék meg és tegyék közzé a zöldeszköz-arányt (GAR)– egyszer a nem speciális célú hitelezés vonatkozásában (általános célú hitelezés) a partnerrel (nem pénzügyi vállalat) szembeni azon kitettségek alapján, amelyek a taxonómiához igazodó árbevételt generáló tevékenységeket finanszíroznak, másodszor a partnerrel szembeni ugyancsak általános célú azon hitelezési kitettségek alapján, amelyek a taxonómiához igazodó tőkekiadással (CAPEX) járó tevékenységeket finanszíroznak –, ebben a táblában az intézményeknek csak egyszer kell </w:t>
      </w:r>
      <w:proofErr w:type="spellStart"/>
      <w:r>
        <w:rPr>
          <w:rFonts w:ascii="Times New Roman" w:hAnsi="Times New Roman"/>
          <w:sz w:val="24"/>
        </w:rPr>
        <w:t>közzétenniük</w:t>
      </w:r>
      <w:proofErr w:type="spellEnd"/>
      <w:r>
        <w:rPr>
          <w:rFonts w:ascii="Times New Roman" w:hAnsi="Times New Roman"/>
          <w:sz w:val="24"/>
        </w:rPr>
        <w:t xml:space="preserve"> a GAR-t, kizárólag az általános célú hitelezésre vonatkozó árbevétel-alapú taxonómiai igazodás tekintetében.</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Az intézményeknek ezen adatok alapján kell kiszámítaniuk és nyilvánosságra hozniuk az (EU) 2021/2178 felhatalmazáson alapuló rendeletben említett GAR-t. A megadott információknak az (EU) 2020/852 rendelet 9. cikkének a) és b) pontjában említett célokhoz, az éghajlatváltozás mérsékléséhez és az éghajlatváltozáshoz való alkalmazkodáshoz kell kapcsolódniuk.</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Az intézményeknek ezeket az információkat 2023. december 31-i első vonatkozási időponttal kell nyilvánosságra hozniuk, amely az (EU) 2021/2178 felhatalmazáson alapuló rendeletben a GAR tekintetében megjelölt első nyilvánosságra hozatali vonatkozási időpont.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Útmutató</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Bruttó könyv szerinti érték</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1. részében meghatározott bruttó könyv szerinti értéket kell feltüntetniük.</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a taxonómia szempontjából releváns ágazatok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1. részében meghatározott bruttó könyv szerinti értéket kell feltüntetniük.</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2021/2139 felhatalmazáson alapuló bizottsági rendelet</w:t>
            </w:r>
            <w:r>
              <w:rPr>
                <w:rFonts w:ascii="Times New Roman" w:hAnsi="Times New Roman"/>
                <w:sz w:val="24"/>
                <w:vertAlign w:val="superscript"/>
              </w:rPr>
              <w:t>*22</w:t>
            </w:r>
            <w:r>
              <w:rPr>
                <w:rFonts w:ascii="Times New Roman" w:hAnsi="Times New Roman"/>
                <w:sz w:val="24"/>
              </w:rPr>
              <w:t xml:space="preserve"> I. mellékletében meghatározottak szerint a taxonómián alapuló megfelelő környezetvédelmi célkitűzés szempontjából releváns ágazatokkal (4 szintű NACE-kód) szembeni figyelembe vehető kitettségek bruttó könyv szerinti értékét kell feltüntetniük.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2020/852 rendelet 9. cikkének a) pontjával és 10. cikkével összhangban az éghajlatváltozás mérséklésének célkitűzése alá tartozó releváns ágazatokkal szembeni kitettségeket kell feltüntetniük.</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2021/2139 felhatalmazáson alapuló rendelet I. mellékletében meghatározottak szerint környezeti szempontból fenntartható, figyelembe vehető kitettségek bruttó könyv szerinti értékét kell feltüntetniük.</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az (EU) 2020/852 rendelet 9. cikkének a) pontjával és 10. cikkével összhangban az éghajlatváltozás mérséklésének célkitűzése alá tartozó, környezeti szempontból fenntartható kitettségeket kell feltüntetniük.</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Azon hitelek esetében, amelyek felhasználása ismert (speciális hitelezés, beleértve az (EU) 2021/451 végrehajtási rendelet V. mellékletében említett </w:t>
            </w:r>
            <w:r>
              <w:rPr>
                <w:rFonts w:ascii="Times New Roman" w:hAnsi="Times New Roman"/>
                <w:sz w:val="24"/>
              </w:rPr>
              <w:lastRenderedPageBreak/>
              <w:t>projektfinanszírozási hiteleket), az intézményeknek fel kell tüntetniük, hogy a kitettség milyen mértékben fenntartható környezeti szempontból. Ez azon alapul, hogy a finanszírozott projekt az (EU) 2020/852 rendelet 10. cikkével összhangban milyen mértékben járul hozzá lényegesen az éghajlatváltozás mérsékléséhez, vagy az említett rendelet 16. cikkével összhangban támogató tevékenység, és megfelel-e az említett rendelet 3. cikkében meghatározott kritériumoknak. Azon hitelek esetében, amelyek felhasználása nem ismert, az intézményeknek az (EU) 2020/852 rendelet 8. cikkével összhangban a partnertől kapott, az említett rendelet 3. cikke értelmében környezeti szempontból fenntarthatónak minősülő gazdasági tevékenységekhez kapcsolódó termékekből vagy szolgáltatásokból származó árbevétel arányára vonatkozó információk alapján kell feltüntetniük, hogy a kitettség milyen mértékben fenntartható környezeti szempontból.</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Minden kitettséget csak egyszer lehet figyelembe venni, és csak egy környezetvédelmi célkitűzéshez lehet hozzárendelni. Amennyiben valamely kitettség egynél több környezetvédelmi célkitűzés szempontjából releváns, azt a legrelevánsabb célkitűzéshez kell hozzárendelni.</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1. részében meghatározott bruttó könyv szerinti értéket kell feltüntetniük.</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speciális hitelezési kitettség az (EU) 575/2013 rendelet 147. cikkének (8) bekezdésében említett speciális hitelezési kitettség. Az intézményeknek az (EU) 2020/852 rendelet 9. cikkének a) pontjával és 10. cikkével összhangban az éghajlatváltozás mérséklésének célkitűzése alá tartozó, környezeti szempontból fenntartható kitettségeket kell feltüntetniük.</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Azon hitelek esetében, amelyek felhasználása ismert, a speciális hitelezés esetében az intézményeknek fel kell tüntetniük, hogy a kitettség milyen mértékben minősül környezeti szempontból fenntarthatónak annak alapján, hogy az adott projekt milyen mértékben és arányban járul hozzá lényegesen az éghajlatváltozás mérsékléséhez az (EU) 2020/852 rendelet 10. cikkével összhangban (projektspecifikus információ), vagy a 16. cikkel összhangban támogató tevékenységként, megfelelve az említett rendelet 3. cikkében meghatározott kritériumoknak. Az intézményeknek átlátható tájékoztatást kell nyújtaniuk a speciális hitelezéssel finanszírozott gazdasági tevékenységek típusairól. Amennyiben valamely kitettség egynél több környezetvédelmi célkitűzés szempontjából releváns, azt a legrelevánsabb célkitűzéshez kell hozzárendelni.</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(EU) 2020/852 rendelet 10. cikke.</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(EU) 2020/852 rendelet 16. cikke.</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w:t>
            </w:r>
            <w:proofErr w:type="spellStart"/>
            <w:r>
              <w:rPr>
                <w:rFonts w:ascii="Times New Roman" w:hAnsi="Times New Roman"/>
                <w:b/>
                <w:sz w:val="24"/>
                <w:u w:val="single"/>
              </w:rPr>
              <w:t>ebből</w:t>
            </w:r>
            <w:proofErr w:type="spellEnd"/>
            <w:r>
              <w:rPr>
                <w:rFonts w:ascii="Times New Roman" w:hAnsi="Times New Roman"/>
                <w:b/>
                <w:sz w:val="24"/>
                <w:u w:val="single"/>
              </w:rPr>
              <w:t xml:space="preserve"> a taxonómia szempontjából releváns ágazatok</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Az intézményeknek az (EU) 2021/2139 felhatalmazáson alapuló bizottsági rendelet II. mellékletében meghatározottak szerint a taxonómia szempontjából releváns ágazatokkal (4 szintű NACE-kód) szembeni figyelembe vehető kitettségek bruttó könyv szerinti értékét kell feltüntetniük.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2020/852 rendelet 9. cikkének b) pontjával és 11. cikkével összhangban az éghajlatváltozáshoz való alkalmazkodás célkitűzése alá tartozó releváns ágazatokkal szembeni kitettségeket kell feltüntetniük.</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2021/2139 felhatalmazáson alapuló rendelet II. mellékletében meghatározottak szerint környezeti szempontból fenntartható, figyelembe vehető kitettségek bruttó könyv szerinti értékét kell feltüntetniük.</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az (EU) 2020/852 rendelet 9. cikkének b) pontjával és 11. cikkével összhangban az éghajlatváltozáshoz való alkalmazkodás célkitűzése alá tartozó, környezeti szempontból fenntartható kitettségeket kell feltüntetniük.</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Azon hitelek esetében, amelyek felhasználása ismert, a speciális hitelezés esetében az intézményeknek fel kell tüntetniük, hogy a kitettség milyen mértékben minősül környezeti szempontból fenntarthatónak annak alapján, hogy a finanszírozott projekt milyen mértékben és arányban járul hozzá lényegesen az éghajlatváltozáshoz való alkalmazkodáshoz az (EU) 2020/852 rendelet 11. cikkével összhangban (projektspecifikus információ), vagy a 16. cikkel összhangban támogató tevékenységként, megfelelve az említett rendelet 3. cikkében meghatározott kritériumoknak.</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Azon hitelek esetében, amelyek felhasználása nem ismert, az intézményeknek az (EU) 2020/852 rendelet 8. cikkével összhangban a partnertől kapott, az említett rendelet 3. cikke értelmében környezeti szempontból fenntarthatónak minősülő gazdasági tevékenységekhez kapcsolódó termékekből vagy szolgáltatásokból származó árbevétel arányára vonatkozó információk alapján kell feltüntetniük, hogy a kitettség milyen mértékben fenntartható környezeti szempontból.</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Minden kitettséget csak egyszer lehet figyelembe venni, és csak egy környezetvédelmi célkitűzéshez lehet hozzárendelni. Amennyiben valamely kitettség egynél több környezetvédelmi célkitűzés szempontjából releváns, azt a legrelevánsabb célkitűzéshez kell hozzárendelni.</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speciális hitelezési kitettség az (EU) 575/2013 rendelet 147. cikkének (8) bekezdésében említett speciális hitelezési kitettség.</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Az intézményeknek az (EU) 2020/852 rendelet 9. cikkének b) pontjával és 11. cikkével összhangban az éghajlatváltozáshoz való alkalmazkodás célkitűzése alá tartozó, környezeti szempontból fenntartható kitettségeket kell </w:t>
            </w:r>
            <w:r>
              <w:rPr>
                <w:rFonts w:ascii="Times New Roman" w:hAnsi="Times New Roman"/>
                <w:sz w:val="24"/>
              </w:rPr>
              <w:lastRenderedPageBreak/>
              <w:t>feltüntetniük.</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a partnertől származó információk felhasználásával kell feltüntetniük, hogy a kitettség milyen mértékben fenntartható környezeti szempontból.</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Azon hitelek esetében, amelyek felhasználása ismert, a speciális hitelezés esetében az intézményeknek fel kell tüntetniük, hogy a kitettség milyen mértékben minősül környezeti szempontból fenntarthatónak annak alapján, hogy az adott projekt milyen mértékben és arányban járul hozzá lényegesen az éghajlatváltozáshoz való alkalmazkodáshoz az (EU) 2020/852 rendelet 11. cikkével összhangban (projektspecifikus információ), vagy a 16. cikkel összhangban támogató tevékenységként, megfelelve az említett rendelet 3. cikkében meghatározott kritériumoknak. Az intézményeknek átlátható tájékoztatást kell nyújtaniuk a speciális hitelezéssel finanszírozott gazdasági tevékenységek típusairól. Amennyiben valamely kitettség egynél több környezetvédelmi célkitűzés szempontjából releváns, azt a legrelevánsabb célkitűzéshez kell hozzárendelni.</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alkalmazkodás</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(EU) 2020/852 rendelet 11. cikke. Azok a tevékenységek tartoznak ide, amelyek nem támogató tevékenységek.</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(EU) 2020/852 rendelet 16. cikke.</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a taxonómia szempontjából releváns ágazatok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e tábla b) és g) oszlopának összegét kell megadniuk.</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e tábla c) és h) oszlopának összegét kell megadniuk.</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 2021/451/EU végrehajtási rendelet V. melléklete 1. részében meghatározott bruttó könyv szerinti értéket kell feltüntetniük.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speciális hitelezési kitettség az (EU) 575/2013 rendelet 147. cikkének (8) bekezdésében említett speciális hitelezési kitettség.</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e tábla d) és i) oszlopának összegét kell megadniuk.</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átállás/alkalmazkodás</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10. és 11. cikke.</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e tábla e) és j) oszlopának összegét kell megadniuk.</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e tábla f) és k) oszlopának összegét kell megadniuk.</w:t>
            </w:r>
          </w:p>
        </w:tc>
      </w:tr>
    </w:tbl>
    <w:p w14:paraId="4B432C06" w14:textId="77777777" w:rsidR="00183989" w:rsidRPr="00587327"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Sor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Útmutató</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 számlálóban és nevezőben egyaránt figyelembe vett eszközök</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figyelembe vehető kitettségek azok a kitettségek, amelyek az (EU) 2020/852 rendelet 8. cikke szerinti közzétételi követelmények hatálya alá tartozó partnerekkel és eszközosztályokkal kapcsolatosak.</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 GAR számításához figyelembe vehető hitelek és előlegek, nem kereskedési céllal tartott hitelviszonyt megtestesítő értékpapírok és tulajdoni részesedést megtestesítő eszközök</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banki könyvbe sorolt hiteleket és előlegeket és a banki könyvbe sorolt, nem kereskedési céllal és nem értékesítésre tartott hitelviszonyt megtestesítő értékpapírokat és tulajdoni részesedést megtestesítő eszközöket kell feltüntetniük, az (EU) 2021/451 végrehajtási rendelet V. mellékletében meghatározottak szerint.</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Pénzügyi vállalatok</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1. része 42. pontjának c) és d) alpontjában említett kitettségeket kell feltüntetniük.</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Hitelintézetek</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az (EU) 2021/451 végrehajtási rendelet V. melléklete 1. része 42. pontjának c) alpontjában említett kitettségeket kell feltüntetniük.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Hitelek és előlegek</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1. részének 32. pontjában meghatározott hiteleket és előlegeket kell feltüntetniük.</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Hitelviszonyt megtestesítő értékpapírok</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 2021/451/EU végrehajtási rendelet V. melléklete 1. részének 31. pontjában meghatározott hitelviszonyt megtestesítő értékpapírokat kell feltüntetniük.</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Tulajdoni részesedést megtestesítő instrumentumok</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 2021/451/EU végrehajtási rendelet V. mellékletében meghatározott tulajdoni részesedést megtestesítő instrumentumokat kell feltüntetniük. A banki könyvben szereplő tulajdoni részesedést megtestesítő instrumentumok magukban foglalják a társult vállalkozásokban, közös vállalkozásokban és leányvállalatokban lévő olyan befektetéseket, amelyek nincsenek teljes mértékben vagy arányosan konszolidálva.</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Egyéb pénzügyi vállalatok</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az (EU) 2021/451 végrehajtási rendelet V. melléklete 1. része 42. pontjának d) alpontjában említett egyéb pénzügyi vállalatokkal szembeni kitettségeket kell feltüntetniük.</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befektetési vállalkozások</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575/2013/EU rendelet 4. cikke (1) bekezdésének 2. pontjában meghatározott befektetési vállalkozásokkal szembeni kitettségeket kell feltüntetniük.</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vagyonkezelő társaságok</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Az intézményeknek az 575/2013/EU rendelet 4. cikke (1) bekezdésének 19. pontjában meghatározott vagyonkezelő társaságokkal szembeni kitettségeket kell feltüntetniük.</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biztosítók</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575/2013/EU rendelet 4. cikke (1) bekezdésének 5. pontjában meghatározott biztosítókkal szembeni kitettségeket kell feltüntetniük.</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Az NFRD szerinti közzétételi kötelezettségek hatálya alá tartozó nem pénzügyi vállalatok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az (EU) 2021/451 végrehajtási rendelet V. melléklete 1. része 42. pontjának e) alpontjában említett azon nem pénzügyi vállalatokkal szembeni kitettségeket kell feltüntetniük, amelyek a 2014/95/EU irányelv (a nem pénzügyi információk közzétételéről szóló irányelv, NFRD) szerinti közzétételi kötelezettségek hatálya alá tartoznak.</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kereskedelmi ingatlanhoz kapcsolódó hitelek</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2. része 173. pontjának a) alpontjában és 239ix. pontjában említett kitettségeket kell feltüntetniük.</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Háztartások</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1. része 42. pontjának f) alpontjában meghatározott hiteleket és előlegeket kell feltüntetniük.</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kétoldalúan kell információkat gyűjteniük partnereiktől a hitelnyújtási folyamat, valamint a rendszeres hitelfelülvizsgálati és -ellenőrzési folyamat révén.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lakóingatlannal fedezett hitelek</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2. része 173. pontjának a) alpontjában meghatározott lakóingatlannak fedezett hiteleket és előlegeket kell feltüntetniük.</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E kitettségeknek az (EU) 2020/852 rendelethez való igazodását csak az éghajlatváltozás mérséklésének célkitűzésére vonatkozó egyszerűsített </w:t>
            </w:r>
            <w:r>
              <w:rPr>
                <w:rFonts w:ascii="Times New Roman" w:hAnsi="Times New Roman"/>
                <w:sz w:val="24"/>
              </w:rPr>
              <w:lastRenderedPageBreak/>
              <w:t>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épület-korszerűsítést célzó hitelek</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háztartások számára lakóhelyük korszerűsítése céljából nyújtott hiteleket kell feltüntetniük.</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E kitettségeknek az (EU) 2020/852 rendelethez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gépjárműhitelek</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2. része 173. pontja b) alpontjának ii. alpontjában említett gépjárműhiteleket, valamint a gépjárművásárlásra nyújtott egyéb hiteleket kell feltüntetniük, amelyeket az éghajlatváltozás mérséklésének célkitűzésére vonatkozó egyszerűsített megközelítést követve értékelnek a járművek finanszírozására, bérlésére és lízingjére vonatkozó, az (EU) 2021/2139 felhatalmazáson alapuló rendelet I. melléklete 6.5. szakaszának megfelelő technikai vizsgálati kritériumokkal összhangban, az alapul szolgáló jármű energiahatékonysága alapján.</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Helyi önkormányzatok finanszírozása</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Ez a sor a tábla 29. és 30. sorának összege.</w:t>
            </w:r>
          </w:p>
          <w:p w14:paraId="2D7809A8" w14:textId="77777777" w:rsidR="00183989" w:rsidRPr="0058732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Lakásfinanszírozás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köztulajdonú bérlakások beszerzésének finanszírozása céljából a helyi önkormányzatoknak nyújtott hiteleket kell feltüntetniük.</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Egyéb helyi önkormányzati finanszírozás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 köztulajdonú bérlakások beszerzésének finanszírozásától eltérő célból nyújtott, helyi önkormányzatokkal szembeni speciális hitelezési kitettségeket kell feltüntetniük.</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Birtokbavétellel megszerzett biztosítékok: lakó- és kereskedelmi ingatlanok</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végrehajtási rendelet V. melléklete 2. részének 341. pontjában meghatározott birtokbavétellel megszerzett biztosítékokat kell feltüntetniük.</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GAR-eszközök összesen</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 feltüntetett érték megegyezik a tábla 1. sorában feltüntetett értékkel.</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58732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GAR kiszámításához használt számlálóból kizárt (de a nevezőben szereplő) eszközök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Uniós nem pénzügyi vállalatok (az NFRD szerinti közzétételi kötelezettségek hatálya alá nem tartozó)</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1. része 42. pontjának e) alpontjában meghatározott azon nem pénzügyi vállalatokkal szembeni kitettségeket kell feltüntetniük, amelyek az Unióban vannak letelepedve, és nem tartoznak a 2014/95/EU irányelv szerinti közzétételi kötelezettségek hatálya alá.</w:t>
            </w:r>
          </w:p>
          <w:p w14:paraId="4E60C6B4" w14:textId="77777777" w:rsidR="00183989" w:rsidRPr="00587327"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Unión kívüli nem pénzügyi vállalatok (az NFRD szerinti közzétételi kötelezettségek hatálya alá nem tartozó)</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1. része 42. pontjának e) alpontjában meghatározott azon nem pénzügyi vállalatokkal szembeni kitettségeket kell feltüntetniük, amelyek az Unión kívül vannak letelepedve, és nem tartoznak a 2014/95/EU irányelv szerinti közzétételi kötelezettségek hatálya alá.</w:t>
            </w:r>
          </w:p>
          <w:p w14:paraId="7242C1A3" w14:textId="77777777" w:rsidR="00183989" w:rsidRPr="0058732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58732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 GAR kiszámításakor a számlálóból kizárt (de a nevezőben szereplő) eszközök</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Származtatott ügyletek</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 2021/451/EU végrehajtási rendelet V. melléklete 1. részének 10. szakaszában meghatározott, nem kereskedési céllal tartott származtatott ügyleteket kell feltüntetniük.</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Látra szóló bankközi kölcsönök</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 2021/451/EU végrehajtási rendelet V. melléklete 2. részének 3. pontjában meghatározott egyéb látra szóló betéteket kell feltüntetniük.</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Készpénz és készpénzzel kapcsolatos eszközök</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Az intézményeknek a 2021/451/EU végrehajtási rendelet V. melléklete 2. részének 1. pontjában meghatározott készpénzt kell feltüntetniük.</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Egyéb eszközök (pl. cégérték, tőzsdei áruk stb.)</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az e tábla 41., 42. és 43. sorában nem szereplő egyéb, a mérlegükben szereplő eszközöket kell feltüntetniük.</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 nevezőben (GAR) szereplő összes eszköz</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Ez a sor a tábla 32., 33., 37. és 41–44. sorának összege.</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 GAR kiszámításához használt számlálóból és a nevezőből egyaránt kizárt egyéb eszközök</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Kormányzatok</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Az intézményeknek az (EU) 2021/451 végrehajtási rendelet V. melléklete 1. része 42. pontjában említett államháztartásokkal szembeni kitettségeket kell feltüntetniük, kivéve az e tábla 29. és 30. sorában szereplő kitettségeket.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Központi bankkal szembeni kitettségek</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 központi bankokkal szembeni kitettségeket kell feltüntetniük.</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Kereskedési könyv</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intézményeknek az alkalmazandó számviteli elvekben meghatározott kereskedési céllal tartott vagy kereskedési célú pénzügyi eszközöket kell feltüntetniük.</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Számlálóból és nevezőből kizárt eszközök összesen</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Ez a sor a tábla 46., 47. és 48. sorának összege.</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Eszközök összesen</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Ez a sor a tábla 45. és 49. sorának összege.</w:t>
            </w:r>
          </w:p>
        </w:tc>
      </w:tr>
    </w:tbl>
    <w:p w14:paraId="7DD51BA0" w14:textId="77777777" w:rsidR="00183989" w:rsidRPr="00587327" w:rsidRDefault="00183989" w:rsidP="00183989">
      <w:pPr>
        <w:jc w:val="both"/>
        <w:rPr>
          <w:rFonts w:ascii="Times New Roman" w:hAnsi="Times New Roman" w:cs="Times New Roman"/>
          <w:b/>
          <w:noProof/>
          <w:sz w:val="24"/>
        </w:rPr>
      </w:pPr>
    </w:p>
    <w:p w14:paraId="7391C4C1" w14:textId="77777777" w:rsidR="00183989" w:rsidRPr="00587327"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8. tábla – </w:t>
      </w:r>
      <w:bookmarkStart w:id="14" w:name="_Hlk86261561"/>
      <w:r>
        <w:rPr>
          <w:rFonts w:ascii="Times New Roman" w:hAnsi="Times New Roman"/>
          <w:b/>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az e rendelet XXXIX. mellékletében meghatározott 8. tábla kitöltéséhez a következő útmutatót kell használniuk.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a 7. táblában közzétett adatok alapján kell kiszámítaniuk és nyilvánosságra hozniuk az (EU) 2021/2178 felhatalmazáson alapuló rendeletben említett GAR-t.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 tábla célja annak bemutatása, hogy az intézmények tevékenységei milyen mértékben minősülnek környezeti szempontból fenntarthatónak az (EU) 2020/852 rendelet 3. és 9. cikkével összhangban. Ennek alapján az érdekelt felek képet kapnak az éghajlatváltozással összefüggő átállási és fizikai kockázatok mérséklése érdekében az intézmények által hozott intézkedésekről.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Az (EU) 2021/2178 felhatalmazáson alapuló rendelet előírja az intézmények számára, hogy kétszer becsüljék meg és tegyék közzé a GAR-t: egyszer az általános hitelezés vonatkozásában a nem pénzügyi vállalat partnerrel szembeni azon kitettségek alapján, amelyek a taxonómiához igazodó árbevételt generáló tevékenységeket finanszíroznak, másodszor a partnerrel szembeni ugyancsak általános célú azon hitelezési kitettségek alapján, amelyek az (EU) 2020/852 rendelethez igazodó tőkekiadással (CAPEX) járó tevékenységeket finanszíroznak. Ebben a táblában az intézmények a GAR-t csak az egyik módon, az igazodást a partner árbevétele alapján számítva tüntethetik fel, és csak az általános célú hitelezés tekintetében.</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Az intézményeknek ezeket az információkat 2023. december 31-i első vonatkozási időponttal kell nyilvánosságra hozniuk, összhangban az (EU) 2021/2178 felhatalmazáson alapuló rendeletben a GAR tekintetében megjelölt első nyilvánosságra hozatali vonatkozási időponttal.</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Útmutató</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eszközök aránya</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2020/852 rendeletben említett tevékenységeket finanszírozó eszközök állományának (azaz a figyelembe vehető eszközöknek) a lefedett eszközök teljes állományához viszonyított arányát kell feltüntetniük. A tételt százalékban kell kifejezni.</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b) oszlopához tartozó útmutatóban említett, az éghajlatváltozás-mérséklési célkitűzés tekintetében a taxonómia szempontjából releváns, az (EU) 2020/852 rendeletben említett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eszközök bruttó könyv szerinti értéke.</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környezeti szempontból fenntartható tevékenységeket finanszírozó eszközállománynak (az igazodó eszközöknek) a figyelembe vehető eszközök állományán belüli arányát kell feltüntetniük. A tételt százalékban kell kifejezni.</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c) oszlopához tartozó útmutatóban említett, az éghajlatváltozás-mérséklési célkitűzés tekintetében környezeti szempontból fenntartható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eszközök bruttó könyv szerinti értéke.</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kitettségek bruttó könyv szerinti értéke, a 7. tábla a) oszlopához tartozó útmutatóban meghatározottak szerint.</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d) oszlopához tartozó útmutatóban említett eszközök bruttó könyv szerinti értéke.</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Az (EU) 2020/852 rendelet 10. cikke.</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az átállási tevékenységekhez kapcsolódó eszközállománynak a környezeti szempontból fenntartható tevékenységeket finanszírozó eszközállományon belüli arányát kell feltüntetniük. A tételt százalékban kell kifejezni.</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e) oszlopához tartozó útmutatóban említett eszközök bruttó könyv szerinti értéke.</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a támogató tevékenységekhez kapcsolódó eszközállománynak a környezeti szempontból fenntartható tevékenységeket finanszírozó eszközállományon belüli arányát kell feltüntetniük. A tételt százalékban kell kifejezni.</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f) oszlopához tartozó útmutatóban említett eszközök bruttó könyv szerinti értéke.</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eszközök aránya</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taxonómia szempontjából releváns tevékenységeket finanszírozó eszközállománynak (a figyelembe vehető eszközöknek) a lefedett eszközök teljes állományán belüli arányát kell feltüntetniük. A tételt százalékban kell kifejezni.</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g) oszlopához tartozó útmutatóban említett, az éghajlatváltozáshoz való alkalmazkodás célkitűzése tekintetében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eszközök bruttó könyv szerinti értéke.</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környezeti szempontból fenntartható tevékenységeket finanszírozó eszközállománynak (az igazodó eszközöknek) a figyelembe vehető eszközök állományán belüli arányát kell feltüntetniük. A tételt százalékban kell kifejezni.</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h) oszlopához tartozó útmutatóban említett, az éghajlatváltozáshoz való alkalmazkodás célkitűzése tekintetében környezeti szempontból fenntartható tevékenységeket finanszírozó figyelembe vehető eszközök bruttó könyv szerinti értéke.</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KPI nevezője a lefedett kitettségek bruttó könyv szerinti értéke, a 7. tábla a) oszlopához tartozó útmutatóban meghatározottak szerint.</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i) oszlopához tartozó útmutatóban említett eszközök bruttó könyv szerinti értéke.</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alkalmazkodás</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11. cikke.</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az alkalmazkodási tevékenységekhez kapcsolódó eszközállománynak a környezeti szempontból fenntartható tevékenységeket finanszírozó eszközállományon belüli arányát kell feltüntetniük. A tételt százalékban kell kifejezni.</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j) oszlopához tartozó útmutatóban említett eszközök bruttó könyv szerinti értéke.</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a támogató tevékenységekhez kapcsolódó eszközállománynak a környezeti szempontból fenntartható tevékenységeket finanszírozó eszközállományon belüli arányát kell feltüntetniük. A tételt százalékban kell kifejezni.</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k) oszlopához tartozó útmutatóban említett eszközök bruttó könyv szerinti értéke.</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eszközök aránya</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intézményeknek az éghajlatváltozás-mérséklési célkitűzés és az éghajlatváltozáshoz való alkalmazkodás célkitűzése tekintetében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eszközállománynak (a figyelembe vehető eszközöknek) a lefedett eszközök teljes állományához viszonyított arányát kell feltüntetniük.                 A tételt százalékban kell kifejezni.</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l) oszlopához tartozó útmutatóban említett,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w:t>
            </w:r>
            <w:r>
              <w:rPr>
                <w:rFonts w:ascii="Times New Roman" w:hAnsi="Times New Roman"/>
                <w:sz w:val="24"/>
              </w:rPr>
              <w:lastRenderedPageBreak/>
              <w:t>kitettségek bruttó könyv szerinti értéke.</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és az éghajlatváltozáshoz való alkalmazkodás célkitűzése tekintetében a környezeti szempontból fenntartható tevékenységeket finanszírozó eszközállománynak a figyelembe vehető eszközök állományán belüli arányát kell feltüntetniük. A tételt százalékban kell kifejezni.</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m) oszlopához tartozó útmutatóban említett, környezeti szempontból fenntartható tevékenységeket finanszírozó figyelembe vehető eszközök bruttó könyv szerinti értéke.</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kitettségek bruttó könyv szerinti értéke, a 7. tábla a) oszlopához tartozó útmutatóban meghatározottak szerint.</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és az éghajlatváltozáshoz való alkalmazkodás célkitűzése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n) oszlopához tartozó útmutatóban említett eszközök bruttó könyv szerinti értéke.</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lefedett eszközök bruttó könyv szerinti értéke, a 7. tábla a) oszlopához tartozó útmutatóban meghatározottak szerint.</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átállás/alkalmazkodás</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10. és 11. cikke.</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feltüntetendő százalékos arány a d) és az i) oszlopban megadott százalékos értékek összege.</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feltüntetendő százalékos arány az e) és a j) oszlopban megadott százalékos értékek összege.</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Az összes lefedett eszköz aránya</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GAR által lefedett összes eszköz részarányát kell feltüntetniük. A tételt százalékban kell kifejezni.</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l) oszlopához tartozó útmutatóban említett, lefedett eszközállomány bruttó könyv szerinti értéke.</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nevezője a 7. tábla 50. sorához tartozó útmutatóban említett, az intézmény mérlegében szereplő eszközök teljes állományának bruttó könyv </w:t>
            </w:r>
            <w:r>
              <w:rPr>
                <w:rFonts w:ascii="Times New Roman" w:hAnsi="Times New Roman"/>
                <w:sz w:val="24"/>
              </w:rPr>
              <w:lastRenderedPageBreak/>
              <w:t xml:space="preserve">szerinti értéke.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új eszközök aránya</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taxonómiai szempontból releváns tevékenységeket finanszírozó új (azaz az aktuális nyilvánosságra hozatali időszakban keletkezett) eszközöknek (azaz figyelembe vehető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b) oszlopának megfelelő útmutatóban említett,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új eszközök bruttó könyv szerinti értéke.</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c) oszlopához tartozó útmutatóban említett figyelembe vehető új eszközök bruttó könyv szerinti értéke.</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d) oszlopához tartozó útmutatóban említett figyelembe vehető új eszközök bruttó könyv szerinti értéke.</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10. cikke.</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az átállási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e) oszlopához tartozó útmutatóban említett figyelembe vehető új eszközök bruttó könyv szerinti értéke.</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KPI nevezője a 7. tábla a) oszlopához tartozó útmutatóban említett eszközökből az új lefedett eszközök bruttó könyv szerinti értéke.</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éghajlatváltozás-mérséklési célkitűzés tekintetében a támogató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f) oszlopához tartozó útmutatóban említett figyelembe vehető új eszközök bruttó könyv szerinti értéke.</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KPI nevezője a 7. tábla a) oszlopához tartozó útmutatóban említett eszközökből az új lefedett eszközök bruttó könyv szerinti értéke.</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új eszközök aránya</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az (EU) 2020/852 rendelet által lefedett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g) oszlopának megfelelő útmutatóban említett,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új eszközök bruttó könyv szerinti értéke.</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w:t>
            </w:r>
            <w:r>
              <w:rPr>
                <w:rFonts w:ascii="Times New Roman" w:hAnsi="Times New Roman"/>
                <w:sz w:val="24"/>
              </w:rPr>
              <w:lastRenderedPageBreak/>
              <w:t>eszközökből az új lefedett eszközök bruttó könyv szerinti értéke.</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h) oszlopához tartozó útmutatóban említett figyelembe vehető új eszközök bruttó könyv szerinti értéke.</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i) oszlopához tartozó útmutatóban említett figyelembe vehető új eszközök bruttó könyv szerinti értéke.</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alkalmazkodás</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11. cikke.</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az átállási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j) oszlopához tartozó útmutatóban említett figyelembe vehető új eszközök bruttó könyv szerinti értéke.</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éghajlatváltozáshoz való alkalmazkodás célkitűzése tekintetében a támogató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k) oszlopához tartozó útmutatóban említett figyelembe vehető új eszközök bruttó könyv szerinti értéke.</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aa</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taxonómia szempontjából releváns </w:t>
            </w:r>
            <w:proofErr w:type="spellStart"/>
            <w:r>
              <w:rPr>
                <w:rFonts w:ascii="Times New Roman" w:hAnsi="Times New Roman"/>
                <w:b/>
                <w:sz w:val="24"/>
                <w:u w:val="single"/>
              </w:rPr>
              <w:t>ágazatokat</w:t>
            </w:r>
            <w:proofErr w:type="spellEnd"/>
            <w:r>
              <w:rPr>
                <w:rFonts w:ascii="Times New Roman" w:hAnsi="Times New Roman"/>
                <w:b/>
                <w:sz w:val="24"/>
                <w:u w:val="single"/>
              </w:rPr>
              <w:t xml:space="preserve"> finanszírozó új eszközök aránya</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 mérséklése és az éghajlatváltozáshoz való alkalmazkodás célkitűzése tekintetében az (EU) 2020/852 rendeletben meghatározott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l) oszlopának megfelelő útmutatóban említett, a taxonómia szempontjából releváns </w:t>
            </w:r>
            <w:proofErr w:type="spellStart"/>
            <w:r>
              <w:rPr>
                <w:rFonts w:ascii="Times New Roman" w:hAnsi="Times New Roman"/>
                <w:sz w:val="24"/>
              </w:rPr>
              <w:t>ágazatokat</w:t>
            </w:r>
            <w:proofErr w:type="spellEnd"/>
            <w:r>
              <w:rPr>
                <w:rFonts w:ascii="Times New Roman" w:hAnsi="Times New Roman"/>
                <w:sz w:val="24"/>
              </w:rPr>
              <w:t xml:space="preserve"> finanszírozó figyelembe vehető új eszközök bruttó könyv szerinti értéke.</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ebből környezeti szempontból fenntartható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 mérséklése és az éghajlatváltozáshoz való alkalmazkodás célkitűzése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KPI számlálója a 7. tábla m) oszlopához tartozó útmutatóban említett </w:t>
            </w:r>
            <w:r>
              <w:rPr>
                <w:rFonts w:ascii="Times New Roman" w:hAnsi="Times New Roman"/>
                <w:sz w:val="24"/>
              </w:rPr>
              <w:lastRenderedPageBreak/>
              <w:t>figyelembe vehető új eszközök bruttó könyv szerinti értéke.</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lastRenderedPageBreak/>
              <w:t>ac</w:t>
            </w:r>
            <w:proofErr w:type="spell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speciális hitelezés</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éghajlatváltozás mérséklése és az éghajlatváltozáshoz való alkalmazkodás célkitűzése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eszközhöz viszonyított arányát kell feltüntetniük. Az új eszközöket a visszafizetések és egyéb csökkentések levonásával kell kiszámítani.</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n) oszlopához tartozó útmutatóban említett figyelembe vehető új eszközök bruttó könyv szerinti értéke.</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 KPI </w:t>
            </w:r>
            <w:proofErr w:type="gramStart"/>
            <w:r>
              <w:rPr>
                <w:rFonts w:ascii="Times New Roman" w:hAnsi="Times New Roman"/>
                <w:sz w:val="24"/>
              </w:rPr>
              <w:t>nevezője  a</w:t>
            </w:r>
            <w:proofErr w:type="gramEnd"/>
            <w:r>
              <w:rPr>
                <w:rFonts w:ascii="Times New Roman" w:hAnsi="Times New Roman"/>
                <w:sz w:val="24"/>
              </w:rPr>
              <w:t xml:space="preserve"> 7. tábla a) oszlopához tartozó útmutatóban említett eszközökből az új lefedett eszközök bruttó könyv szerinti értéke.</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átállás/alkalmazkodás</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10. és 11. cikke.</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feltüntetendő százalékos arány a t) és az y) oszlopban megadott százalékos értékek összege.</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ae</w:t>
            </w:r>
            <w:proofErr w:type="spellEnd"/>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támogató</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(EU) 2020/852 rendelet 16. cikke.</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feltüntetendő százalékos arány az u) és a z) oszlopban megadott százalékos értékek összege.</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af</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Az összes lefedett új eszköz aránya</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GAR által lefedett összes új eszköz részarányát kell feltüntetniük. Az új eszközöket a visszafizetések és egyéb csökkentések levonásával kell kiszámítani.</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tételt százalékban kell kifejezni.</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számlálója a 7. tábla 1. sorához tartozó útmutatóban említett lefedett eszközök bruttó könyv szerinti értékének az aktuális nyilvánosságra hozatali időszak (t) és az előző nyilvánosságra hozatali időszak (t–1) közötti különbsége.</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KPI nevezője a 7. tábla 50. sorához tartozó útmutatóban említett eszközök teljes állománya bruttó könyv szerinti értékének az aktuális nyilvánosságra hozatali időszak (t) és az előző nyilvánosságra hozatali időszak (t–1) közötti különbsége.</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Sor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Útmutató</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Az (EU) 2021/2178 felhatalmazáson alapuló rendeletben említett </w:t>
            </w:r>
            <w:r>
              <w:rPr>
                <w:rFonts w:ascii="Times New Roman" w:hAnsi="Times New Roman"/>
                <w:b/>
                <w:sz w:val="24"/>
                <w:u w:val="single"/>
              </w:rPr>
              <w:t>GAR</w:t>
            </w:r>
            <w:r>
              <w:rPr>
                <w:rFonts w:ascii="Times New Roman" w:hAnsi="Times New Roman"/>
                <w:sz w:val="24"/>
              </w:rPr>
              <w:t>.</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 GAR számításához figyelembe vehető hitelek és </w:t>
            </w:r>
            <w:proofErr w:type="gramStart"/>
            <w:r>
              <w:rPr>
                <w:rFonts w:ascii="Times New Roman" w:hAnsi="Times New Roman"/>
                <w:b/>
                <w:sz w:val="24"/>
                <w:u w:val="single"/>
              </w:rPr>
              <w:t>előlegek,  nem</w:t>
            </w:r>
            <w:proofErr w:type="gramEnd"/>
            <w:r>
              <w:rPr>
                <w:rFonts w:ascii="Times New Roman" w:hAnsi="Times New Roman"/>
                <w:b/>
                <w:sz w:val="24"/>
                <w:u w:val="single"/>
              </w:rPr>
              <w:t xml:space="preserve"> kereskedési céllal tartott hitelviszonyt megtestesítő értékpapírok és tulajdoni részesedést megtestesítő eszközök</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7. tábla 1. sorában szereplő kitettségek százalékban kifejezett GAR értéke.</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Pénzügyi vállalatok</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 sorában szereplő kitettségek százalékban kifejezett GAR értéke.</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Hitelintézetek</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3. sorában szereplő kitettségek százalékban kifejezett GAR értéke.</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Egyéb pénzügyi vállalatok</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7. sorában szereplő kitettségek százalékban kifejezett GAR értéke.</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befektetési vállalkozások</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8. sorában szereplő kitettségek százalékban kifejezett GAR értéke.</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vagyonkezelő társaságok</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12. sorában szereplő kitettségek százalékban kifejezett GAR értéke.</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biztosítók</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16. sorában szereplő kitettségek százalékban kifejezett GAR értéke.</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Az NFRD szerinti közzétételi kötelezettségek hatálya alá tartozó nem pénzügyi vállalatok</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7. tábla 20. sorában szereplő kitettségek százalékban kifejezett GAR értéke.</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Háztartások</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24. sorában szereplő kitettségek százalékban kifejezett GAR értéke.</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lakóingatlannal fedezett hitelek</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25. sorában szereplő kitettségek százalékban kifejezett GAR értéke.</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épület-korszerűsítést célzó hitelek</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26. sorában szereplő kitettségek százalékban kifejezett GAR értéke.</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gépjárműhitelek</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27. sorában szereplő kitettségek százalékban kifejezett GAR értéke.</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Helyi önkormányzatok finanszírozása</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28. sorában szereplő kitettségek százalékban kifejezett GAR értéke.</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Lakásfinanszírozás</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A 7. tábla 29. sorában szereplő kitettségek százalékban kifejezett GAR értéke.</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Egyéb helyi önkormányzati finanszírozás</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30. sorában szereplő kitettségek százalékban kifejezett GAR értéke.</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Birtokbavétellel megszerzett biztosítékok: lakó- és kereskedelmi ingatlanok</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7. tábla 31. sorában szereplő kitettségek százalékban kifejezett GAR értéke.</w:t>
            </w:r>
          </w:p>
        </w:tc>
      </w:tr>
    </w:tbl>
    <w:p w14:paraId="3F596C29" w14:textId="77777777" w:rsidR="00183989" w:rsidRPr="00587327"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9. tábla – Mérséklő intézkedések: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Az (EU) 2021/2178 végrehajtási rendelet 9. cikke előírja, hogy a Bizottság 2024. június 30-ig felülvizsgálja az említett rendelet alkalmazását. A Bizottság különösen azt értékeli, hogy szükség van-e további módosításokra a következők figyelembevétele tekintetében:</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a központi kormányokkal és a központi bankokkal szembeni kitettségek a pénzügyi vállalkozások kulcsfontosságú teljesítménymutatóinak számlálójában és nevezőjében;</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az olyan vállalkozásokkal szembeni kitettségek a pénzügyi vállalkozások kulcsfontosságú teljesítménymutatóinak számlálójában, amelyek nem tesznek közzé a 2013/34/EU irányelv 19a. cikke és 29a. cikke szerinti nem pénzügyi kimutatást.</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 ebben a táblában észszerű erőfeszítés alapján, a már rendelkezésre álló és a partnereiktől önkéntesen és kétoldalúan gyűjtött információkra vagy becsléseken nyugvó számításokra támaszkodva feltüntethetik a 2013/34/EU irányelvben meghatározott közzétételi kötelezettségek hatálya alá nem tartozó uniós és nem uniós nem pénzügyi vállalatokkal szembeni kitettségekre vonatkozóan azokat a részletes információkat, amelyek az éghajlatváltozás mérséklésével és az éghajlatváltozáshoz való alkalmazkodással kapcsolatos, az (EU) 2020/852 rendelet 9. cikkének a) és b) pontjában említett környezetvédelmi célkitűzések tekintetében az említett rendeletnek megfelelően a taxonómiához való </w:t>
      </w:r>
      <w:proofErr w:type="spellStart"/>
      <w:r>
        <w:rPr>
          <w:rFonts w:ascii="Times New Roman" w:hAnsi="Times New Roman"/>
          <w:sz w:val="24"/>
        </w:rPr>
        <w:t>igazíthatóságra</w:t>
      </w:r>
      <w:proofErr w:type="spellEnd"/>
      <w:r>
        <w:rPr>
          <w:rFonts w:ascii="Times New Roman" w:hAnsi="Times New Roman"/>
          <w:sz w:val="24"/>
        </w:rPr>
        <w:t xml:space="preserve"> és a taxonómiához való igazodásra vonatkoznak. Hasonlóan a GAR-hoz, ezek az információk csak az egyik módon, az általános célú hitelezésre vonatkozó árbevétel-alapú taxonómiai igazodás tekintetében tüntethetők fel.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E tábla első nyilvánosságra hozatali vonatkozási időpontja 2024. december 31. Az intézmények 2025. január 1-je előtt nem kötelesek nyilvánosságra hozni ezeket az információkat.</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9.1. tábla – Mérséklő intézkedések: A BTAR kiszámításához figyelembe vett eszközök</w:t>
      </w:r>
    </w:p>
    <w:p w14:paraId="0B7C6AF5" w14:textId="77777777" w:rsidR="00183989" w:rsidRPr="00587327"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 ebben a táblában a BTAR kiszámítása szempontjából releváns eszközök bruttó könyv szerinti értékét tüntethetik fel. Ez a tábla csak azon partnerek esetében alkalmazandó, amelyekre nem vonatkoznak közzétételi kötelezettségek.</w:t>
      </w:r>
    </w:p>
    <w:p w14:paraId="48AB863E" w14:textId="77777777" w:rsidR="00183989" w:rsidRPr="00587327"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GAR-ESZKÖZÖK ÖSSZESEN</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A 7. tábla 32. sorában feltüntetett érték.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Uniós nem pénzügyi vállalatok (az NFRD szerinti közzétételi </w:t>
            </w:r>
            <w:r>
              <w:rPr>
                <w:rFonts w:ascii="Times New Roman" w:hAnsi="Times New Roman"/>
                <w:b/>
                <w:sz w:val="24"/>
                <w:u w:val="single"/>
              </w:rPr>
              <w:lastRenderedPageBreak/>
              <w:t>kötelezettségek hatálya alá nem tartozó)</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az (EU) 2021/451 végrehajtási rendelet V. melléklete 1. része 42. pontjának e) alpontjában meghatározott azon nem pénzügyi vállalatokkal szembeni kitettségeket kell feltüntetniük, amelyek az Unióban vannak letelepedve, és nem tartoznak a 2013/34/EU irányelv szerinti közzétételi kötelezettségek hatálya alá.</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Amennyiben a partner nem tartozik az (EU) 2020/852 rendelet 8. cikke szerinti közzétételi kötelezettségek hatálya alá, az (EU) 2020/852 rendeletben említett taxonómiához igazodó kitettségek százalékos arányának kiszámítása céljából az intézmények észszerű erőfeszítés alapján önkéntes és kétoldalú alapon információkat gyűjthetnek partnereiktől a hitelnyújtás, valamint a rendszeres hitelfelülvizsgálati és </w:t>
            </w:r>
            <w:proofErr w:type="spellStart"/>
            <w:r>
              <w:rPr>
                <w:rFonts w:ascii="Times New Roman" w:hAnsi="Times New Roman"/>
                <w:sz w:val="24"/>
              </w:rPr>
              <w:t>nyomonkövetési</w:t>
            </w:r>
            <w:proofErr w:type="spellEnd"/>
            <w:r>
              <w:rPr>
                <w:rFonts w:ascii="Times New Roman" w:hAnsi="Times New Roman"/>
                <w:sz w:val="24"/>
              </w:rPr>
              <w:t xml:space="preserve"> folyamat során. Csakis abban az esetben, ha a partner nem képes vagy nem hajlandó megadni a vonatkozó adatokat, a hitelintézeteknek belső becsléseket és helyettesítő adatokat kell használniuk, és a táblát kísérő szöveges magyarázatban ismertetniük kell e becslések típusát és alkalmazásának körét. Amennyiben az intézmények nem képesek sem önkéntes és kétoldalú alapon beszerezni, sem megbecsülni a releváns információkat, vagy ezt nem képesek észszerű, számukra vagy partnereik számára túlzott teherrel nem járó módon megtenni, ezt a tényt a táblát kísérő szöveges magyarázatban indokolniuk kell, ismertetve az okokat és az érintett partnereket.</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 2013/34/EU irányelv szerinti közzétételi kötelezettségek hatálya alá nem tartozó vállalatokat, egyebek mellett a kis- és középvállalkozásokat érintő közzétételek esetében az intézményeknek az általános célú, ismeretlen felhasználású hitelezés/finanszírozás értékelése során egyszerűsített megközelítést kell alkalmazniuk, és e kitettségek az (EU) 2020/852 rendelethez való átfogó igazodásának értékelését a partner fő gazdasági tevékenységére, azaz fő </w:t>
            </w:r>
            <w:proofErr w:type="spellStart"/>
            <w:r>
              <w:rPr>
                <w:rFonts w:ascii="Times New Roman" w:hAnsi="Times New Roman"/>
                <w:sz w:val="24"/>
              </w:rPr>
              <w:t>árbevételi</w:t>
            </w:r>
            <w:proofErr w:type="spellEnd"/>
            <w:r>
              <w:rPr>
                <w:rFonts w:ascii="Times New Roman" w:hAnsi="Times New Roman"/>
                <w:sz w:val="24"/>
              </w:rPr>
              <w:t xml:space="preserve"> forrására kell alapozniuk. Speciális hitelezés esetén az értékelésnek azon kell alapulnia, hogy az adott finanszírozott projekt milyen mértékben minősül az éghajlatváltozás mérsékléséhez vagy az éghajlatváltozáshoz való alkalmazkodáshoz lényegesen hozzájárulónak (projektspecifikus információk). </w:t>
            </w:r>
          </w:p>
          <w:p w14:paraId="2FBC7A11" w14:textId="77777777" w:rsidR="00183989" w:rsidRPr="00587327"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kereskedelmi ingatlannal fedezett hitelek</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(EU) 2021/451 végrehajtási rendelet V. melléklete 2. része 173. pontjának a) alpontjában és 239ix. pontjában említett kitettségek.</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 kitettségeknek az (EU) 2020/852 rendeletben említett taxonómiához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p w14:paraId="3BADEF70" w14:textId="77777777" w:rsidR="00183989" w:rsidRPr="0058732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ebből épület-korszerűsítést célzó hitelek</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 2014/95/EU irányelv szerinti közzétételi kötelezettség hatálya alá nem </w:t>
            </w:r>
            <w:r>
              <w:rPr>
                <w:rFonts w:ascii="Times New Roman" w:hAnsi="Times New Roman"/>
                <w:sz w:val="24"/>
              </w:rPr>
              <w:lastRenderedPageBreak/>
              <w:t>tartozó kkv-knak és egyéb nem pénzügyi vállalatoknak nyújtott, épület-korszerűsítést célzó hitelek.</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 kitettségeknek az (EU) 2020/852 rendeletben említett taxonómiához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p w14:paraId="0F3F5D7F" w14:textId="77777777" w:rsidR="00183989" w:rsidRPr="0058732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Unión kívüli nem pénzügyi vállalatok (az NFRD szerinti közzétételi kötelezettségek hatálya alá nem tartozó)</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(EU) 2021/451 végrehajtási rendelet V. melléklete 1. része 42. pontjának e) alpontjában meghatározott azon nem pénzügyi vállalatokkal szembeni kitettségek, amelyek az Unión kívül vannak letelepedve, és nem tartoznak a 2014/95/EU irányelv szerinti közzétételi kötelezettségek hatálya alá.</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Amennyiben az intézmények ezeket az információkat az (EU) 2020/852 rendelet 8. cikke szerinti közzétételeikben az (EU) 2021/2178 felhatalmazáson alapuló rendelet 7. cikkének (7) bekezdésével összhangban adják meg, itt ugyanazokat az információkat kell nyilvánosságra hozniuk. Ellenkező esetben az intézményeknek kétoldalú alapon kell információkat gyűjteniük partnereiktől a hitelnyújtás, valamint a rendszeres hitelfelülvizsgálati és </w:t>
            </w:r>
            <w:proofErr w:type="spellStart"/>
            <w:r>
              <w:rPr>
                <w:rFonts w:ascii="Times New Roman" w:hAnsi="Times New Roman"/>
                <w:sz w:val="24"/>
              </w:rPr>
              <w:t>nyomonkövetési</w:t>
            </w:r>
            <w:proofErr w:type="spellEnd"/>
            <w:r>
              <w:rPr>
                <w:rFonts w:ascii="Times New Roman" w:hAnsi="Times New Roman"/>
                <w:sz w:val="24"/>
              </w:rPr>
              <w:t xml:space="preserve"> folyamat során, vagy a következő helyettesítő adatokat kell használniuk a nem uniós kitettségekre vonatkozó információknak a legnagyobb gondosság elve alapján történő nyilvánosságra hozatalához:</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saját modelljeik és a kitettségek ezeknek megfelelő osztályozása; ebben az esetben az intézményeknek ismertetniük kell az alkalmazott modellek főbb jellemzőit;</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 xml:space="preserve">a szerződő felek nemzetközi standardokon (beleértve a TCFD-t is) alapuló közzétételei, amennyiben ezek rendelkezésre állnak; ebben az esetben az intézményeknek ismertetniük kell a rendelkezésre álló információk típusát és az alkalmazott standardokat;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egyéb, nyilvánosan hozzáférhető adatok.</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a táblát kísérő szöveges részben ismertetniük kell az adatokhoz használt forrásokat. Amennyiben az intézmények nem képesek sem kétoldalú alapon beszerezni, sem megbecsülni a releváns információkat, vagy ezt nem képesek észszerű, számukra vagy partnereik számára túlzott teherrel nem járó módon megtenni, ezt a tényt a táblát kísérő szöveges magyarázatban indokolniuk kell, ismertetve az okokat és az érintett partnereket.</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 partnertípus esetében az intézményeknek az általános célú, ismeretlen felhasználású hitelezés/finanszírozás értékelése során egyszerűsített megközelítést kell alkalmazniuk, és e kitettségek az (EU) 2020/852 rendelethez való átfogó igazodásának értékelését a partner fő gazdasági tevékenységére, azaz fő </w:t>
            </w:r>
            <w:proofErr w:type="spellStart"/>
            <w:r>
              <w:rPr>
                <w:rFonts w:ascii="Times New Roman" w:hAnsi="Times New Roman"/>
                <w:sz w:val="24"/>
              </w:rPr>
              <w:t>árbevételi</w:t>
            </w:r>
            <w:proofErr w:type="spellEnd"/>
            <w:r>
              <w:rPr>
                <w:rFonts w:ascii="Times New Roman" w:hAnsi="Times New Roman"/>
                <w:sz w:val="24"/>
              </w:rPr>
              <w:t xml:space="preserve"> forrására kell alapozniuk. Speciális hitelezés esetén az értékelésnek azon kell alapulnia, hogy a finanszírozott projekt milyen mértékben és milyen arányban minősül az éghajlatváltozás mérsékléséhez vagy </w:t>
            </w:r>
            <w:r>
              <w:rPr>
                <w:rFonts w:ascii="Times New Roman" w:hAnsi="Times New Roman"/>
                <w:sz w:val="24"/>
              </w:rPr>
              <w:lastRenderedPageBreak/>
              <w:t>az éghajlatváltozáshoz való alkalmazkodáshoz jelentős mértékben hozzájárulónak (projektspecifikus információk); az ingatlanportfólió esetében pedig az értékelést az éghajlatváltozás mérséklésére irányuló célkitűzés tekintetében kell elvégezni, a mögöttes biztosíték energiahatékonysága és annak az (EU) 2020/852 rendeletben a vonatkozó tevékenységekre meghatározott kritériumokhoz való igazodása alapján.</w:t>
            </w:r>
          </w:p>
          <w:p w14:paraId="4DEC21F9" w14:textId="77777777" w:rsidR="00183989" w:rsidRPr="0058732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BTAR-ESZKÖZÖK ÖSSZESEN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Az 1., 2. és 8. sor összege.</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13–19. sor</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Lásd a 7. tábla fogalommeghatározásait (41–50. sor).</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587327" w:rsidRDefault="00183989" w:rsidP="00183989">
      <w:pPr>
        <w:jc w:val="both"/>
        <w:rPr>
          <w:rFonts w:ascii="Times New Roman" w:hAnsi="Times New Roman" w:cs="Times New Roman"/>
          <w:b/>
          <w:noProof/>
          <w:sz w:val="24"/>
          <w:lang w:val="fr-BE"/>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9.2. tábla – BTAR (%)</w:t>
      </w:r>
    </w:p>
    <w:p w14:paraId="53FD78FD" w14:textId="77777777" w:rsidR="00183989" w:rsidRPr="00587327" w:rsidRDefault="00183989" w:rsidP="00183989">
      <w:pPr>
        <w:jc w:val="both"/>
        <w:rPr>
          <w:rFonts w:ascii="Times New Roman" w:hAnsi="Times New Roman" w:cs="Times New Roman"/>
          <w:b/>
          <w:noProof/>
          <w:sz w:val="24"/>
          <w:lang w:val="fr-BE"/>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Az intézmények ebben a táblában a 9.1. táblában feltüntetett BTAR-eszközök százalékos arányát hozhatják nyilvánosságra a BTAR nevezőjében szereplő, a 9.1. tábla 17. sorában feltüntetett teljes eszközállományhoz viszonyítva.</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9.3. tábla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Ez a tábla a BTAR fő teljesítménymutatók szerinti összefoglalóját tartalmazza az éghajlatváltozásra vonatkozó környezetvédelmi célkitűzések (ill. ezek összesen), valamint állományi és állományváltozási adatok szerinti bontásban.</w:t>
      </w:r>
    </w:p>
    <w:p w14:paraId="3FE48325" w14:textId="77777777" w:rsidR="00183989" w:rsidRPr="00587327"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10. tábla – Az éghajlatváltozás mérséklését célzó, az (EU) 2020/852 rendelet hatálya alá nem tartozó egyéb intézkedések</w:t>
      </w:r>
    </w:p>
    <w:p w14:paraId="45960278" w14:textId="77777777" w:rsidR="00183989" w:rsidRPr="00587327"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Ez a tábla az éghajlatváltozást mérséklését célzó egyéb intézkedésekre vonatkozik, és az intézmények azon kitettségeit foglalja magában, amelyek nem sorolhatók az (EU) 2020/852 rendeletben említettek szerinti taxonómiához igazodó, a 7. és 8. táblában feltüntetett kitettségek közé, mégis támogatják a partnereket az éghajlatváltozás mérséklésével és az éghajlatváltozáshoz való alkalmazkodással kapcsolatos átállási és alkalmazkodási folyamatban. E mérséklő intézkedéseknek és tevékenységeknek magukban kell foglalniuk az uniós standardoktól eltérő standardoknak megfelelően kibocsátott kötvényeket és hiteleket, beleértve a zöldkötvényeket is; az éghajlatváltozással kapcsolatos szempontokhoz kapcsolódó fenntartható kötvényeket; az éghajlatváltozással kapcsolatos szempontokhoz kapcsolódó fenntarthatósággal összefüggő kötvényeket; a zöld hiteleket; az éghajlatváltozással kapcsolatos szempontokhoz kapcsolódó fenntartható hiteleket; az éghajlatváltozással kapcsolatos szempontokhoz kapcsolódó fenntarthatósággal összefüggő hiteleket.</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Az intézményeknek az e táblát kísérő szöveges leírásban részletes magyarázatot kell adniuk az ebben a táblában megjelenített mérséklési intézkedések jellegéről és típusáról, beleértve az általuk enyhíteni kívánt kockázatok típusait, az általuk támogatott éghajlat-változási célkitűzéseket, valamint az érintett partnerekre és az intézkedések ütemezésére vonatkozó információkat. Magyarázatot kell adniuk továbbá arra, hogy ezek a kitettségek, miközben hozzájárulnak az éghajlatváltozással kapcsolatos átállási vagy fizikai kockázat </w:t>
      </w:r>
      <w:r>
        <w:rPr>
          <w:rFonts w:ascii="Times New Roman" w:hAnsi="Times New Roman"/>
          <w:sz w:val="24"/>
        </w:rPr>
        <w:lastRenderedPageBreak/>
        <w:t>mérsékléséhez, miért nem igazodnak teljes mértékben az (EU) 2020/852 rendeletben meghatározott kritériumokhoz, és az (EU) 2020/852 rendelettel összhangban miért nem fenntarthatók, továbbá fel kell tüntetniük minden egyéb olyan releváns információt, amely segíthet megérteni az intézmény kockázatkezelési keretrendszerét.</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Az intézményeknek 2022. december 31-i első nyilvánosságra hozatali vonatkozási időponttal kell megkezdeniük az e táblában szereplő információk közzétételét.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Útmutató</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 pénzügyi instrumentum típusa</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bizottsági végrehajtási rendelet V. mellékletében meghatározott, vonatkozó instrumentumtípust kell feltüntetniük.</w:t>
            </w:r>
          </w:p>
          <w:p w14:paraId="3D74D2CE" w14:textId="77777777" w:rsidR="00183989" w:rsidRPr="00587327"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Partner típusa</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bizottsági végrehajtási rendelet V. melléklete 1. részének 42. pontjában meghatározott, vonatkozó ügyfélkategóriát kell feltüntetniük.</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Bruttó könyv szerinti érték (millió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Az intézményeknek a 2021/451/EU bizottsági végrehajtási rendelet V. melléklete 1. részének 34. pontjában meghatározott bruttó könyv szerinti értéket kell feltüntetniük.</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A mérsékelt kockázat típusa (éghajlatváltozási átállási kockázat)</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az adott intézkedéssel mérsékelt átállási kockázat típusát kell feltüntetniük.</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A mérsékelt kockázat típusa (éghajlatváltozási fizikai kockázat)</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Az intézményeknek az adott intézkedéssel mérsékelt fizikai kockázat típusát kell feltüntetniük.</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A mérséklő intézkedések jellegére vonatkozó minőségi információk</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Az intézményeknek ismertetniük kell az éghajlatváltozás mérsékléséhez ((EU) 2020/852 rendelet 10. cikk) és az éghajlatváltozáshoz való alkalmazkodáshoz ((EU) 2020/852 rendelet 11. cikk) hozzájáruló mérséklő intézkedések jellegét, valamint azokat az okokat, amelyek miatt a kitettségek a GAR alkalmazásában nem minősülnek taxonómiához igazodónak.</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HL L 282., 2016.10.19., 4. o.</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r>
      <w:proofErr w:type="gramStart"/>
      <w:r>
        <w:rPr>
          <w:rFonts w:ascii="Times New Roman" w:hAnsi="Times New Roman"/>
          <w:sz w:val="20"/>
        </w:rPr>
        <w:t>COM(</w:t>
      </w:r>
      <w:proofErr w:type="gramEnd"/>
      <w:r>
        <w:rPr>
          <w:rFonts w:ascii="Times New Roman" w:hAnsi="Times New Roman"/>
          <w:sz w:val="20"/>
        </w:rPr>
        <w:t xml:space="preserve">2019) 640 </w:t>
      </w:r>
      <w:proofErr w:type="spellStart"/>
      <w:r>
        <w:rPr>
          <w:rFonts w:ascii="Times New Roman" w:hAnsi="Times New Roman"/>
          <w:sz w:val="20"/>
        </w:rPr>
        <w:t>final</w:t>
      </w:r>
      <w:proofErr w:type="spellEnd"/>
      <w:r>
        <w:rPr>
          <w:rFonts w:ascii="Times New Roman" w:hAnsi="Times New Roman"/>
          <w:sz w:val="20"/>
        </w:rPr>
        <w:t>.</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Az Európai Parlament és a Tanács 2013/34/EU irányelve (2013. június 26.) az egyes vállalkozástípusok éves pénzügyi kimutatásairól, összevont (konszolidált) éves beszámolóiról és a kapcsolódó jelentésekről, a 2006/43/EK európai parlamenti és tanácsi irányelv módosításáról, valamint a 78/660/EGK és a 83/349/EGK tanácsi irányelv hatályon kívül helyezéséről (HL L 182., 2013.6.29., 19. o.).</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 xml:space="preserve">Az Európai Parlament és a Tanács 2014/95/EU irányelve (2014. október 22.) a 2013/34/EU irányelvnek a nem pénzügyi és a sokszínűséggel kapcsolatos információknak bizonyos </w:t>
      </w:r>
      <w:r>
        <w:rPr>
          <w:rFonts w:ascii="Times New Roman" w:hAnsi="Times New Roman"/>
          <w:sz w:val="20"/>
        </w:rPr>
        <w:lastRenderedPageBreak/>
        <w:t>nagyvállalkozások és vállalatcsoportok általi közzététele tekintetében történő módosításáról (HL L 330., 2014.11.15., 1. o.).</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(HL C 209., 2019.6.20., 1. o.).</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Az éghajlattal kapcsolatos pénzügyi közzétételekkel foglalkozó munkacsoport ajánlásai,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ENSZ Környezetvédelmi Program Pénzügyi Kezdeményezés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Global </w:t>
      </w:r>
      <w:proofErr w:type="spellStart"/>
      <w:r>
        <w:rPr>
          <w:rFonts w:ascii="Times New Roman" w:hAnsi="Times New Roman"/>
          <w:sz w:val="20"/>
        </w:rPr>
        <w:t>Reporting</w:t>
      </w:r>
      <w:proofErr w:type="spellEnd"/>
      <w:r>
        <w:rPr>
          <w:rFonts w:ascii="Times New Roman" w:hAnsi="Times New Roman"/>
          <w:sz w:val="20"/>
        </w:rPr>
        <w:t xml:space="preserve"> </w:t>
      </w:r>
      <w:proofErr w:type="spellStart"/>
      <w:r>
        <w:rPr>
          <w:rFonts w:ascii="Times New Roman" w:hAnsi="Times New Roman"/>
          <w:sz w:val="20"/>
        </w:rPr>
        <w:t>Initiative</w:t>
      </w:r>
      <w:proofErr w:type="spellEnd"/>
      <w:r>
        <w:rPr>
          <w:rFonts w:ascii="Times New Roman" w:hAnsi="Times New Roman"/>
          <w:sz w:val="20"/>
        </w:rPr>
        <w:t xml:space="preserve"> </w:t>
      </w:r>
      <w:proofErr w:type="spellStart"/>
      <w:r>
        <w:rPr>
          <w:rFonts w:ascii="Times New Roman" w:hAnsi="Times New Roman"/>
          <w:sz w:val="20"/>
        </w:rPr>
        <w:t>Sustainability</w:t>
      </w:r>
      <w:proofErr w:type="spellEnd"/>
      <w:r>
        <w:rPr>
          <w:rFonts w:ascii="Times New Roman" w:hAnsi="Times New Roman"/>
          <w:sz w:val="20"/>
        </w:rPr>
        <w:t xml:space="preserve"> </w:t>
      </w:r>
      <w:proofErr w:type="spellStart"/>
      <w:r>
        <w:rPr>
          <w:rFonts w:ascii="Times New Roman" w:hAnsi="Times New Roman"/>
          <w:sz w:val="20"/>
        </w:rPr>
        <w:t>Reporting</w:t>
      </w:r>
      <w:proofErr w:type="spellEnd"/>
      <w:r>
        <w:rPr>
          <w:rFonts w:ascii="Times New Roman" w:hAnsi="Times New Roman"/>
          <w:sz w:val="20"/>
        </w:rPr>
        <w:t xml:space="preserve"> </w:t>
      </w:r>
      <w:proofErr w:type="spellStart"/>
      <w:r>
        <w:rPr>
          <w:rFonts w:ascii="Times New Roman" w:hAnsi="Times New Roman"/>
          <w:sz w:val="20"/>
        </w:rPr>
        <w:t>Standards</w:t>
      </w:r>
      <w:proofErr w:type="spellEnd"/>
      <w:r>
        <w:rPr>
          <w:rFonts w:ascii="Times New Roman" w:hAnsi="Times New Roman"/>
          <w:sz w:val="20"/>
        </w:rPr>
        <w:t xml:space="preserve"> (Fenntarthatósági beszámolásra vonatkozó standardok)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Az ENSZ Felelős Befektetési Elvei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 xml:space="preserve">Az Európai Parlament és a Tanács 2013/36/EU irányelve (2013. június 26.) a hitelintézetek tevékenységéhez való hozzáférésről és a hitelintézetek és befektetési vállalkozások </w:t>
      </w:r>
      <w:proofErr w:type="spellStart"/>
      <w:r>
        <w:rPr>
          <w:rFonts w:ascii="Times New Roman" w:hAnsi="Times New Roman"/>
          <w:sz w:val="20"/>
        </w:rPr>
        <w:t>prudenciális</w:t>
      </w:r>
      <w:proofErr w:type="spellEnd"/>
      <w:r>
        <w:rPr>
          <w:rFonts w:ascii="Times New Roman" w:hAnsi="Times New Roman"/>
          <w:sz w:val="20"/>
        </w:rPr>
        <w:t xml:space="preserve"> felügyeletéről, a 2002/87/EK irányelv módosításáról, a 2006/48/EK és a 2006/49/EK irányelv hatályon kívül helyezéséről (HL L 176., 2013.6.27., 338. o.).</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 xml:space="preserve">Az Európai Parlament és a Tanács 1893/2006/EK rendelete (2006. december 20.) a gazdasági tevékenységek statisztikai osztályozása NACE </w:t>
      </w:r>
      <w:proofErr w:type="spellStart"/>
      <w:r>
        <w:rPr>
          <w:rFonts w:ascii="Times New Roman" w:hAnsi="Times New Roman"/>
          <w:sz w:val="20"/>
        </w:rPr>
        <w:t>Rev</w:t>
      </w:r>
      <w:proofErr w:type="spellEnd"/>
      <w:r>
        <w:rPr>
          <w:rFonts w:ascii="Times New Roman" w:hAnsi="Times New Roman"/>
          <w:sz w:val="20"/>
        </w:rPr>
        <w:t>. 2. rendszerének létrehozásáról és a 3037/90/EGK tanácsi rendelet, valamint egyes meghatározott statisztikai területekre vonatkozó EK-rendeletek módosításáról (HL L 393., 2006.12.30., 1. o.).</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A Bizottság (EU) 2020/1818 felhatalmazáson alapuló rendelete (2020. július 17.) az (EU) 2016/1011 európai parlamenti és tanácsi rendeletnek az uniós éghajlatváltozási referenciamutatókra és a Párizsi Megállapodáshoz igazodó uniós referenciamutatókra vonatkozó minimumszabályok tekintetében történő kiegészítéséről (HL L 406., 2020.12.3., 17. o.).</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A Tanács 86/635/EGK irányelve (1986. december 8.) a bankok és más pénzügyi intézmények éves beszámolójáról és konszolidált éves beszámolójáról (HL L 372., 1986.12.31., 1. o.).</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Az Európai Parlament és a Tanács 2010/31/EU irányelve (2010. május 19.) az épületek energiahatékonyságáról (HL L 153., 2010.6.18., 13. o.).</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Az Európai Parlament és a Tanács 2012/27/EU irányelve (2012. október 25.) az energiahatékonyságról, a 2009/125/EK és a 2010/30/EU irányelv módosításáról, valamint a 2004/8/EK és a 2006/32/EK irányelv hatályon kívül helyezéséről (HL L 315., 2012.11.14., 1. o.).</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 xml:space="preserve">Net </w:t>
      </w:r>
      <w:proofErr w:type="spellStart"/>
      <w:r>
        <w:rPr>
          <w:rFonts w:ascii="Times New Roman" w:hAnsi="Times New Roman"/>
          <w:sz w:val="20"/>
        </w:rPr>
        <w:t>Zero</w:t>
      </w:r>
      <w:proofErr w:type="spellEnd"/>
      <w:r>
        <w:rPr>
          <w:rFonts w:ascii="Times New Roman" w:hAnsi="Times New Roman"/>
          <w:sz w:val="20"/>
        </w:rPr>
        <w:t xml:space="preserve"> </w:t>
      </w:r>
      <w:proofErr w:type="spellStart"/>
      <w:r>
        <w:rPr>
          <w:rFonts w:ascii="Times New Roman" w:hAnsi="Times New Roman"/>
          <w:sz w:val="20"/>
        </w:rPr>
        <w:t>Emissions</w:t>
      </w:r>
      <w:proofErr w:type="spellEnd"/>
      <w:r>
        <w:rPr>
          <w:rFonts w:ascii="Times New Roman" w:hAnsi="Times New Roman"/>
          <w:sz w:val="20"/>
        </w:rPr>
        <w:t xml:space="preserve"> </w:t>
      </w:r>
      <w:proofErr w:type="spellStart"/>
      <w:r>
        <w:rPr>
          <w:rFonts w:ascii="Times New Roman" w:hAnsi="Times New Roman"/>
          <w:sz w:val="20"/>
        </w:rPr>
        <w:t>by</w:t>
      </w:r>
      <w:proofErr w:type="spellEnd"/>
      <w:r>
        <w:rPr>
          <w:rFonts w:ascii="Times New Roman" w:hAnsi="Times New Roman"/>
          <w:sz w:val="20"/>
        </w:rPr>
        <w:t xml:space="preserve"> 2050 </w:t>
      </w:r>
      <w:proofErr w:type="spellStart"/>
      <w:r>
        <w:rPr>
          <w:rFonts w:ascii="Times New Roman" w:hAnsi="Times New Roman"/>
          <w:sz w:val="20"/>
        </w:rPr>
        <w:t>Scenario</w:t>
      </w:r>
      <w:proofErr w:type="spellEnd"/>
      <w:r>
        <w:rPr>
          <w:rFonts w:ascii="Times New Roman" w:hAnsi="Times New Roman"/>
          <w:sz w:val="20"/>
        </w:rPr>
        <w:t xml:space="preserve"> (NZE) – IEA (2021), World </w:t>
      </w:r>
      <w:proofErr w:type="spellStart"/>
      <w:r>
        <w:rPr>
          <w:rFonts w:ascii="Times New Roman" w:hAnsi="Times New Roman"/>
          <w:sz w:val="20"/>
        </w:rPr>
        <w:t>Energy</w:t>
      </w:r>
      <w:proofErr w:type="spellEnd"/>
      <w:r>
        <w:rPr>
          <w:rFonts w:ascii="Times New Roman" w:hAnsi="Times New Roman"/>
          <w:sz w:val="20"/>
        </w:rPr>
        <w:t xml:space="preserve"> </w:t>
      </w:r>
      <w:proofErr w:type="spellStart"/>
      <w:r>
        <w:rPr>
          <w:rFonts w:ascii="Times New Roman" w:hAnsi="Times New Roman"/>
          <w:sz w:val="20"/>
        </w:rPr>
        <w:t>Model</w:t>
      </w:r>
      <w:proofErr w:type="spellEnd"/>
      <w:r>
        <w:rPr>
          <w:rFonts w:ascii="Times New Roman" w:hAnsi="Times New Roman"/>
          <w:sz w:val="20"/>
        </w:rPr>
        <w:t xml:space="preserve">, IEA, Párizs </w:t>
      </w:r>
      <w:hyperlink r:id="rId12" w:history="1">
        <w:r>
          <w:rPr>
            <w:rStyle w:val="Hyperlink"/>
            <w:rFonts w:ascii="Times New Roman" w:hAnsi="Times New Roman"/>
            <w:sz w:val="20"/>
          </w:rPr>
          <w:t>https://www.iea.org/reports/world-energy-model</w:t>
        </w:r>
      </w:hyperlink>
      <w:r>
        <w:t>.</w:t>
      </w:r>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A 2021. évi jelentés </w:t>
      </w:r>
      <w:hyperlink r:id="rId13" w:history="1">
        <w:r>
          <w:rPr>
            <w:rStyle w:val="Hyperlink"/>
            <w:rFonts w:ascii="Times New Roman" w:hAnsi="Times New Roman"/>
            <w:sz w:val="20"/>
          </w:rPr>
          <w:t>ezen a linken</w:t>
        </w:r>
      </w:hyperlink>
      <w:r>
        <w:rPr>
          <w:rFonts w:ascii="Times New Roman" w:hAnsi="Times New Roman"/>
          <w:sz w:val="20"/>
        </w:rPr>
        <w:t xml:space="preserve"> érhető el.</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 xml:space="preserve">További példákért lásd az UNEP FI és az </w:t>
      </w:r>
      <w:proofErr w:type="spellStart"/>
      <w:r>
        <w:rPr>
          <w:rFonts w:ascii="Times New Roman" w:hAnsi="Times New Roman"/>
          <w:sz w:val="20"/>
        </w:rPr>
        <w:t>Acclimatise</w:t>
      </w:r>
      <w:proofErr w:type="spellEnd"/>
      <w:r>
        <w:rPr>
          <w:rFonts w:ascii="Times New Roman" w:hAnsi="Times New Roman"/>
          <w:sz w:val="20"/>
        </w:rPr>
        <w:t xml:space="preserve"> jelentését: „</w:t>
      </w:r>
      <w:proofErr w:type="spellStart"/>
      <w:r>
        <w:rPr>
          <w:rFonts w:ascii="Times New Roman" w:hAnsi="Times New Roman"/>
          <w:sz w:val="20"/>
        </w:rPr>
        <w:t>Charting</w:t>
      </w:r>
      <w:proofErr w:type="spellEnd"/>
      <w:r>
        <w:rPr>
          <w:rFonts w:ascii="Times New Roman" w:hAnsi="Times New Roman"/>
          <w:sz w:val="20"/>
        </w:rPr>
        <w:t xml:space="preserve"> a New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State</w:t>
      </w:r>
      <w:proofErr w:type="spellEnd"/>
      <w:r>
        <w:rPr>
          <w:rFonts w:ascii="Times New Roman" w:hAnsi="Times New Roman"/>
          <w:sz w:val="20"/>
        </w:rPr>
        <w:t>-of-</w:t>
      </w:r>
      <w:proofErr w:type="spellStart"/>
      <w:r>
        <w:rPr>
          <w:rFonts w:ascii="Times New Roman" w:hAnsi="Times New Roman"/>
          <w:sz w:val="20"/>
        </w:rPr>
        <w:t>the</w:t>
      </w:r>
      <w:proofErr w:type="spellEnd"/>
      <w:r>
        <w:rPr>
          <w:rFonts w:ascii="Times New Roman" w:hAnsi="Times New Roman"/>
          <w:sz w:val="20"/>
        </w:rPr>
        <w:t xml:space="preserve">-art </w:t>
      </w:r>
      <w:proofErr w:type="spellStart"/>
      <w:r>
        <w:rPr>
          <w:rFonts w:ascii="Times New Roman" w:hAnsi="Times New Roman"/>
          <w:sz w:val="20"/>
        </w:rPr>
        <w:t>tools</w:t>
      </w:r>
      <w:proofErr w:type="spellEnd"/>
      <w:r>
        <w:rPr>
          <w:rFonts w:ascii="Times New Roman" w:hAnsi="Times New Roman"/>
          <w:sz w:val="20"/>
        </w:rPr>
        <w:t xml:space="preserve"> and </w:t>
      </w:r>
      <w:proofErr w:type="spellStart"/>
      <w:r>
        <w:rPr>
          <w:rFonts w:ascii="Times New Roman" w:hAnsi="Times New Roman"/>
          <w:sz w:val="20"/>
        </w:rPr>
        <w:t>data</w:t>
      </w:r>
      <w:proofErr w:type="spellEnd"/>
      <w:r>
        <w:rPr>
          <w:rFonts w:ascii="Times New Roman" w:hAnsi="Times New Roman"/>
          <w:sz w:val="20"/>
        </w:rPr>
        <w:t xml:space="preserve"> </w:t>
      </w:r>
      <w:proofErr w:type="spellStart"/>
      <w:r>
        <w:rPr>
          <w:rFonts w:ascii="Times New Roman" w:hAnsi="Times New Roman"/>
          <w:sz w:val="20"/>
        </w:rPr>
        <w:t>for</w:t>
      </w:r>
      <w:proofErr w:type="spellEnd"/>
      <w:r>
        <w:rPr>
          <w:rFonts w:ascii="Times New Roman" w:hAnsi="Times New Roman"/>
          <w:sz w:val="20"/>
        </w:rPr>
        <w:t xml:space="preserve"> </w:t>
      </w:r>
      <w:proofErr w:type="spellStart"/>
      <w:r>
        <w:rPr>
          <w:rFonts w:ascii="Times New Roman" w:hAnsi="Times New Roman"/>
          <w:sz w:val="20"/>
        </w:rPr>
        <w:t>banks</w:t>
      </w:r>
      <w:proofErr w:type="spellEnd"/>
      <w:r>
        <w:rPr>
          <w:rFonts w:ascii="Times New Roman" w:hAnsi="Times New Roman"/>
          <w:sz w:val="20"/>
        </w:rPr>
        <w:t xml:space="preserve"> </w:t>
      </w:r>
      <w:proofErr w:type="spellStart"/>
      <w:r>
        <w:rPr>
          <w:rFonts w:ascii="Times New Roman" w:hAnsi="Times New Roman"/>
          <w:sz w:val="20"/>
        </w:rPr>
        <w:t>to</w:t>
      </w:r>
      <w:proofErr w:type="spellEnd"/>
      <w:r>
        <w:rPr>
          <w:rFonts w:ascii="Times New Roman" w:hAnsi="Times New Roman"/>
          <w:sz w:val="20"/>
        </w:rPr>
        <w:t xml:space="preserve"> </w:t>
      </w:r>
      <w:proofErr w:type="spellStart"/>
      <w:r>
        <w:rPr>
          <w:rFonts w:ascii="Times New Roman" w:hAnsi="Times New Roman"/>
          <w:sz w:val="20"/>
        </w:rPr>
        <w:t>assess</w:t>
      </w:r>
      <w:proofErr w:type="spellEnd"/>
      <w:r>
        <w:rPr>
          <w:rFonts w:ascii="Times New Roman" w:hAnsi="Times New Roman"/>
          <w:sz w:val="20"/>
        </w:rPr>
        <w:t xml:space="preserve"> credit </w:t>
      </w:r>
      <w:proofErr w:type="spellStart"/>
      <w:r>
        <w:rPr>
          <w:rFonts w:ascii="Times New Roman" w:hAnsi="Times New Roman"/>
          <w:sz w:val="20"/>
        </w:rPr>
        <w:t>risks</w:t>
      </w:r>
      <w:proofErr w:type="spellEnd"/>
      <w:r>
        <w:rPr>
          <w:rFonts w:ascii="Times New Roman" w:hAnsi="Times New Roman"/>
          <w:sz w:val="20"/>
        </w:rPr>
        <w:t xml:space="preserve"> and </w:t>
      </w:r>
      <w:proofErr w:type="spellStart"/>
      <w:r>
        <w:rPr>
          <w:rFonts w:ascii="Times New Roman" w:hAnsi="Times New Roman"/>
          <w:sz w:val="20"/>
        </w:rPr>
        <w:t>opportunities</w:t>
      </w:r>
      <w:proofErr w:type="spellEnd"/>
      <w:r>
        <w:rPr>
          <w:rFonts w:ascii="Times New Roman" w:hAnsi="Times New Roman"/>
          <w:sz w:val="20"/>
        </w:rPr>
        <w:t xml:space="preserve"> </w:t>
      </w:r>
      <w:proofErr w:type="spellStart"/>
      <w:r>
        <w:rPr>
          <w:rFonts w:ascii="Times New Roman" w:hAnsi="Times New Roman"/>
          <w:sz w:val="20"/>
        </w:rPr>
        <w:t>from</w:t>
      </w:r>
      <w:proofErr w:type="spellEnd"/>
      <w:r>
        <w:rPr>
          <w:rFonts w:ascii="Times New Roman" w:hAnsi="Times New Roman"/>
          <w:sz w:val="20"/>
        </w:rPr>
        <w:t xml:space="preserve"> </w:t>
      </w:r>
      <w:proofErr w:type="spellStart"/>
      <w:r>
        <w:rPr>
          <w:rFonts w:ascii="Times New Roman" w:hAnsi="Times New Roman"/>
          <w:sz w:val="20"/>
        </w:rPr>
        <w:t>physical</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change</w:t>
      </w:r>
      <w:proofErr w:type="spellEnd"/>
      <w:r>
        <w:rPr>
          <w:rFonts w:ascii="Times New Roman" w:hAnsi="Times New Roman"/>
          <w:sz w:val="20"/>
        </w:rPr>
        <w:t xml:space="preserve"> </w:t>
      </w:r>
      <w:proofErr w:type="spellStart"/>
      <w:r>
        <w:rPr>
          <w:rFonts w:ascii="Times New Roman" w:hAnsi="Times New Roman"/>
          <w:sz w:val="20"/>
        </w:rPr>
        <w:t>impacts</w:t>
      </w:r>
      <w:proofErr w:type="spellEnd"/>
      <w:r>
        <w:rPr>
          <w:rFonts w:ascii="Times New Roman" w:hAnsi="Times New Roman"/>
          <w:sz w:val="20"/>
        </w:rPr>
        <w:t xml:space="preserve">” (Új éghajlat felé – Korszerű eszközök és adatok a bankok számára az éghajlatváltozás fizikai hatásaiból eredő hitelkockázatok és lehetőségek értékeléséhez), 2020. szeptember. </w:t>
      </w:r>
      <w:hyperlink r:id="rId14" w:history="1">
        <w:r>
          <w:rPr>
            <w:rStyle w:val="Hyperlink"/>
            <w:rFonts w:ascii="Times New Roman" w:hAnsi="Times New Roman"/>
            <w:sz w:val="20"/>
          </w:rPr>
          <w:t>https://www.unepfi.org/publications/banking-publications/charting-a-new-climate/</w:t>
        </w:r>
      </w:hyperlink>
      <w:r>
        <w:t xml:space="preserve"> </w:t>
      </w:r>
      <w:r>
        <w:rPr>
          <w:rFonts w:ascii="Times New Roman" w:hAnsi="Times New Roman"/>
          <w:sz w:val="20"/>
        </w:rPr>
        <w:t>A jelentés részletes információkat tartalmaz a lefedett időszakokról, a jövőbeli forgatókönyvek alkalmazásáról, a területi bontásról és lefedettségről, az egyes adatkészletekből származó kimenetek formátumáról, valamint az engedélyezésről és a költségekről (a legtöbb portál és adatbázis ingyenesen hozzáférhető). A jelentés továbbá részletesen ismerteti a fizikai kockázatok értékelésének és mérésének különböző technikáit, például a hőtérképezést, a korrelációs elemzést, a célirányos eszközöket és analitikákat.</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A Bizottság (EU) 2021/2178 felhatalmazáson alapuló rendelete (2021. július 6.) az (EU) 2020/852 európai parlamenti és tanácsi rendeletnek a 2013/34/EU irányelv 19a. vagy 29a. cikkének hatálya alá tartozó vállalkozások által a környezeti szempontból fenntartható gazdasági tevékenységekre vonatkozóan közzéteendő információk tartalmának és megjelenítésének meghatározása, valamint az e közzétételi kötelezettségnek való megfelelés módszertanának meghatározása révén történő kiegészítéséről (HL L 443., 2021.12.10., 9. o.).</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Pr>
          <w:rFonts w:ascii="Times New Roman" w:hAnsi="Times New Roman"/>
        </w:rPr>
        <w:t>A Bizottság (EU) 2021/2139 felhatalmazáson alapuló rendelete (2021. június 4.) az (EU) 2020/852 európai parlamenti és tanácsi rendeletnek az éghajlatváltozás mérsékléséhez és az éghajlatváltozáshoz való alkalmazkodáshoz lényegesen hozzájáruló és az egyéb környezeti célkitűzéseket jelentősen nem sértő gazdasági tevékenységekkel szemben támasztott követelmények meghatározásához szükséges technikai vizsgálati kritériumok megállapítása érdekében történő kiegészítéséről (HL L 442., 2021.12.9., 1. o.).”</w:t>
      </w:r>
    </w:p>
    <w:p w14:paraId="6FD0C4F3" w14:textId="77777777" w:rsidR="00E240EE" w:rsidRPr="00587327" w:rsidRDefault="00E240EE"/>
    <w:sectPr w:rsidR="00E240EE" w:rsidRPr="00587327"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B53F" w14:textId="77777777" w:rsidR="009B0A3A" w:rsidRDefault="009B0A3A">
      <w:r>
        <w:separator/>
      </w:r>
    </w:p>
  </w:endnote>
  <w:endnote w:type="continuationSeparator" w:id="0">
    <w:p w14:paraId="0E5B9124" w14:textId="77777777" w:rsidR="009B0A3A" w:rsidRDefault="009B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EA0DC" w14:textId="77777777" w:rsidR="009B0A3A" w:rsidRDefault="009B0A3A">
      <w:r>
        <w:separator/>
      </w:r>
    </w:p>
  </w:footnote>
  <w:footnote w:type="continuationSeparator" w:id="0">
    <w:p w14:paraId="0CF12FCD" w14:textId="77777777" w:rsidR="009B0A3A" w:rsidRDefault="009B0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000000">
    <w:pPr>
      <w:pStyle w:val="Header"/>
    </w:pPr>
    <w:r>
      <w:pict w14:anchorId="47C7C94C">
        <v:shapetype id="_x0000_t202" coordsize="21600,21600" o:spt="202" path="m,l,21600r21600,l21600,xe">
          <v:stroke joinstyle="miter"/>
          <v:path gradientshapeok="t" o:connecttype="rect"/>
        </v:shapetype>
        <v:shape id="Text Box 5" o:spid="_x0000_s1026" type="#_x0000_t202" alt="EBH – szokásos felhasználásra"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000000">
    <w:pPr>
      <w:pStyle w:val="Header"/>
    </w:pPr>
    <w:r>
      <w:pict w14:anchorId="260D80EA">
        <v:shapetype id="_x0000_t202" coordsize="21600,21600" o:spt="202" path="m,l,21600r21600,l21600,xe">
          <v:stroke joinstyle="miter"/>
          <v:path gradientshapeok="t" o:connecttype="rect"/>
        </v:shapetype>
        <v:shape id="Text Box 4" o:spid="_x0000_s1025" type="#_x0000_t202" alt="EBH – szokásos felhasználásra"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4DC035AC"/>
    <w:lvl w:ilvl="0" w:tplc="AAC6F3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B7A4BD06"/>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225431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ind w:left="1210" w:hanging="360"/>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A060BC"/>
    <w:multiLevelType w:val="hybridMultilevel"/>
    <w:tmpl w:val="4CD891EE"/>
    <w:lvl w:ilvl="0" w:tplc="18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3"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DB0F51"/>
    <w:multiLevelType w:val="hybridMultilevel"/>
    <w:tmpl w:val="DAD6C22C"/>
    <w:lvl w:ilvl="0" w:tplc="1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6970718"/>
    <w:multiLevelType w:val="multilevel"/>
    <w:tmpl w:val="ABDA7C6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right"/>
      <w:pPr>
        <w:ind w:left="1777" w:hanging="360"/>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1" w15:restartNumberingAfterBreak="0">
    <w:nsid w:val="69274F18"/>
    <w:multiLevelType w:val="hybridMultilevel"/>
    <w:tmpl w:val="B024EF64"/>
    <w:lvl w:ilvl="0" w:tplc="FFFFFFFF">
      <w:start w:val="1"/>
      <w:numFmt w:val="decimal"/>
      <w:lvlText w:val="%1."/>
      <w:lvlJc w:val="left"/>
      <w:pPr>
        <w:ind w:left="720" w:hanging="360"/>
      </w:pPr>
      <w:rPr>
        <w:rFonts w:ascii="Times New Roman" w:hAnsi="Times New Roman" w:cs="Times New Roman" w:hint="default"/>
        <w:i w:val="0"/>
        <w:lang w:val="en-GB"/>
      </w:rPr>
    </w:lvl>
    <w:lvl w:ilvl="1" w:tplc="1809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4"/>
  </w:num>
  <w:num w:numId="2" w16cid:durableId="1140222831">
    <w:abstractNumId w:val="3"/>
  </w:num>
  <w:num w:numId="3" w16cid:durableId="1519077129">
    <w:abstractNumId w:val="15"/>
  </w:num>
  <w:num w:numId="4" w16cid:durableId="1922253643">
    <w:abstractNumId w:val="20"/>
  </w:num>
  <w:num w:numId="5" w16cid:durableId="1749764247">
    <w:abstractNumId w:val="34"/>
  </w:num>
  <w:num w:numId="6" w16cid:durableId="527643500">
    <w:abstractNumId w:val="1"/>
  </w:num>
  <w:num w:numId="7" w16cid:durableId="1759323646">
    <w:abstractNumId w:val="33"/>
  </w:num>
  <w:num w:numId="8" w16cid:durableId="1186865733">
    <w:abstractNumId w:val="25"/>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2"/>
  </w:num>
  <w:num w:numId="19" w16cid:durableId="1096242832">
    <w:abstractNumId w:val="27"/>
  </w:num>
  <w:num w:numId="20" w16cid:durableId="627275699">
    <w:abstractNumId w:val="7"/>
  </w:num>
  <w:num w:numId="21" w16cid:durableId="1356737541">
    <w:abstractNumId w:val="6"/>
  </w:num>
  <w:num w:numId="22" w16cid:durableId="137302266">
    <w:abstractNumId w:val="21"/>
  </w:num>
  <w:num w:numId="23" w16cid:durableId="85731779">
    <w:abstractNumId w:val="4"/>
  </w:num>
  <w:num w:numId="24" w16cid:durableId="1446726511">
    <w:abstractNumId w:val="9"/>
  </w:num>
  <w:num w:numId="25" w16cid:durableId="630672935">
    <w:abstractNumId w:val="23"/>
  </w:num>
  <w:num w:numId="26" w16cid:durableId="56171913">
    <w:abstractNumId w:val="18"/>
  </w:num>
  <w:num w:numId="27" w16cid:durableId="895973435">
    <w:abstractNumId w:val="10"/>
  </w:num>
  <w:num w:numId="28" w16cid:durableId="1210335587">
    <w:abstractNumId w:val="32"/>
  </w:num>
  <w:num w:numId="29" w16cid:durableId="873467813">
    <w:abstractNumId w:val="16"/>
  </w:num>
  <w:num w:numId="30" w16cid:durableId="445121452">
    <w:abstractNumId w:val="12"/>
  </w:num>
  <w:num w:numId="31" w16cid:durableId="101192687">
    <w:abstractNumId w:val="8"/>
  </w:num>
  <w:num w:numId="32" w16cid:durableId="1491943476">
    <w:abstractNumId w:val="30"/>
  </w:num>
  <w:num w:numId="33" w16cid:durableId="1328436282">
    <w:abstractNumId w:val="29"/>
  </w:num>
  <w:num w:numId="34" w16cid:durableId="1242718258">
    <w:abstractNumId w:val="19"/>
  </w:num>
  <w:num w:numId="35" w16cid:durableId="536504399">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86CBA"/>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87327"/>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0A3A"/>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E1107"/>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026E"/>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hu-HU"/>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hu-HU"/>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hu-HU"/>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hu-HU"/>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hu-HU"/>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hu-HU"/>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hu-HU"/>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hu-HU"/>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hu-HU"/>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hu-HU"/>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hu-HU"/>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hu-HU"/>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hu-HU"/>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hu-HU"/>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hu-HU"/>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hu-HU"/>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hu-HU"/>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hu-HU"/>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hu-HU"/>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hu-HU"/>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hu-HU"/>
    </w:rPr>
  </w:style>
  <w:style w:type="character" w:styleId="EndnoteReference">
    <w:name w:val="endnote reference"/>
    <w:basedOn w:val="DefaultParagraphFont"/>
    <w:uiPriority w:val="99"/>
    <w:semiHidden/>
    <w:unhideWhenUsed/>
    <w:rsid w:val="00183989"/>
    <w:rPr>
      <w:vertAlign w:val="superscript"/>
    </w:rPr>
  </w:style>
  <w:style w:type="character" w:styleId="PlaceholderText">
    <w:name w:val="Placeholder Text"/>
    <w:basedOn w:val="DefaultParagraphFont"/>
    <w:uiPriority w:val="99"/>
    <w:semiHidden/>
    <w:rsid w:val="0058732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E74761-8BF4-4C8C-95F1-D36F808A5BB8}"/>
</file>

<file path=customXml/itemProps2.xml><?xml version="1.0" encoding="utf-8"?>
<ds:datastoreItem xmlns:ds="http://schemas.openxmlformats.org/officeDocument/2006/customXml" ds:itemID="{32C01313-952D-42B5-856A-FC87BDE20E78}"/>
</file>

<file path=customXml/itemProps3.xml><?xml version="1.0" encoding="utf-8"?>
<ds:datastoreItem xmlns:ds="http://schemas.openxmlformats.org/officeDocument/2006/customXml" ds:itemID="{F219D17A-041B-4C8C-A650-D10D511FD533}"/>
</file>

<file path=docProps/app.xml><?xml version="1.0" encoding="utf-8"?>
<Properties xmlns="http://schemas.openxmlformats.org/officeDocument/2006/extended-properties" xmlns:vt="http://schemas.openxmlformats.org/officeDocument/2006/docPropsVTypes">
  <Template>Normal.dotm</Template>
  <TotalTime>36</TotalTime>
  <Pages>51</Pages>
  <Words>20825</Words>
  <Characters>117456</Characters>
  <Application>Microsoft Office Word</Application>
  <DocSecurity>0</DocSecurity>
  <Lines>1957</Lines>
  <Paragraphs>628</Paragraphs>
  <ScaleCrop>false</ScaleCrop>
  <Company>European Commission</Company>
  <LinksUpToDate>false</LinksUpToDate>
  <CharactersWithSpaces>137653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BOROS Attila Peter (DGT)</cp:lastModifiedBy>
  <cp:revision>7</cp:revision>
  <dcterms:created xsi:type="dcterms:W3CDTF">2024-06-28T09:37:00Z</dcterms:created>
  <dcterms:modified xsi:type="dcterms:W3CDTF">2024-10-18T09:53:00Z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