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0B2EC" w14:textId="2D66888B" w:rsidR="00C04D6C" w:rsidRPr="00DE7904" w:rsidRDefault="00C04D6C" w:rsidP="00C04D6C">
      <w:pPr>
        <w:pStyle w:val="Annexetitre"/>
      </w:pPr>
      <w:r w:rsidRPr="00DE7904">
        <w:t>ALLEGATO VI – Istruzioni per l</w:t>
      </w:r>
      <w:r w:rsidR="00B96C44" w:rsidRPr="00DE7904">
        <w:t>'</w:t>
      </w:r>
      <w:r w:rsidRPr="00DE7904">
        <w:t>informativa sull</w:t>
      </w:r>
      <w:r w:rsidR="00B96C44" w:rsidRPr="00DE7904">
        <w:t>'</w:t>
      </w:r>
      <w:r w:rsidRPr="00DE7904">
        <w:t xml:space="preserve">ambito di applicazione </w:t>
      </w:r>
      <w:r w:rsidR="00B96C44" w:rsidRPr="00DE7904">
        <w:br/>
      </w:r>
      <w:r w:rsidRPr="00DE7904">
        <w:t>del quadro regolamentare</w:t>
      </w:r>
    </w:p>
    <w:p w14:paraId="4DDCFE1F" w14:textId="77777777" w:rsidR="00C04D6C" w:rsidRPr="00DE7904" w:rsidRDefault="00C04D6C" w:rsidP="00C04D6C">
      <w:pPr>
        <w:rPr>
          <w:rFonts w:ascii="Times New Roman" w:hAnsi="Times New Roman" w:cs="Times New Roman"/>
          <w:b/>
          <w:sz w:val="24"/>
        </w:rPr>
      </w:pPr>
    </w:p>
    <w:p w14:paraId="320DC4CD" w14:textId="639EF48F" w:rsidR="00C04D6C" w:rsidRPr="00DE7904" w:rsidRDefault="00C04D6C" w:rsidP="00C04D6C">
      <w:pPr>
        <w:rPr>
          <w:rFonts w:ascii="Times New Roman" w:hAnsi="Times New Roman" w:cs="Times New Roman"/>
          <w:b/>
          <w:sz w:val="24"/>
        </w:rPr>
      </w:pPr>
      <w:r w:rsidRPr="00DE7904">
        <w:rPr>
          <w:rFonts w:ascii="Times New Roman" w:hAnsi="Times New Roman"/>
          <w:b/>
          <w:sz w:val="24"/>
        </w:rPr>
        <w:t>Modello EU LI1: differenze tra l</w:t>
      </w:r>
      <w:r w:rsidR="00B96C44" w:rsidRPr="00DE7904">
        <w:rPr>
          <w:rFonts w:ascii="Times New Roman" w:hAnsi="Times New Roman"/>
          <w:b/>
          <w:sz w:val="24"/>
        </w:rPr>
        <w:t>'</w:t>
      </w:r>
      <w:r w:rsidRPr="00DE7904">
        <w:rPr>
          <w:rFonts w:ascii="Times New Roman" w:hAnsi="Times New Roman"/>
          <w:b/>
          <w:sz w:val="24"/>
        </w:rPr>
        <w:t>ambito del consolidamento contabile e quello del consolidamento prudenziale e associazione delle categorie di bilancio alle categorie di rischio regolamentari</w:t>
      </w:r>
      <w:r w:rsidRPr="00DE7904">
        <w:rPr>
          <w:rFonts w:ascii="Times New Roman" w:hAnsi="Times New Roman"/>
          <w:sz w:val="24"/>
        </w:rPr>
        <w:t xml:space="preserve"> Formato flessibile.</w:t>
      </w:r>
    </w:p>
    <w:p w14:paraId="5543C8A2" w14:textId="77777777" w:rsidR="00C04D6C" w:rsidRPr="00DE7904" w:rsidRDefault="00C04D6C" w:rsidP="00C04D6C">
      <w:pPr>
        <w:rPr>
          <w:rFonts w:ascii="Times New Roman" w:hAnsi="Times New Roman" w:cs="Times New Roman"/>
          <w:b/>
          <w:sz w:val="24"/>
        </w:rPr>
      </w:pPr>
    </w:p>
    <w:p w14:paraId="2474D8BA" w14:textId="5BB063B6" w:rsidR="00C04D6C" w:rsidRPr="00DE7904" w:rsidRDefault="00C04D6C" w:rsidP="002F74D1">
      <w:pPr>
        <w:pStyle w:val="ListParagraph"/>
        <w:numPr>
          <w:ilvl w:val="0"/>
          <w:numId w:val="1"/>
        </w:numPr>
        <w:spacing w:before="120" w:after="360"/>
        <w:ind w:left="425" w:hanging="357"/>
        <w:jc w:val="both"/>
        <w:rPr>
          <w:rFonts w:ascii="Times New Roman" w:hAnsi="Times New Roman"/>
          <w:sz w:val="24"/>
        </w:rPr>
      </w:pPr>
      <w:r w:rsidRPr="00DE7904">
        <w:rPr>
          <w:rFonts w:ascii="Times New Roman" w:hAnsi="Times New Roman"/>
          <w:sz w:val="24"/>
        </w:rPr>
        <w:t>Gli enti pubblicano le informazioni di cui all</w:t>
      </w:r>
      <w:r w:rsidR="00B96C44" w:rsidRPr="00DE7904">
        <w:rPr>
          <w:rFonts w:ascii="Times New Roman" w:hAnsi="Times New Roman"/>
          <w:sz w:val="24"/>
        </w:rPr>
        <w:t>'</w:t>
      </w:r>
      <w:r w:rsidRPr="00DE7904">
        <w:rPr>
          <w:rFonts w:ascii="Times New Roman" w:hAnsi="Times New Roman"/>
          <w:sz w:val="24"/>
        </w:rPr>
        <w:t xml:space="preserve">articolo 436, lettera c), del regolamento (UE) </w:t>
      </w:r>
      <w:r w:rsidR="002F74D1" w:rsidRPr="00DE7904">
        <w:rPr>
          <w:rFonts w:ascii="Times New Roman" w:hAnsi="Times New Roman"/>
          <w:sz w:val="24"/>
        </w:rPr>
        <w:t>n. </w:t>
      </w:r>
      <w:r w:rsidRPr="00DE7904">
        <w:rPr>
          <w:rFonts w:ascii="Times New Roman" w:hAnsi="Times New Roman"/>
          <w:sz w:val="24"/>
        </w:rPr>
        <w:t>575/2013 (</w:t>
      </w:r>
      <w:r w:rsidR="00B96C44" w:rsidRPr="00DE7904">
        <w:rPr>
          <w:rFonts w:ascii="Times New Roman" w:hAnsi="Times New Roman"/>
          <w:sz w:val="24"/>
        </w:rPr>
        <w:t>"</w:t>
      </w:r>
      <w:r w:rsidRPr="00DE7904">
        <w:rPr>
          <w:rFonts w:ascii="Times New Roman" w:hAnsi="Times New Roman"/>
          <w:sz w:val="24"/>
        </w:rPr>
        <w:t>CRR</w:t>
      </w:r>
      <w:r w:rsidR="00B96C44" w:rsidRPr="00DE7904">
        <w:rPr>
          <w:rFonts w:ascii="Times New Roman" w:hAnsi="Times New Roman"/>
          <w:sz w:val="24"/>
        </w:rPr>
        <w:t>"</w:t>
      </w:r>
      <w:r w:rsidRPr="00DE7904">
        <w:rPr>
          <w:rFonts w:ascii="Times New Roman" w:hAnsi="Times New Roman"/>
          <w:sz w:val="24"/>
        </w:rPr>
        <w:t>)</w:t>
      </w:r>
      <w:r w:rsidRPr="00DE7904">
        <w:rPr>
          <w:rStyle w:val="FootnoteReference"/>
        </w:rPr>
        <w:footnoteReference w:id="1"/>
      </w:r>
      <w:r w:rsidRPr="00DE7904">
        <w:rPr>
          <w:rFonts w:ascii="Times New Roman" w:hAnsi="Times New Roman"/>
          <w:sz w:val="24"/>
        </w:rPr>
        <w:t xml:space="preserve"> seguendo le istruzioni fornite di seguito nel presente allegato per compilare il modello EU LI1 di cui all</w:t>
      </w:r>
      <w:r w:rsidR="00B96C44" w:rsidRPr="00DE7904">
        <w:rPr>
          <w:rFonts w:ascii="Times New Roman" w:hAnsi="Times New Roman"/>
          <w:sz w:val="24"/>
        </w:rPr>
        <w:t>'</w:t>
      </w:r>
      <w:r w:rsidRPr="00DE7904">
        <w:rPr>
          <w:rFonts w:ascii="Times New Roman" w:hAnsi="Times New Roman"/>
          <w:sz w:val="24"/>
        </w:rPr>
        <w:t>allegato V delle soluzioni IT dell</w:t>
      </w:r>
      <w:r w:rsidR="00B96C44" w:rsidRPr="00DE7904">
        <w:rPr>
          <w:rFonts w:ascii="Times New Roman" w:hAnsi="Times New Roman"/>
          <w:sz w:val="24"/>
        </w:rPr>
        <w:t>'</w:t>
      </w:r>
      <w:r w:rsidRPr="00DE7904">
        <w:rPr>
          <w:rFonts w:ascii="Times New Roman" w:hAnsi="Times New Roman"/>
          <w:sz w:val="24"/>
        </w:rPr>
        <w:t>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DE7904" w14:paraId="0D9C5174"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AB244C" w14:textId="77777777" w:rsidR="00C04D6C" w:rsidRPr="00DE7904" w:rsidRDefault="00C04D6C" w:rsidP="00D819DE">
            <w:pPr>
              <w:pStyle w:val="TableTitle"/>
              <w:spacing w:before="0" w:after="0"/>
              <w:jc w:val="left"/>
              <w:rPr>
                <w:rFonts w:ascii="Times New Roman" w:hAnsi="Times New Roman"/>
                <w:noProof w:val="0"/>
                <w:sz w:val="24"/>
                <w:szCs w:val="24"/>
              </w:rPr>
            </w:pPr>
            <w:r w:rsidRPr="00DE7904">
              <w:rPr>
                <w:rFonts w:ascii="Times New Roman" w:hAnsi="Times New Roman"/>
                <w:noProof w:val="0"/>
                <w:sz w:val="24"/>
              </w:rPr>
              <w:t>Riferimenti giuridici e istruzioni</w:t>
            </w:r>
          </w:p>
        </w:tc>
      </w:tr>
      <w:tr w:rsidR="00C04D6C" w:rsidRPr="00DE7904" w14:paraId="3FA5AAD9" w14:textId="77777777" w:rsidTr="00D819DE">
        <w:trPr>
          <w:trHeight w:val="238"/>
        </w:trPr>
        <w:tc>
          <w:tcPr>
            <w:tcW w:w="1384" w:type="dxa"/>
            <w:tcBorders>
              <w:bottom w:val="single" w:sz="4" w:space="0" w:color="auto"/>
            </w:tcBorders>
            <w:shd w:val="clear" w:color="auto" w:fill="D9D9D9" w:themeFill="background1" w:themeFillShade="D9"/>
          </w:tcPr>
          <w:p w14:paraId="40ED7A73" w14:textId="02845430" w:rsidR="00C04D6C" w:rsidRPr="00DE7904" w:rsidRDefault="00C04D6C" w:rsidP="00D819DE">
            <w:pPr>
              <w:autoSpaceDE w:val="0"/>
              <w:autoSpaceDN w:val="0"/>
              <w:adjustRightInd w:val="0"/>
              <w:rPr>
                <w:rFonts w:ascii="Times New Roman" w:hAnsi="Times New Roman" w:cs="Times New Roman"/>
                <w:b/>
                <w:sz w:val="24"/>
              </w:rPr>
            </w:pPr>
            <w:r w:rsidRPr="00DE7904">
              <w:rPr>
                <w:rFonts w:ascii="Times New Roman" w:hAnsi="Times New Roman"/>
                <w:b/>
                <w:sz w:val="24"/>
              </w:rPr>
              <w:t xml:space="preserve">Numero </w:t>
            </w:r>
            <w:r w:rsidR="002F74D1" w:rsidRPr="00DE7904">
              <w:rPr>
                <w:rFonts w:ascii="Times New Roman" w:hAnsi="Times New Roman"/>
                <w:b/>
                <w:sz w:val="24"/>
              </w:rPr>
              <w:br/>
            </w:r>
            <w:r w:rsidRPr="00DE7904">
              <w:rPr>
                <w:rFonts w:ascii="Times New Roman" w:hAnsi="Times New Roman"/>
                <w:b/>
                <w:sz w:val="24"/>
              </w:rPr>
              <w:t>di riga</w:t>
            </w:r>
          </w:p>
        </w:tc>
        <w:tc>
          <w:tcPr>
            <w:tcW w:w="7655" w:type="dxa"/>
            <w:tcBorders>
              <w:bottom w:val="single" w:sz="4" w:space="0" w:color="auto"/>
            </w:tcBorders>
            <w:shd w:val="clear" w:color="auto" w:fill="D9D9D9" w:themeFill="background1" w:themeFillShade="D9"/>
          </w:tcPr>
          <w:p w14:paraId="717F672A" w14:textId="77777777" w:rsidR="00C04D6C" w:rsidRPr="00DE7904" w:rsidRDefault="00C04D6C" w:rsidP="00D819DE">
            <w:pPr>
              <w:autoSpaceDE w:val="0"/>
              <w:autoSpaceDN w:val="0"/>
              <w:adjustRightInd w:val="0"/>
              <w:rPr>
                <w:rFonts w:ascii="Times New Roman" w:hAnsi="Times New Roman" w:cs="Times New Roman"/>
                <w:color w:val="000000"/>
                <w:sz w:val="24"/>
              </w:rPr>
            </w:pPr>
            <w:r w:rsidRPr="00DE7904">
              <w:rPr>
                <w:rFonts w:ascii="Times New Roman" w:hAnsi="Times New Roman"/>
                <w:b/>
                <w:sz w:val="24"/>
              </w:rPr>
              <w:t>Spiegazione</w:t>
            </w:r>
          </w:p>
        </w:tc>
      </w:tr>
      <w:tr w:rsidR="00C04D6C" w:rsidRPr="00DE7904" w14:paraId="200E05C0"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51981295" w14:textId="77777777" w:rsidR="00C04D6C" w:rsidRPr="00DE7904" w:rsidRDefault="00C04D6C" w:rsidP="00D819DE">
            <w:pPr>
              <w:spacing w:before="60" w:after="120"/>
              <w:rPr>
                <w:rFonts w:ascii="Times New Roman" w:hAnsi="Times New Roman" w:cs="Times New Roman"/>
                <w:sz w:val="24"/>
              </w:rPr>
            </w:pPr>
            <w:r w:rsidRPr="00DE7904">
              <w:rPr>
                <w:rFonts w:ascii="Times New Roman" w:hAnsi="Times New Roman"/>
                <w:sz w:val="24"/>
              </w:rPr>
              <w:t>Da 1 a XXX</w:t>
            </w:r>
          </w:p>
        </w:tc>
        <w:tc>
          <w:tcPr>
            <w:tcW w:w="7655" w:type="dxa"/>
            <w:tcBorders>
              <w:top w:val="single" w:sz="4" w:space="0" w:color="auto"/>
              <w:bottom w:val="single" w:sz="4" w:space="0" w:color="auto"/>
            </w:tcBorders>
            <w:shd w:val="clear" w:color="auto" w:fill="FFFFFF" w:themeFill="background1"/>
            <w:vAlign w:val="center"/>
          </w:tcPr>
          <w:p w14:paraId="520DD078" w14:textId="77777777" w:rsidR="00C04D6C" w:rsidRPr="00DE7904" w:rsidRDefault="00C04D6C" w:rsidP="00D819DE">
            <w:pPr>
              <w:spacing w:before="60" w:after="120"/>
              <w:jc w:val="both"/>
              <w:rPr>
                <w:rFonts w:ascii="Times New Roman" w:eastAsia="Times New Roman" w:hAnsi="Times New Roman" w:cs="Times New Roman"/>
                <w:b/>
                <w:sz w:val="24"/>
              </w:rPr>
            </w:pPr>
            <w:r w:rsidRPr="00DE7904">
              <w:rPr>
                <w:rFonts w:ascii="Times New Roman" w:hAnsi="Times New Roman"/>
                <w:b/>
                <w:sz w:val="24"/>
              </w:rPr>
              <w:t xml:space="preserve">Totale attività </w:t>
            </w:r>
          </w:p>
          <w:p w14:paraId="77036C79" w14:textId="428F44BA" w:rsidR="00C04D6C" w:rsidRPr="00DE7904" w:rsidRDefault="00C04D6C" w:rsidP="00D819DE">
            <w:pPr>
              <w:spacing w:before="60" w:after="120"/>
              <w:jc w:val="both"/>
              <w:rPr>
                <w:rFonts w:ascii="Times New Roman" w:eastAsia="Times New Roman" w:hAnsi="Times New Roman" w:cs="Times New Roman"/>
                <w:sz w:val="24"/>
              </w:rPr>
            </w:pPr>
            <w:r w:rsidRPr="00DE7904">
              <w:rPr>
                <w:rFonts w:ascii="Times New Roman" w:hAnsi="Times New Roman"/>
                <w:sz w:val="24"/>
              </w:rPr>
              <w:t>La struttura delle righe è uguale a quella dello stato patrimoniale utilizzato nell</w:t>
            </w:r>
            <w:r w:rsidR="00B96C44" w:rsidRPr="00DE7904">
              <w:rPr>
                <w:rFonts w:ascii="Times New Roman" w:hAnsi="Times New Roman"/>
                <w:sz w:val="24"/>
              </w:rPr>
              <w:t>'</w:t>
            </w:r>
            <w:r w:rsidRPr="00DE7904">
              <w:rPr>
                <w:rFonts w:ascii="Times New Roman" w:hAnsi="Times New Roman"/>
                <w:sz w:val="24"/>
              </w:rPr>
              <w:t>ultima informativa di bilancio disponibile dell</w:t>
            </w:r>
            <w:r w:rsidR="00B96C44" w:rsidRPr="00DE7904">
              <w:rPr>
                <w:rFonts w:ascii="Times New Roman" w:hAnsi="Times New Roman"/>
                <w:sz w:val="24"/>
              </w:rPr>
              <w:t>'</w:t>
            </w:r>
            <w:r w:rsidRPr="00DE7904">
              <w:rPr>
                <w:rFonts w:ascii="Times New Roman" w:hAnsi="Times New Roman"/>
                <w:sz w:val="24"/>
              </w:rPr>
              <w:t xml:space="preserve">ente. </w:t>
            </w:r>
          </w:p>
          <w:p w14:paraId="596558D7" w14:textId="057432D2" w:rsidR="00C04D6C" w:rsidRPr="00DE7904" w:rsidRDefault="00C04D6C" w:rsidP="00D819DE">
            <w:pPr>
              <w:spacing w:after="120"/>
              <w:jc w:val="both"/>
              <w:rPr>
                <w:rFonts w:ascii="Times New Roman" w:eastAsia="Times New Roman" w:hAnsi="Times New Roman" w:cs="Times New Roman"/>
                <w:sz w:val="24"/>
              </w:rPr>
            </w:pPr>
            <w:r w:rsidRPr="00DE7904">
              <w:rPr>
                <w:rFonts w:ascii="Times New Roman" w:hAnsi="Times New Roman"/>
                <w:sz w:val="24"/>
              </w:rPr>
              <w:t>L</w:t>
            </w:r>
            <w:r w:rsidR="00B96C44" w:rsidRPr="00DE7904">
              <w:rPr>
                <w:rFonts w:ascii="Times New Roman" w:hAnsi="Times New Roman"/>
                <w:sz w:val="24"/>
              </w:rPr>
              <w:t>'</w:t>
            </w:r>
            <w:r w:rsidRPr="00DE7904">
              <w:rPr>
                <w:rFonts w:ascii="Times New Roman" w:hAnsi="Times New Roman"/>
                <w:sz w:val="24"/>
              </w:rPr>
              <w:t>espressione «informativa di bilancio» si riferisce ai bilanci d</w:t>
            </w:r>
            <w:r w:rsidR="00B96C44" w:rsidRPr="00DE7904">
              <w:rPr>
                <w:rFonts w:ascii="Times New Roman" w:hAnsi="Times New Roman"/>
                <w:sz w:val="24"/>
              </w:rPr>
              <w:t>'</w:t>
            </w:r>
            <w:r w:rsidRPr="00DE7904">
              <w:rPr>
                <w:rFonts w:ascii="Times New Roman" w:hAnsi="Times New Roman"/>
                <w:sz w:val="24"/>
              </w:rPr>
              <w:t>esercizio individuale o consolidato di cui agli articoli 4 e 24 della direttiva 2013/34/UE</w:t>
            </w:r>
            <w:r w:rsidRPr="00DE7904">
              <w:rPr>
                <w:rStyle w:val="FootnoteReference"/>
                <w:rFonts w:eastAsia="Times New Roman" w:cs="Times New Roman"/>
              </w:rPr>
              <w:footnoteReference w:id="2"/>
            </w:r>
            <w:r w:rsidRPr="00DE7904">
              <w:rPr>
                <w:rFonts w:ascii="Times New Roman" w:hAnsi="Times New Roman"/>
                <w:sz w:val="24"/>
              </w:rPr>
              <w:t xml:space="preserve"> e (quando applicabile) ai bilanci redatti ai sensi dei principi contabili internazionali omologati dall</w:t>
            </w:r>
            <w:r w:rsidR="00B96C44" w:rsidRPr="00DE7904">
              <w:rPr>
                <w:rFonts w:ascii="Times New Roman" w:hAnsi="Times New Roman"/>
                <w:sz w:val="24"/>
              </w:rPr>
              <w:t>'</w:t>
            </w:r>
            <w:r w:rsidRPr="00DE7904">
              <w:rPr>
                <w:rFonts w:ascii="Times New Roman" w:hAnsi="Times New Roman"/>
                <w:sz w:val="24"/>
              </w:rPr>
              <w:t xml:space="preserve">UE in applicazione del regolamento (CE) </w:t>
            </w:r>
            <w:r w:rsidR="002F74D1" w:rsidRPr="00DE7904">
              <w:rPr>
                <w:rFonts w:ascii="Times New Roman" w:hAnsi="Times New Roman"/>
                <w:sz w:val="24"/>
              </w:rPr>
              <w:t>n. </w:t>
            </w:r>
            <w:r w:rsidRPr="00DE7904">
              <w:rPr>
                <w:rFonts w:ascii="Times New Roman" w:hAnsi="Times New Roman"/>
                <w:sz w:val="24"/>
              </w:rPr>
              <w:t>1606/2002</w:t>
            </w:r>
            <w:r w:rsidRPr="00DE7904">
              <w:rPr>
                <w:rStyle w:val="FootnoteReference"/>
                <w:rFonts w:eastAsia="Times New Roman" w:cs="Times New Roman"/>
              </w:rPr>
              <w:footnoteReference w:id="3"/>
            </w:r>
            <w:r w:rsidRPr="00DE7904">
              <w:rPr>
                <w:rFonts w:ascii="Times New Roman" w:hAnsi="Times New Roman"/>
                <w:sz w:val="24"/>
              </w:rPr>
              <w:t>.</w:t>
            </w:r>
          </w:p>
        </w:tc>
      </w:tr>
      <w:tr w:rsidR="00C04D6C" w:rsidRPr="00DE7904" w14:paraId="37C63F49" w14:textId="77777777" w:rsidTr="00D819DE">
        <w:trPr>
          <w:trHeight w:val="818"/>
        </w:trPr>
        <w:tc>
          <w:tcPr>
            <w:tcW w:w="1384" w:type="dxa"/>
            <w:tcBorders>
              <w:top w:val="single" w:sz="4" w:space="0" w:color="auto"/>
              <w:bottom w:val="single" w:sz="4" w:space="0" w:color="auto"/>
            </w:tcBorders>
            <w:shd w:val="clear" w:color="auto" w:fill="FFFFFF" w:themeFill="background1"/>
            <w:vAlign w:val="center"/>
          </w:tcPr>
          <w:p w14:paraId="54FF61D4" w14:textId="77777777" w:rsidR="00C04D6C" w:rsidRPr="00DE7904" w:rsidRDefault="00C04D6C" w:rsidP="00D819DE">
            <w:pPr>
              <w:spacing w:before="60" w:after="120"/>
              <w:rPr>
                <w:rFonts w:ascii="Times New Roman" w:hAnsi="Times New Roman" w:cs="Times New Roman"/>
                <w:sz w:val="24"/>
              </w:rPr>
            </w:pPr>
            <w:r w:rsidRPr="00DE7904">
              <w:rPr>
                <w:rFonts w:ascii="Times New Roman" w:hAnsi="Times New Roman"/>
                <w:sz w:val="24"/>
              </w:rPr>
              <w:t>Da 1 a XXX</w:t>
            </w:r>
          </w:p>
        </w:tc>
        <w:tc>
          <w:tcPr>
            <w:tcW w:w="7655" w:type="dxa"/>
            <w:tcBorders>
              <w:top w:val="single" w:sz="4" w:space="0" w:color="auto"/>
              <w:bottom w:val="single" w:sz="4" w:space="0" w:color="auto"/>
            </w:tcBorders>
            <w:shd w:val="clear" w:color="auto" w:fill="FFFFFF" w:themeFill="background1"/>
            <w:vAlign w:val="center"/>
          </w:tcPr>
          <w:p w14:paraId="6458DC01" w14:textId="77777777" w:rsidR="00C04D6C" w:rsidRPr="00DE7904" w:rsidRDefault="00C04D6C" w:rsidP="00D819DE">
            <w:pPr>
              <w:spacing w:before="60" w:after="120"/>
              <w:jc w:val="both"/>
              <w:rPr>
                <w:rFonts w:ascii="Times New Roman" w:eastAsia="Times New Roman" w:hAnsi="Times New Roman" w:cs="Times New Roman"/>
                <w:b/>
                <w:sz w:val="24"/>
              </w:rPr>
            </w:pPr>
            <w:r w:rsidRPr="00DE7904">
              <w:rPr>
                <w:rFonts w:ascii="Times New Roman" w:hAnsi="Times New Roman"/>
                <w:b/>
                <w:sz w:val="24"/>
              </w:rPr>
              <w:t>Totale passività</w:t>
            </w:r>
          </w:p>
          <w:p w14:paraId="3FFCF1F9" w14:textId="640FA01F" w:rsidR="00C04D6C" w:rsidRPr="00DE7904" w:rsidRDefault="00C04D6C" w:rsidP="00D819DE">
            <w:pPr>
              <w:spacing w:before="60" w:after="120"/>
              <w:jc w:val="both"/>
              <w:rPr>
                <w:rFonts w:ascii="Times New Roman" w:eastAsia="Times New Roman" w:hAnsi="Times New Roman" w:cs="Times New Roman"/>
                <w:sz w:val="24"/>
              </w:rPr>
            </w:pPr>
            <w:r w:rsidRPr="00DE7904">
              <w:rPr>
                <w:rFonts w:ascii="Times New Roman" w:hAnsi="Times New Roman"/>
                <w:sz w:val="24"/>
              </w:rPr>
              <w:t>La struttura delle righe è uguale a quella dello stato patrimoniale utilizzato nell</w:t>
            </w:r>
            <w:r w:rsidR="00B96C44" w:rsidRPr="00DE7904">
              <w:rPr>
                <w:rFonts w:ascii="Times New Roman" w:hAnsi="Times New Roman"/>
                <w:sz w:val="24"/>
              </w:rPr>
              <w:t>'</w:t>
            </w:r>
            <w:r w:rsidRPr="00DE7904">
              <w:rPr>
                <w:rFonts w:ascii="Times New Roman" w:hAnsi="Times New Roman"/>
                <w:sz w:val="24"/>
              </w:rPr>
              <w:t>ultima informativa di bilancio disponibile dell</w:t>
            </w:r>
            <w:r w:rsidR="00B96C44" w:rsidRPr="00DE7904">
              <w:rPr>
                <w:rFonts w:ascii="Times New Roman" w:hAnsi="Times New Roman"/>
                <w:sz w:val="24"/>
              </w:rPr>
              <w:t>'</w:t>
            </w:r>
            <w:r w:rsidRPr="00DE7904">
              <w:rPr>
                <w:rFonts w:ascii="Times New Roman" w:hAnsi="Times New Roman"/>
                <w:sz w:val="24"/>
              </w:rPr>
              <w:t xml:space="preserve">ente. </w:t>
            </w:r>
          </w:p>
          <w:p w14:paraId="65DBAE9A" w14:textId="673BB7B1" w:rsidR="00C04D6C" w:rsidRPr="00DE7904" w:rsidRDefault="00C04D6C" w:rsidP="00D819DE">
            <w:pPr>
              <w:spacing w:after="120"/>
              <w:jc w:val="both"/>
              <w:rPr>
                <w:rFonts w:ascii="Times New Roman" w:eastAsia="Times New Roman" w:hAnsi="Times New Roman" w:cs="Times New Roman"/>
                <w:sz w:val="24"/>
              </w:rPr>
            </w:pPr>
            <w:r w:rsidRPr="00DE7904">
              <w:rPr>
                <w:rFonts w:ascii="Times New Roman" w:hAnsi="Times New Roman"/>
                <w:sz w:val="24"/>
              </w:rPr>
              <w:t>L</w:t>
            </w:r>
            <w:r w:rsidR="00B96C44" w:rsidRPr="00DE7904">
              <w:rPr>
                <w:rFonts w:ascii="Times New Roman" w:hAnsi="Times New Roman"/>
                <w:sz w:val="24"/>
              </w:rPr>
              <w:t>'</w:t>
            </w:r>
            <w:r w:rsidRPr="00DE7904">
              <w:rPr>
                <w:rFonts w:ascii="Times New Roman" w:hAnsi="Times New Roman"/>
                <w:sz w:val="24"/>
              </w:rPr>
              <w:t xml:space="preserve">espressione </w:t>
            </w:r>
            <w:r w:rsidR="00B96C44" w:rsidRPr="00DE7904">
              <w:rPr>
                <w:rFonts w:ascii="Times New Roman" w:hAnsi="Times New Roman"/>
                <w:sz w:val="24"/>
              </w:rPr>
              <w:t>"</w:t>
            </w:r>
            <w:r w:rsidRPr="00DE7904">
              <w:rPr>
                <w:rFonts w:ascii="Times New Roman" w:hAnsi="Times New Roman"/>
                <w:sz w:val="24"/>
              </w:rPr>
              <w:t>informativa di bilancio</w:t>
            </w:r>
            <w:r w:rsidR="00B96C44" w:rsidRPr="00DE7904">
              <w:rPr>
                <w:rFonts w:ascii="Times New Roman" w:hAnsi="Times New Roman"/>
                <w:sz w:val="24"/>
              </w:rPr>
              <w:t>"</w:t>
            </w:r>
            <w:r w:rsidRPr="00DE7904">
              <w:rPr>
                <w:rFonts w:ascii="Times New Roman" w:hAnsi="Times New Roman"/>
                <w:sz w:val="24"/>
              </w:rPr>
              <w:t xml:space="preserve"> si riferisce ai bilanci d</w:t>
            </w:r>
            <w:r w:rsidR="00B96C44" w:rsidRPr="00DE7904">
              <w:rPr>
                <w:rFonts w:ascii="Times New Roman" w:hAnsi="Times New Roman"/>
                <w:sz w:val="24"/>
              </w:rPr>
              <w:t>'</w:t>
            </w:r>
            <w:r w:rsidRPr="00DE7904">
              <w:rPr>
                <w:rFonts w:ascii="Times New Roman" w:hAnsi="Times New Roman"/>
                <w:sz w:val="24"/>
              </w:rPr>
              <w:t>esercizio individuale o consolidato di cui agli articoli 4 e 24 della direttiva 2013/34/UE e (quando applicabile) ai bilanci redatti ai sensi dei principi contabili internazionali omologati dall</w:t>
            </w:r>
            <w:r w:rsidR="00B96C44" w:rsidRPr="00DE7904">
              <w:rPr>
                <w:rFonts w:ascii="Times New Roman" w:hAnsi="Times New Roman"/>
                <w:sz w:val="24"/>
              </w:rPr>
              <w:t>'</w:t>
            </w:r>
            <w:r w:rsidRPr="00DE7904">
              <w:rPr>
                <w:rFonts w:ascii="Times New Roman" w:hAnsi="Times New Roman"/>
                <w:sz w:val="24"/>
              </w:rPr>
              <w:t xml:space="preserve">UE e adottati in applicazione del regolamento (CE) </w:t>
            </w:r>
            <w:r w:rsidR="002F74D1" w:rsidRPr="00DE7904">
              <w:rPr>
                <w:rFonts w:ascii="Times New Roman" w:hAnsi="Times New Roman"/>
                <w:sz w:val="24"/>
              </w:rPr>
              <w:t>n. </w:t>
            </w:r>
            <w:r w:rsidRPr="00DE7904">
              <w:rPr>
                <w:rFonts w:ascii="Times New Roman" w:hAnsi="Times New Roman"/>
                <w:sz w:val="24"/>
              </w:rPr>
              <w:t>1606/2002.</w:t>
            </w:r>
          </w:p>
        </w:tc>
      </w:tr>
    </w:tbl>
    <w:p w14:paraId="4B76983A" w14:textId="77777777" w:rsidR="00C04D6C" w:rsidRPr="00DE7904" w:rsidRDefault="00C04D6C" w:rsidP="00C04D6C">
      <w:pPr>
        <w:rPr>
          <w:rFonts w:ascii="Times New Roman" w:hAnsi="Times New Roman" w:cs="Times New Roman"/>
          <w:sz w:val="24"/>
        </w:rPr>
      </w:pPr>
    </w:p>
    <w:p w14:paraId="1FBAD891" w14:textId="77777777" w:rsidR="00C04D6C" w:rsidRPr="00DE7904" w:rsidRDefault="00C04D6C" w:rsidP="00C04D6C">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DE7904" w14:paraId="17B22538"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12F0F1" w14:textId="77777777" w:rsidR="00C04D6C" w:rsidRPr="00DE7904" w:rsidRDefault="00C04D6C" w:rsidP="002F74D1">
            <w:pPr>
              <w:pStyle w:val="TableTitle"/>
              <w:spacing w:before="0" w:after="0"/>
              <w:jc w:val="left"/>
              <w:rPr>
                <w:rFonts w:ascii="Times New Roman" w:hAnsi="Times New Roman"/>
                <w:noProof w:val="0"/>
                <w:sz w:val="24"/>
                <w:szCs w:val="24"/>
              </w:rPr>
            </w:pPr>
            <w:r w:rsidRPr="00DE7904">
              <w:rPr>
                <w:rFonts w:ascii="Times New Roman" w:hAnsi="Times New Roman"/>
                <w:noProof w:val="0"/>
                <w:sz w:val="24"/>
              </w:rPr>
              <w:lastRenderedPageBreak/>
              <w:t>Riferimenti giuridici e istruzioni</w:t>
            </w:r>
          </w:p>
        </w:tc>
      </w:tr>
      <w:tr w:rsidR="00C04D6C" w:rsidRPr="00DE7904" w14:paraId="43350AAC" w14:textId="77777777" w:rsidTr="00D819DE">
        <w:trPr>
          <w:trHeight w:val="238"/>
        </w:trPr>
        <w:tc>
          <w:tcPr>
            <w:tcW w:w="1384" w:type="dxa"/>
            <w:tcBorders>
              <w:bottom w:val="nil"/>
            </w:tcBorders>
            <w:shd w:val="clear" w:color="auto" w:fill="D9D9D9" w:themeFill="background1" w:themeFillShade="D9"/>
          </w:tcPr>
          <w:p w14:paraId="284A9CC1" w14:textId="77777777" w:rsidR="00C04D6C" w:rsidRPr="00DE7904" w:rsidRDefault="00C04D6C" w:rsidP="002F74D1">
            <w:pPr>
              <w:keepNext/>
              <w:autoSpaceDE w:val="0"/>
              <w:autoSpaceDN w:val="0"/>
              <w:adjustRightInd w:val="0"/>
              <w:ind w:right="-163"/>
              <w:rPr>
                <w:rFonts w:ascii="Times New Roman" w:hAnsi="Times New Roman" w:cs="Times New Roman"/>
                <w:b/>
                <w:sz w:val="24"/>
              </w:rPr>
            </w:pPr>
            <w:r w:rsidRPr="00DE7904">
              <w:rPr>
                <w:rFonts w:ascii="Times New Roman" w:hAnsi="Times New Roman"/>
                <w:b/>
                <w:sz w:val="24"/>
              </w:rPr>
              <w:t>Riferimento della colonna</w:t>
            </w:r>
          </w:p>
        </w:tc>
        <w:tc>
          <w:tcPr>
            <w:tcW w:w="7655" w:type="dxa"/>
            <w:tcBorders>
              <w:bottom w:val="nil"/>
            </w:tcBorders>
            <w:shd w:val="clear" w:color="auto" w:fill="D9D9D9" w:themeFill="background1" w:themeFillShade="D9"/>
          </w:tcPr>
          <w:p w14:paraId="516C4F8F" w14:textId="77777777" w:rsidR="00C04D6C" w:rsidRPr="00DE7904" w:rsidRDefault="00C04D6C" w:rsidP="002F74D1">
            <w:pPr>
              <w:keepNext/>
              <w:autoSpaceDE w:val="0"/>
              <w:autoSpaceDN w:val="0"/>
              <w:adjustRightInd w:val="0"/>
              <w:rPr>
                <w:rFonts w:ascii="Times New Roman" w:hAnsi="Times New Roman" w:cs="Times New Roman"/>
                <w:color w:val="000000"/>
                <w:sz w:val="24"/>
              </w:rPr>
            </w:pPr>
            <w:r w:rsidRPr="00DE7904">
              <w:rPr>
                <w:rFonts w:ascii="Times New Roman" w:hAnsi="Times New Roman"/>
                <w:b/>
                <w:sz w:val="24"/>
              </w:rPr>
              <w:t>Spiegazione</w:t>
            </w:r>
          </w:p>
        </w:tc>
      </w:tr>
      <w:tr w:rsidR="00C04D6C" w:rsidRPr="00DE7904" w14:paraId="7AEEADD6" w14:textId="77777777" w:rsidTr="00D819DE">
        <w:trPr>
          <w:trHeight w:val="238"/>
        </w:trPr>
        <w:tc>
          <w:tcPr>
            <w:tcW w:w="1384" w:type="dxa"/>
            <w:shd w:val="clear" w:color="auto" w:fill="FFFFFF" w:themeFill="background1"/>
          </w:tcPr>
          <w:p w14:paraId="64E74DA3" w14:textId="77777777" w:rsidR="00C04D6C" w:rsidRPr="00DE7904" w:rsidRDefault="00C04D6C" w:rsidP="00D819DE">
            <w:pPr>
              <w:autoSpaceDE w:val="0"/>
              <w:autoSpaceDN w:val="0"/>
              <w:adjustRightInd w:val="0"/>
              <w:spacing w:before="60"/>
              <w:jc w:val="center"/>
              <w:rPr>
                <w:rFonts w:ascii="Times New Roman" w:hAnsi="Times New Roman" w:cs="Times New Roman"/>
                <w:b/>
                <w:sz w:val="24"/>
              </w:rPr>
            </w:pPr>
            <w:r w:rsidRPr="00DE7904">
              <w:rPr>
                <w:rFonts w:ascii="Times New Roman" w:hAnsi="Times New Roman"/>
                <w:b/>
                <w:sz w:val="24"/>
              </w:rPr>
              <w:t>a</w:t>
            </w:r>
          </w:p>
        </w:tc>
        <w:tc>
          <w:tcPr>
            <w:tcW w:w="7655" w:type="dxa"/>
            <w:shd w:val="clear" w:color="auto" w:fill="FFFFFF" w:themeFill="background1"/>
          </w:tcPr>
          <w:p w14:paraId="189A484C" w14:textId="77777777" w:rsidR="00C04D6C" w:rsidRPr="00DE7904" w:rsidRDefault="00C04D6C" w:rsidP="00D819DE">
            <w:pPr>
              <w:spacing w:before="60" w:after="120"/>
              <w:jc w:val="both"/>
              <w:rPr>
                <w:rFonts w:ascii="Times New Roman" w:eastAsia="Times New Roman" w:hAnsi="Times New Roman" w:cs="Times New Roman"/>
                <w:b/>
                <w:sz w:val="24"/>
              </w:rPr>
            </w:pPr>
            <w:r w:rsidRPr="00DE7904">
              <w:rPr>
                <w:rFonts w:ascii="Times New Roman" w:hAnsi="Times New Roman"/>
                <w:b/>
                <w:sz w:val="24"/>
              </w:rPr>
              <w:t>Valori contabili riportati nel bilancio pubblicato</w:t>
            </w:r>
          </w:p>
          <w:p w14:paraId="71D45C87" w14:textId="1F845B37" w:rsidR="00C04D6C" w:rsidRPr="00DE7904" w:rsidRDefault="00C04D6C" w:rsidP="00D819DE">
            <w:pPr>
              <w:spacing w:before="60" w:after="120"/>
              <w:jc w:val="both"/>
              <w:rPr>
                <w:rFonts w:ascii="Times New Roman" w:hAnsi="Times New Roman" w:cs="Times New Roman"/>
                <w:sz w:val="24"/>
              </w:rPr>
            </w:pPr>
            <w:r w:rsidRPr="00DE7904">
              <w:rPr>
                <w:rFonts w:ascii="Times New Roman" w:hAnsi="Times New Roman"/>
                <w:sz w:val="24"/>
              </w:rPr>
              <w:t>Importo riportato nell</w:t>
            </w:r>
            <w:r w:rsidR="00B96C44" w:rsidRPr="00DE7904">
              <w:rPr>
                <w:rFonts w:ascii="Times New Roman" w:hAnsi="Times New Roman"/>
                <w:sz w:val="24"/>
              </w:rPr>
              <w:t>'</w:t>
            </w:r>
            <w:r w:rsidRPr="00DE7904">
              <w:rPr>
                <w:rFonts w:ascii="Times New Roman" w:hAnsi="Times New Roman"/>
                <w:sz w:val="24"/>
              </w:rPr>
              <w:t>attivo e nel passivo dello stato patrimoniale redatto conformemente ai requisiti di consolidamento di cui alla disciplina contabile applicabile, tra cui le direttive 2013/34/UE e 86/635/CEE</w:t>
            </w:r>
            <w:r w:rsidRPr="00DE7904">
              <w:rPr>
                <w:rStyle w:val="FootnoteReference"/>
                <w:rFonts w:eastAsia="Times New Roman" w:cs="Times New Roman"/>
              </w:rPr>
              <w:footnoteReference w:id="4"/>
            </w:r>
            <w:r w:rsidRPr="00DE7904">
              <w:rPr>
                <w:rFonts w:ascii="Times New Roman" w:hAnsi="Times New Roman"/>
                <w:sz w:val="24"/>
              </w:rPr>
              <w:t xml:space="preserve"> o i principi contabili internazionali omologati nell</w:t>
            </w:r>
            <w:r w:rsidR="00B96C44" w:rsidRPr="00DE7904">
              <w:rPr>
                <w:rFonts w:ascii="Times New Roman" w:hAnsi="Times New Roman"/>
                <w:sz w:val="24"/>
              </w:rPr>
              <w:t>'</w:t>
            </w:r>
            <w:r w:rsidRPr="00DE7904">
              <w:rPr>
                <w:rFonts w:ascii="Times New Roman" w:hAnsi="Times New Roman"/>
                <w:sz w:val="24"/>
              </w:rPr>
              <w:t xml:space="preserve">UE. </w:t>
            </w:r>
          </w:p>
        </w:tc>
      </w:tr>
      <w:tr w:rsidR="00C04D6C" w:rsidRPr="00DE7904" w14:paraId="080AF56A" w14:textId="77777777" w:rsidTr="00D819DE">
        <w:trPr>
          <w:trHeight w:val="238"/>
        </w:trPr>
        <w:tc>
          <w:tcPr>
            <w:tcW w:w="1384" w:type="dxa"/>
            <w:shd w:val="clear" w:color="auto" w:fill="FFFFFF" w:themeFill="background1"/>
          </w:tcPr>
          <w:p w14:paraId="318FE241" w14:textId="77777777" w:rsidR="00C04D6C" w:rsidRPr="00DE7904" w:rsidRDefault="00C04D6C" w:rsidP="00D819DE">
            <w:pPr>
              <w:autoSpaceDE w:val="0"/>
              <w:autoSpaceDN w:val="0"/>
              <w:adjustRightInd w:val="0"/>
              <w:spacing w:before="60" w:after="120"/>
              <w:jc w:val="center"/>
              <w:rPr>
                <w:rFonts w:ascii="Times New Roman" w:hAnsi="Times New Roman" w:cs="Times New Roman"/>
                <w:b/>
                <w:sz w:val="24"/>
              </w:rPr>
            </w:pPr>
            <w:r w:rsidRPr="00DE7904">
              <w:rPr>
                <w:rFonts w:ascii="Times New Roman" w:hAnsi="Times New Roman"/>
                <w:b/>
                <w:sz w:val="24"/>
              </w:rPr>
              <w:t>b</w:t>
            </w:r>
          </w:p>
        </w:tc>
        <w:tc>
          <w:tcPr>
            <w:tcW w:w="7655" w:type="dxa"/>
            <w:shd w:val="clear" w:color="auto" w:fill="FFFFFF" w:themeFill="background1"/>
          </w:tcPr>
          <w:p w14:paraId="77E7A6A9" w14:textId="6B467B65" w:rsidR="00C04D6C" w:rsidRPr="00DE7904" w:rsidRDefault="00C04D6C" w:rsidP="00D819DE">
            <w:pPr>
              <w:spacing w:before="60" w:after="120"/>
              <w:jc w:val="both"/>
              <w:rPr>
                <w:rFonts w:ascii="Times New Roman" w:eastAsia="Times New Roman" w:hAnsi="Times New Roman" w:cs="Times New Roman"/>
                <w:b/>
                <w:sz w:val="24"/>
              </w:rPr>
            </w:pPr>
            <w:r w:rsidRPr="00DE7904">
              <w:rPr>
                <w:rFonts w:ascii="Times New Roman" w:hAnsi="Times New Roman"/>
                <w:b/>
                <w:sz w:val="24"/>
              </w:rPr>
              <w:t>Valori contabili nell</w:t>
            </w:r>
            <w:r w:rsidR="00B96C44" w:rsidRPr="00DE7904">
              <w:rPr>
                <w:rFonts w:ascii="Times New Roman" w:hAnsi="Times New Roman"/>
                <w:b/>
                <w:sz w:val="24"/>
              </w:rPr>
              <w:t>'</w:t>
            </w:r>
            <w:r w:rsidRPr="00DE7904">
              <w:rPr>
                <w:rFonts w:ascii="Times New Roman" w:hAnsi="Times New Roman"/>
                <w:b/>
                <w:sz w:val="24"/>
              </w:rPr>
              <w:t xml:space="preserve">ambito del consolidamento prudenziale </w:t>
            </w:r>
          </w:p>
          <w:p w14:paraId="0CF19370" w14:textId="26463638" w:rsidR="00C04D6C" w:rsidRPr="00DE7904" w:rsidRDefault="00C04D6C" w:rsidP="00D819DE">
            <w:pPr>
              <w:jc w:val="both"/>
              <w:rPr>
                <w:rFonts w:ascii="Times New Roman" w:hAnsi="Times New Roman" w:cs="Times New Roman"/>
                <w:sz w:val="24"/>
              </w:rPr>
            </w:pPr>
            <w:r w:rsidRPr="00DE7904">
              <w:rPr>
                <w:rFonts w:ascii="Times New Roman" w:hAnsi="Times New Roman"/>
                <w:sz w:val="24"/>
              </w:rPr>
              <w:t>Importo riportato nell</w:t>
            </w:r>
            <w:r w:rsidR="00B96C44" w:rsidRPr="00DE7904">
              <w:rPr>
                <w:rFonts w:ascii="Times New Roman" w:hAnsi="Times New Roman"/>
                <w:sz w:val="24"/>
              </w:rPr>
              <w:t>'</w:t>
            </w:r>
            <w:r w:rsidRPr="00DE7904">
              <w:rPr>
                <w:rFonts w:ascii="Times New Roman" w:hAnsi="Times New Roman"/>
                <w:sz w:val="24"/>
              </w:rPr>
              <w:t>attivo e nel passivo dello stato patrimoniale redatto secondo i requisiti in materia di consolidamento prudenziale di cui alla parte uno, titolo II, sezioni 2 e 3, del CRR.</w:t>
            </w:r>
          </w:p>
          <w:p w14:paraId="2AB1F4D9" w14:textId="45CCEAF2" w:rsidR="00C04D6C" w:rsidRPr="00DE7904" w:rsidRDefault="00C04D6C" w:rsidP="00D819DE">
            <w:pPr>
              <w:spacing w:before="60" w:after="120"/>
              <w:jc w:val="both"/>
              <w:rPr>
                <w:rFonts w:ascii="Times New Roman" w:hAnsi="Times New Roman" w:cs="Times New Roman"/>
                <w:b/>
                <w:sz w:val="24"/>
              </w:rPr>
            </w:pPr>
            <w:r w:rsidRPr="00DE7904">
              <w:rPr>
                <w:rFonts w:ascii="Times New Roman" w:hAnsi="Times New Roman"/>
                <w:sz w:val="24"/>
              </w:rPr>
              <w:t>Se l</w:t>
            </w:r>
            <w:r w:rsidR="00B96C44" w:rsidRPr="00DE7904">
              <w:rPr>
                <w:rFonts w:ascii="Times New Roman" w:hAnsi="Times New Roman"/>
                <w:sz w:val="24"/>
              </w:rPr>
              <w:t>'</w:t>
            </w:r>
            <w:r w:rsidRPr="00DE7904">
              <w:rPr>
                <w:rFonts w:ascii="Times New Roman" w:hAnsi="Times New Roman"/>
                <w:sz w:val="24"/>
              </w:rPr>
              <w:t>ambito del consolidamento contabile e quello del consolidamento prudenziale sono identici, le colonne a) e b) di questo modello sono unite.</w:t>
            </w:r>
          </w:p>
        </w:tc>
      </w:tr>
      <w:tr w:rsidR="00C04D6C" w:rsidRPr="00DE7904" w14:paraId="55AFC8CE" w14:textId="77777777" w:rsidTr="00D819DE">
        <w:trPr>
          <w:trHeight w:val="238"/>
        </w:trPr>
        <w:tc>
          <w:tcPr>
            <w:tcW w:w="1384" w:type="dxa"/>
            <w:shd w:val="clear" w:color="auto" w:fill="FFFFFF" w:themeFill="background1"/>
          </w:tcPr>
          <w:p w14:paraId="2775890C" w14:textId="77777777" w:rsidR="00C04D6C" w:rsidRPr="00DE7904" w:rsidRDefault="00C04D6C" w:rsidP="00D819DE">
            <w:pPr>
              <w:autoSpaceDE w:val="0"/>
              <w:autoSpaceDN w:val="0"/>
              <w:adjustRightInd w:val="0"/>
              <w:spacing w:before="60" w:after="120"/>
              <w:jc w:val="center"/>
              <w:rPr>
                <w:rFonts w:ascii="Times New Roman" w:hAnsi="Times New Roman" w:cs="Times New Roman"/>
                <w:b/>
                <w:sz w:val="24"/>
              </w:rPr>
            </w:pPr>
            <w:r w:rsidRPr="00DE7904">
              <w:rPr>
                <w:rFonts w:ascii="Times New Roman" w:hAnsi="Times New Roman"/>
                <w:b/>
                <w:sz w:val="24"/>
              </w:rPr>
              <w:t>c</w:t>
            </w:r>
          </w:p>
        </w:tc>
        <w:tc>
          <w:tcPr>
            <w:tcW w:w="7655" w:type="dxa"/>
            <w:shd w:val="clear" w:color="auto" w:fill="FFFFFF" w:themeFill="background1"/>
          </w:tcPr>
          <w:p w14:paraId="63176B46" w14:textId="77777777" w:rsidR="00C04D6C" w:rsidRPr="00DE7904" w:rsidRDefault="00C04D6C" w:rsidP="00D819DE">
            <w:pPr>
              <w:spacing w:before="60" w:after="120"/>
              <w:jc w:val="both"/>
              <w:rPr>
                <w:rFonts w:ascii="Times New Roman" w:eastAsia="Times New Roman" w:hAnsi="Times New Roman" w:cs="Times New Roman"/>
                <w:b/>
                <w:sz w:val="24"/>
              </w:rPr>
            </w:pPr>
            <w:r w:rsidRPr="00DE7904">
              <w:rPr>
                <w:rFonts w:ascii="Times New Roman" w:hAnsi="Times New Roman"/>
                <w:b/>
                <w:sz w:val="24"/>
              </w:rPr>
              <w:t>Valori contabili degli elementi soggetti al quadro relativo al rischio di credito</w:t>
            </w:r>
          </w:p>
          <w:p w14:paraId="147B3513" w14:textId="71E6CCF0" w:rsidR="00C04D6C" w:rsidRPr="00DE7904" w:rsidRDefault="00C04D6C" w:rsidP="00D819DE">
            <w:pPr>
              <w:spacing w:before="60" w:after="120"/>
              <w:jc w:val="both"/>
              <w:rPr>
                <w:rFonts w:ascii="Times New Roman" w:hAnsi="Times New Roman" w:cs="Times New Roman"/>
                <w:b/>
                <w:sz w:val="24"/>
              </w:rPr>
            </w:pPr>
            <w:r w:rsidRPr="00DE7904">
              <w:rPr>
                <w:rFonts w:ascii="Times New Roman" w:hAnsi="Times New Roman"/>
                <w:sz w:val="24"/>
              </w:rPr>
              <w:t>Valori contabili nell</w:t>
            </w:r>
            <w:r w:rsidR="00B96C44" w:rsidRPr="00DE7904">
              <w:rPr>
                <w:rFonts w:ascii="Times New Roman" w:hAnsi="Times New Roman"/>
                <w:sz w:val="24"/>
              </w:rPr>
              <w:t>'</w:t>
            </w:r>
            <w:r w:rsidRPr="00DE7904">
              <w:rPr>
                <w:rFonts w:ascii="Times New Roman" w:hAnsi="Times New Roman"/>
                <w:sz w:val="24"/>
              </w:rPr>
              <w:t>ambito del consolidamento prudenziale degli elementi (diversi dagli elementi fuori bilancio) ai quali si applica la parte tre, titolo II, capi 2 e 3, del CRR.</w:t>
            </w:r>
          </w:p>
        </w:tc>
      </w:tr>
      <w:tr w:rsidR="00C04D6C" w:rsidRPr="00DE7904" w14:paraId="30C9B062" w14:textId="77777777" w:rsidTr="00D819DE">
        <w:trPr>
          <w:trHeight w:val="238"/>
        </w:trPr>
        <w:tc>
          <w:tcPr>
            <w:tcW w:w="1384" w:type="dxa"/>
            <w:shd w:val="clear" w:color="auto" w:fill="FFFFFF" w:themeFill="background1"/>
          </w:tcPr>
          <w:p w14:paraId="53B77BCC" w14:textId="77777777" w:rsidR="00C04D6C" w:rsidRPr="00DE7904" w:rsidRDefault="00C04D6C" w:rsidP="00D819DE">
            <w:pPr>
              <w:autoSpaceDE w:val="0"/>
              <w:autoSpaceDN w:val="0"/>
              <w:adjustRightInd w:val="0"/>
              <w:spacing w:before="60"/>
              <w:jc w:val="center"/>
              <w:rPr>
                <w:rFonts w:ascii="Times New Roman" w:hAnsi="Times New Roman" w:cs="Times New Roman"/>
                <w:b/>
                <w:sz w:val="24"/>
              </w:rPr>
            </w:pPr>
            <w:r w:rsidRPr="00DE7904">
              <w:rPr>
                <w:rFonts w:ascii="Times New Roman" w:hAnsi="Times New Roman"/>
                <w:b/>
                <w:sz w:val="24"/>
              </w:rPr>
              <w:t>d</w:t>
            </w:r>
          </w:p>
        </w:tc>
        <w:tc>
          <w:tcPr>
            <w:tcW w:w="7655" w:type="dxa"/>
            <w:shd w:val="clear" w:color="auto" w:fill="FFFFFF" w:themeFill="background1"/>
          </w:tcPr>
          <w:p w14:paraId="41152FB4" w14:textId="77777777" w:rsidR="00C04D6C" w:rsidRPr="00DE7904" w:rsidRDefault="00C04D6C" w:rsidP="00D819DE">
            <w:pPr>
              <w:spacing w:before="60" w:after="120"/>
              <w:ind w:left="34"/>
              <w:jc w:val="both"/>
              <w:rPr>
                <w:rFonts w:ascii="Times New Roman" w:eastAsia="Times New Roman" w:hAnsi="Times New Roman" w:cs="Times New Roman"/>
                <w:b/>
                <w:sz w:val="24"/>
              </w:rPr>
            </w:pPr>
            <w:r w:rsidRPr="00DE7904">
              <w:rPr>
                <w:rFonts w:ascii="Times New Roman" w:hAnsi="Times New Roman"/>
                <w:b/>
                <w:sz w:val="24"/>
              </w:rPr>
              <w:t>Valori contabili degli elementi soggetti al quadro relativo al rischio di controparte</w:t>
            </w:r>
          </w:p>
          <w:p w14:paraId="64D3EA20" w14:textId="47E02F62" w:rsidR="00C04D6C" w:rsidRPr="00DE7904" w:rsidRDefault="00C04D6C" w:rsidP="00D819DE">
            <w:pPr>
              <w:spacing w:before="60" w:after="120"/>
              <w:ind w:left="34"/>
              <w:jc w:val="both"/>
              <w:rPr>
                <w:rFonts w:ascii="Times New Roman" w:hAnsi="Times New Roman" w:cs="Times New Roman"/>
                <w:b/>
                <w:sz w:val="24"/>
              </w:rPr>
            </w:pPr>
            <w:r w:rsidRPr="00DE7904">
              <w:rPr>
                <w:rFonts w:ascii="Times New Roman" w:hAnsi="Times New Roman"/>
                <w:sz w:val="24"/>
              </w:rPr>
              <w:t>Valori contabili nell</w:t>
            </w:r>
            <w:r w:rsidR="00B96C44" w:rsidRPr="00DE7904">
              <w:rPr>
                <w:rFonts w:ascii="Times New Roman" w:hAnsi="Times New Roman"/>
                <w:sz w:val="24"/>
              </w:rPr>
              <w:t>'</w:t>
            </w:r>
            <w:r w:rsidRPr="00DE7904">
              <w:rPr>
                <w:rFonts w:ascii="Times New Roman" w:hAnsi="Times New Roman"/>
                <w:sz w:val="24"/>
              </w:rPr>
              <w:t>ambito del consolidamento prudenziale degli elementi (diversi dagli elementi fuori bilancio) ai quali si applica la parte tre, titolo II, capo 6, del CRR.</w:t>
            </w:r>
          </w:p>
        </w:tc>
      </w:tr>
      <w:tr w:rsidR="00C04D6C" w:rsidRPr="00DE7904" w14:paraId="7E7B04C2" w14:textId="77777777" w:rsidTr="00D819DE">
        <w:trPr>
          <w:trHeight w:val="238"/>
        </w:trPr>
        <w:tc>
          <w:tcPr>
            <w:tcW w:w="1384" w:type="dxa"/>
            <w:shd w:val="clear" w:color="auto" w:fill="FFFFFF" w:themeFill="background1"/>
          </w:tcPr>
          <w:p w14:paraId="44806283" w14:textId="77777777" w:rsidR="00C04D6C" w:rsidRPr="00DE7904" w:rsidRDefault="00C04D6C" w:rsidP="00D819DE">
            <w:pPr>
              <w:autoSpaceDE w:val="0"/>
              <w:autoSpaceDN w:val="0"/>
              <w:adjustRightInd w:val="0"/>
              <w:spacing w:before="60" w:after="120"/>
              <w:jc w:val="center"/>
              <w:rPr>
                <w:rFonts w:ascii="Times New Roman" w:hAnsi="Times New Roman" w:cs="Times New Roman"/>
                <w:b/>
                <w:sz w:val="24"/>
              </w:rPr>
            </w:pPr>
            <w:r w:rsidRPr="00DE7904">
              <w:rPr>
                <w:rFonts w:ascii="Times New Roman" w:hAnsi="Times New Roman"/>
                <w:b/>
                <w:sz w:val="24"/>
              </w:rPr>
              <w:t>e</w:t>
            </w:r>
          </w:p>
        </w:tc>
        <w:tc>
          <w:tcPr>
            <w:tcW w:w="7655" w:type="dxa"/>
            <w:shd w:val="clear" w:color="auto" w:fill="FFFFFF" w:themeFill="background1"/>
          </w:tcPr>
          <w:p w14:paraId="0C501D4D" w14:textId="77777777" w:rsidR="00C04D6C" w:rsidRPr="00DE7904" w:rsidRDefault="00C04D6C" w:rsidP="00D819DE">
            <w:pPr>
              <w:spacing w:before="60" w:after="120"/>
              <w:ind w:left="34"/>
              <w:jc w:val="both"/>
              <w:rPr>
                <w:rFonts w:ascii="Times New Roman" w:eastAsia="Times New Roman" w:hAnsi="Times New Roman" w:cs="Times New Roman"/>
                <w:sz w:val="24"/>
              </w:rPr>
            </w:pPr>
            <w:r w:rsidRPr="00DE7904">
              <w:rPr>
                <w:rFonts w:ascii="Times New Roman" w:hAnsi="Times New Roman"/>
                <w:b/>
                <w:sz w:val="24"/>
              </w:rPr>
              <w:t xml:space="preserve">Valori contabili degli elementi soggetti al quadro relativo alla cartolarizzazione </w:t>
            </w:r>
          </w:p>
          <w:p w14:paraId="7880C10D" w14:textId="0FB8EF5E" w:rsidR="00C04D6C" w:rsidRPr="00DE7904" w:rsidRDefault="00C04D6C" w:rsidP="00D819DE">
            <w:pPr>
              <w:spacing w:before="60" w:after="120"/>
              <w:ind w:left="34"/>
              <w:jc w:val="both"/>
              <w:rPr>
                <w:rFonts w:ascii="Times New Roman" w:eastAsia="Times New Roman" w:hAnsi="Times New Roman" w:cs="Times New Roman"/>
                <w:sz w:val="24"/>
              </w:rPr>
            </w:pPr>
            <w:r w:rsidRPr="00DE7904">
              <w:rPr>
                <w:rFonts w:ascii="Times New Roman" w:hAnsi="Times New Roman"/>
                <w:sz w:val="24"/>
              </w:rPr>
              <w:t>Valori contabili nell</w:t>
            </w:r>
            <w:r w:rsidR="00B96C44" w:rsidRPr="00DE7904">
              <w:rPr>
                <w:rFonts w:ascii="Times New Roman" w:hAnsi="Times New Roman"/>
                <w:sz w:val="24"/>
              </w:rPr>
              <w:t>'</w:t>
            </w:r>
            <w:r w:rsidRPr="00DE7904">
              <w:rPr>
                <w:rFonts w:ascii="Times New Roman" w:hAnsi="Times New Roman"/>
                <w:sz w:val="24"/>
              </w:rPr>
              <w:t>ambito del consolidamento prudenziale degli elementi (diversi dagli elementi fuori bilancio) esterni al portafoglio di negoziazione ai quali si applica la parte tre, titolo II, capo 5, del CRR.</w:t>
            </w:r>
          </w:p>
        </w:tc>
      </w:tr>
      <w:tr w:rsidR="00C04D6C" w:rsidRPr="00DE7904" w14:paraId="2B965A81" w14:textId="77777777" w:rsidTr="00D819DE">
        <w:trPr>
          <w:trHeight w:val="238"/>
        </w:trPr>
        <w:tc>
          <w:tcPr>
            <w:tcW w:w="1384" w:type="dxa"/>
            <w:shd w:val="clear" w:color="auto" w:fill="FFFFFF" w:themeFill="background1"/>
          </w:tcPr>
          <w:p w14:paraId="50727C30" w14:textId="77777777" w:rsidR="00C04D6C" w:rsidRPr="00DE7904" w:rsidRDefault="00C04D6C" w:rsidP="00D819DE">
            <w:pPr>
              <w:autoSpaceDE w:val="0"/>
              <w:autoSpaceDN w:val="0"/>
              <w:adjustRightInd w:val="0"/>
              <w:spacing w:before="60" w:after="120"/>
              <w:jc w:val="center"/>
              <w:rPr>
                <w:rFonts w:ascii="Times New Roman" w:hAnsi="Times New Roman" w:cs="Times New Roman"/>
                <w:b/>
                <w:sz w:val="24"/>
              </w:rPr>
            </w:pPr>
            <w:r w:rsidRPr="00DE7904">
              <w:rPr>
                <w:rFonts w:ascii="Times New Roman" w:hAnsi="Times New Roman"/>
                <w:b/>
                <w:sz w:val="24"/>
              </w:rPr>
              <w:t>f</w:t>
            </w:r>
          </w:p>
        </w:tc>
        <w:tc>
          <w:tcPr>
            <w:tcW w:w="7655" w:type="dxa"/>
            <w:shd w:val="clear" w:color="auto" w:fill="FFFFFF" w:themeFill="background1"/>
          </w:tcPr>
          <w:p w14:paraId="53132510" w14:textId="77777777" w:rsidR="00C04D6C" w:rsidRPr="00DE7904" w:rsidRDefault="00C04D6C" w:rsidP="00D819DE">
            <w:pPr>
              <w:spacing w:before="60" w:after="120"/>
              <w:ind w:left="34"/>
              <w:jc w:val="both"/>
              <w:rPr>
                <w:rFonts w:ascii="Times New Roman" w:eastAsia="Times New Roman" w:hAnsi="Times New Roman" w:cs="Times New Roman"/>
                <w:sz w:val="24"/>
              </w:rPr>
            </w:pPr>
            <w:r w:rsidRPr="00DE7904">
              <w:rPr>
                <w:rFonts w:ascii="Times New Roman" w:hAnsi="Times New Roman"/>
                <w:b/>
                <w:sz w:val="24"/>
              </w:rPr>
              <w:t>Valori contabili degli elementi soggetti al quadro relativo al rischio di mercato</w:t>
            </w:r>
          </w:p>
          <w:p w14:paraId="2081B8AC" w14:textId="22D78FB5" w:rsidR="00C04D6C" w:rsidRPr="00DE7904" w:rsidRDefault="00C04D6C" w:rsidP="00D819DE">
            <w:pPr>
              <w:spacing w:before="60" w:after="120"/>
              <w:ind w:left="34"/>
              <w:jc w:val="both"/>
              <w:rPr>
                <w:rFonts w:ascii="Times New Roman" w:hAnsi="Times New Roman" w:cs="Times New Roman"/>
                <w:b/>
                <w:sz w:val="24"/>
              </w:rPr>
            </w:pPr>
            <w:r w:rsidRPr="00DE7904">
              <w:rPr>
                <w:rFonts w:ascii="Times New Roman" w:hAnsi="Times New Roman"/>
                <w:sz w:val="24"/>
              </w:rPr>
              <w:t>Valori contabili nell</w:t>
            </w:r>
            <w:r w:rsidR="00B96C44" w:rsidRPr="00DE7904">
              <w:rPr>
                <w:rFonts w:ascii="Times New Roman" w:hAnsi="Times New Roman"/>
                <w:sz w:val="24"/>
              </w:rPr>
              <w:t>'</w:t>
            </w:r>
            <w:r w:rsidRPr="00DE7904">
              <w:rPr>
                <w:rFonts w:ascii="Times New Roman" w:hAnsi="Times New Roman"/>
                <w:sz w:val="24"/>
              </w:rPr>
              <w:t>ambito del consolidamento prudenziale degli elementi (diversi dagli elementi fuori bilancio) ai quali si applica la parte tre, titolo IV, del CRR. In questa colonna sono inclusi gli elementi corrispondenti alle posizioni verso la cartolarizzazione incluse nel portafoglio di negoziazione, alle quali si applicano i requisiti di cui alla parte tre, titolo IV, del CRR.</w:t>
            </w:r>
          </w:p>
        </w:tc>
      </w:tr>
      <w:tr w:rsidR="00C04D6C" w:rsidRPr="00DE7904" w14:paraId="4EA0353D" w14:textId="77777777" w:rsidTr="002F74D1">
        <w:trPr>
          <w:cantSplit/>
          <w:trHeight w:val="238"/>
        </w:trPr>
        <w:tc>
          <w:tcPr>
            <w:tcW w:w="1384" w:type="dxa"/>
            <w:shd w:val="clear" w:color="auto" w:fill="FFFFFF" w:themeFill="background1"/>
          </w:tcPr>
          <w:p w14:paraId="421ACD4C" w14:textId="77777777" w:rsidR="00C04D6C" w:rsidRPr="00DE7904" w:rsidRDefault="00C04D6C" w:rsidP="00D819DE">
            <w:pPr>
              <w:autoSpaceDE w:val="0"/>
              <w:autoSpaceDN w:val="0"/>
              <w:adjustRightInd w:val="0"/>
              <w:spacing w:before="60" w:after="120"/>
              <w:jc w:val="center"/>
              <w:rPr>
                <w:rFonts w:ascii="Times New Roman" w:hAnsi="Times New Roman" w:cs="Times New Roman"/>
                <w:b/>
                <w:sz w:val="24"/>
              </w:rPr>
            </w:pPr>
            <w:r w:rsidRPr="00DE7904">
              <w:rPr>
                <w:rFonts w:ascii="Times New Roman" w:hAnsi="Times New Roman"/>
                <w:b/>
                <w:sz w:val="24"/>
              </w:rPr>
              <w:lastRenderedPageBreak/>
              <w:t>g</w:t>
            </w:r>
          </w:p>
        </w:tc>
        <w:tc>
          <w:tcPr>
            <w:tcW w:w="7655" w:type="dxa"/>
            <w:shd w:val="clear" w:color="auto" w:fill="FFFFFF" w:themeFill="background1"/>
          </w:tcPr>
          <w:p w14:paraId="1942AC90" w14:textId="77777777" w:rsidR="00C04D6C" w:rsidRPr="00DE7904" w:rsidRDefault="00C04D6C" w:rsidP="00D819DE">
            <w:pPr>
              <w:spacing w:before="60" w:after="120"/>
              <w:ind w:left="34"/>
              <w:jc w:val="both"/>
              <w:rPr>
                <w:rFonts w:ascii="Times New Roman" w:eastAsia="Times New Roman" w:hAnsi="Times New Roman" w:cs="Times New Roman"/>
                <w:sz w:val="24"/>
              </w:rPr>
            </w:pPr>
            <w:r w:rsidRPr="00DE7904">
              <w:rPr>
                <w:rFonts w:ascii="Times New Roman" w:hAnsi="Times New Roman"/>
                <w:b/>
                <w:sz w:val="24"/>
              </w:rPr>
              <w:t>Valori contabili degli elementi non soggetti a requisiti di fondi propri o soggetti a deduzione dai fondi propri</w:t>
            </w:r>
          </w:p>
          <w:p w14:paraId="2DE2BC86" w14:textId="6E0E7A20" w:rsidR="00C04D6C" w:rsidRPr="00DE7904" w:rsidRDefault="00C04D6C" w:rsidP="00D819DE">
            <w:pPr>
              <w:spacing w:before="60" w:after="120"/>
              <w:ind w:left="34"/>
              <w:jc w:val="both"/>
              <w:rPr>
                <w:rFonts w:ascii="Times New Roman" w:eastAsia="Times New Roman" w:hAnsi="Times New Roman" w:cs="Times New Roman"/>
                <w:sz w:val="24"/>
              </w:rPr>
            </w:pPr>
            <w:r w:rsidRPr="00DE7904">
              <w:rPr>
                <w:rFonts w:ascii="Times New Roman" w:hAnsi="Times New Roman"/>
                <w:sz w:val="24"/>
              </w:rPr>
              <w:t>Valori contabili nell</w:t>
            </w:r>
            <w:r w:rsidR="00B96C44" w:rsidRPr="00DE7904">
              <w:rPr>
                <w:rFonts w:ascii="Times New Roman" w:hAnsi="Times New Roman"/>
                <w:sz w:val="24"/>
              </w:rPr>
              <w:t>'</w:t>
            </w:r>
            <w:r w:rsidRPr="00DE7904">
              <w:rPr>
                <w:rFonts w:ascii="Times New Roman" w:hAnsi="Times New Roman"/>
                <w:sz w:val="24"/>
              </w:rPr>
              <w:t>ambito del consolidamento prudenziale degli elementi (diversi dagli elementi fuori bilancio) non soggetti ai requisiti di fondi propri conformemente al CRR; valori contabili nell</w:t>
            </w:r>
            <w:r w:rsidR="00B96C44" w:rsidRPr="00DE7904">
              <w:rPr>
                <w:rFonts w:ascii="Times New Roman" w:hAnsi="Times New Roman"/>
                <w:sz w:val="24"/>
              </w:rPr>
              <w:t>'</w:t>
            </w:r>
            <w:r w:rsidRPr="00DE7904">
              <w:rPr>
                <w:rFonts w:ascii="Times New Roman" w:hAnsi="Times New Roman"/>
                <w:sz w:val="24"/>
              </w:rPr>
              <w:t>ambito del consolidamento prudenziale degli elementi (diversi dagli elementi fuori bilancio) soggetti a deduzione dai fondi propri conformemente alla parte due del CRR.</w:t>
            </w:r>
          </w:p>
          <w:p w14:paraId="6E671A99" w14:textId="77777777" w:rsidR="00C04D6C" w:rsidRPr="00DE7904" w:rsidRDefault="00C04D6C" w:rsidP="00D819DE">
            <w:pPr>
              <w:spacing w:before="60" w:after="120"/>
              <w:ind w:left="34"/>
              <w:jc w:val="both"/>
              <w:rPr>
                <w:rFonts w:ascii="Times New Roman" w:eastAsia="Times New Roman" w:hAnsi="Times New Roman" w:cs="Times New Roman"/>
                <w:sz w:val="24"/>
              </w:rPr>
            </w:pPr>
            <w:r w:rsidRPr="00DE7904">
              <w:rPr>
                <w:rFonts w:ascii="Times New Roman" w:hAnsi="Times New Roman"/>
                <w:sz w:val="24"/>
              </w:rPr>
              <w:t xml:space="preserve">A titolo esemplificativo, tra gli elementi dedotti possono figurare quelli elencati agli articoli 37, 38, 39 e 41 del CRR. </w:t>
            </w:r>
          </w:p>
          <w:p w14:paraId="04744916" w14:textId="77777777" w:rsidR="00C04D6C" w:rsidRPr="00DE7904" w:rsidRDefault="00C04D6C" w:rsidP="00D819DE">
            <w:pPr>
              <w:spacing w:before="60" w:after="120"/>
              <w:ind w:left="34"/>
              <w:jc w:val="both"/>
              <w:rPr>
                <w:rFonts w:ascii="Times New Roman" w:eastAsia="Times New Roman" w:hAnsi="Times New Roman" w:cs="Times New Roman"/>
                <w:sz w:val="24"/>
              </w:rPr>
            </w:pPr>
            <w:r w:rsidRPr="00DE7904">
              <w:rPr>
                <w:rFonts w:ascii="Times New Roman" w:hAnsi="Times New Roman"/>
                <w:sz w:val="24"/>
              </w:rPr>
              <w:t>Gli importi indicati per le attività corrispondono agli importi effettivamente dedotti dai fondi propri, prendendo in considerazione eventuali compensazioni con passività deducibili (ed eventuali soglie), applicabili a norma degli articoli pertinenti della parte due del CRR.</w:t>
            </w:r>
          </w:p>
          <w:p w14:paraId="7C247AE0" w14:textId="50107CA3" w:rsidR="00C04D6C" w:rsidRPr="00DE7904" w:rsidRDefault="00C04D6C" w:rsidP="00D819DE">
            <w:pPr>
              <w:spacing w:before="60" w:after="120"/>
              <w:jc w:val="both"/>
              <w:rPr>
                <w:rFonts w:ascii="Times New Roman" w:eastAsia="Times New Roman" w:hAnsi="Times New Roman" w:cs="Times New Roman"/>
                <w:sz w:val="24"/>
              </w:rPr>
            </w:pPr>
            <w:r w:rsidRPr="00DE7904">
              <w:rPr>
                <w:rFonts w:ascii="Times New Roman" w:hAnsi="Times New Roman"/>
                <w:sz w:val="24"/>
              </w:rPr>
              <w:t>Quando gli elementi elencati all</w:t>
            </w:r>
            <w:r w:rsidR="00B96C44" w:rsidRPr="00DE7904">
              <w:rPr>
                <w:rFonts w:ascii="Times New Roman" w:hAnsi="Times New Roman"/>
                <w:sz w:val="24"/>
              </w:rPr>
              <w:t>'</w:t>
            </w:r>
            <w:r w:rsidRPr="00DE7904">
              <w:rPr>
                <w:rFonts w:ascii="Times New Roman" w:hAnsi="Times New Roman"/>
                <w:sz w:val="24"/>
              </w:rPr>
              <w:t>articolo 36, paragrafo 1, lettera k), e all</w:t>
            </w:r>
            <w:r w:rsidR="00B96C44" w:rsidRPr="00DE7904">
              <w:rPr>
                <w:rFonts w:ascii="Times New Roman" w:hAnsi="Times New Roman"/>
                <w:sz w:val="24"/>
              </w:rPr>
              <w:t>'</w:t>
            </w:r>
            <w:r w:rsidRPr="00DE7904">
              <w:rPr>
                <w:rFonts w:ascii="Times New Roman" w:hAnsi="Times New Roman"/>
                <w:sz w:val="24"/>
              </w:rPr>
              <w:t>articolo 48 del CRR, anziché essere dedotti, ricevono un fattore di ponderazione del rischio del 1 250 %, non sono inseriti nella colonna g) di questo modello, ma nelle apposite colonne del modello EU LI1. Questo vale anche per eventuali altri elementi con fattore di ponderazione del rischio del</w:t>
            </w:r>
            <w:r w:rsidR="002F74D1" w:rsidRPr="00DE7904">
              <w:rPr>
                <w:rFonts w:ascii="Times New Roman" w:hAnsi="Times New Roman"/>
                <w:sz w:val="24"/>
              </w:rPr>
              <w:t> </w:t>
            </w:r>
            <w:r w:rsidRPr="00DE7904">
              <w:rPr>
                <w:rFonts w:ascii="Times New Roman" w:hAnsi="Times New Roman"/>
                <w:sz w:val="24"/>
              </w:rPr>
              <w:t>1 250 % conformemente ai requisiti del CRR.</w:t>
            </w:r>
          </w:p>
          <w:p w14:paraId="1E8AD1D2" w14:textId="381CBAB6" w:rsidR="00C04D6C" w:rsidRPr="00DE7904" w:rsidRDefault="00C04D6C" w:rsidP="00D819DE">
            <w:pPr>
              <w:spacing w:before="60" w:after="120"/>
              <w:jc w:val="both"/>
              <w:rPr>
                <w:rFonts w:ascii="Times New Roman" w:hAnsi="Times New Roman" w:cs="Times New Roman"/>
                <w:b/>
                <w:sz w:val="24"/>
              </w:rPr>
            </w:pPr>
            <w:r w:rsidRPr="00DE7904">
              <w:rPr>
                <w:rFonts w:ascii="Times New Roman" w:hAnsi="Times New Roman"/>
                <w:sz w:val="24"/>
              </w:rPr>
              <w:t>Gli importi indicati per le passività corrispondono all</w:t>
            </w:r>
            <w:r w:rsidR="00B96C44" w:rsidRPr="00DE7904">
              <w:rPr>
                <w:rFonts w:ascii="Times New Roman" w:hAnsi="Times New Roman"/>
                <w:sz w:val="24"/>
              </w:rPr>
              <w:t>'</w:t>
            </w:r>
            <w:r w:rsidRPr="00DE7904">
              <w:rPr>
                <w:rFonts w:ascii="Times New Roman" w:hAnsi="Times New Roman"/>
                <w:sz w:val="24"/>
              </w:rPr>
              <w:t>importo delle passività che devono essere prese in considerazione per la determinazione dell</w:t>
            </w:r>
            <w:r w:rsidR="00B96C44" w:rsidRPr="00DE7904">
              <w:rPr>
                <w:rFonts w:ascii="Times New Roman" w:hAnsi="Times New Roman"/>
                <w:sz w:val="24"/>
              </w:rPr>
              <w:t>'</w:t>
            </w:r>
            <w:r w:rsidRPr="00DE7904">
              <w:rPr>
                <w:rFonts w:ascii="Times New Roman" w:hAnsi="Times New Roman"/>
                <w:sz w:val="24"/>
              </w:rPr>
              <w:t xml:space="preserve">importo delle attività da dedurre dai fondi propri conformemente agli articoli pertinenti della parte due del CRR. </w:t>
            </w:r>
            <w:proofErr w:type="gramStart"/>
            <w:r w:rsidRPr="00DE7904">
              <w:rPr>
                <w:rFonts w:ascii="Times New Roman" w:hAnsi="Times New Roman"/>
                <w:sz w:val="24"/>
              </w:rPr>
              <w:t>Inoltre</w:t>
            </w:r>
            <w:proofErr w:type="gramEnd"/>
            <w:r w:rsidRPr="00DE7904">
              <w:rPr>
                <w:rFonts w:ascii="Times New Roman" w:hAnsi="Times New Roman"/>
                <w:sz w:val="24"/>
              </w:rPr>
              <w:t xml:space="preserve"> in questa colonna sono indicate tutte le passività diverse da quelle a cui si applicano i) i requisiti della parte tre, titolo II, capo 4, del CRR, o ii) i requisiti della parte tre, titolo II, capo 6, e della parte tre, titolo IV, del CRR.</w:t>
            </w:r>
          </w:p>
        </w:tc>
      </w:tr>
      <w:tr w:rsidR="00C04D6C" w:rsidRPr="00DE7904" w14:paraId="7179E48D" w14:textId="77777777" w:rsidTr="00D819DE">
        <w:trPr>
          <w:trHeight w:val="238"/>
        </w:trPr>
        <w:tc>
          <w:tcPr>
            <w:tcW w:w="1384" w:type="dxa"/>
            <w:shd w:val="clear" w:color="auto" w:fill="FFFFFF" w:themeFill="background1"/>
          </w:tcPr>
          <w:p w14:paraId="732737BA" w14:textId="77777777" w:rsidR="00C04D6C" w:rsidRPr="00DE7904" w:rsidRDefault="00C04D6C" w:rsidP="00D819DE">
            <w:pPr>
              <w:autoSpaceDE w:val="0"/>
              <w:autoSpaceDN w:val="0"/>
              <w:adjustRightInd w:val="0"/>
              <w:spacing w:before="60" w:after="120"/>
              <w:jc w:val="center"/>
              <w:rPr>
                <w:rFonts w:ascii="Times New Roman" w:hAnsi="Times New Roman" w:cs="Times New Roman"/>
                <w:b/>
                <w:sz w:val="24"/>
              </w:rPr>
            </w:pPr>
            <w:r w:rsidRPr="00DE7904">
              <w:rPr>
                <w:rFonts w:ascii="Times New Roman" w:hAnsi="Times New Roman"/>
                <w:b/>
                <w:sz w:val="24"/>
              </w:rPr>
              <w:t>Tutte</w:t>
            </w:r>
          </w:p>
        </w:tc>
        <w:tc>
          <w:tcPr>
            <w:tcW w:w="7655" w:type="dxa"/>
            <w:shd w:val="clear" w:color="auto" w:fill="FFFFFF" w:themeFill="background1"/>
          </w:tcPr>
          <w:p w14:paraId="4291E137" w14:textId="7741B58B" w:rsidR="00C04D6C" w:rsidRPr="00DE7904" w:rsidRDefault="00C04D6C" w:rsidP="00D819DE">
            <w:pPr>
              <w:spacing w:before="60" w:after="120"/>
              <w:ind w:left="34"/>
              <w:jc w:val="both"/>
              <w:rPr>
                <w:rFonts w:ascii="Times New Roman" w:eastAsia="Times New Roman" w:hAnsi="Times New Roman" w:cs="Times New Roman"/>
                <w:b/>
                <w:color w:val="000000" w:themeColor="text1"/>
                <w:sz w:val="24"/>
              </w:rPr>
            </w:pPr>
            <w:r w:rsidRPr="00DE7904">
              <w:rPr>
                <w:rFonts w:ascii="Times New Roman" w:hAnsi="Times New Roman"/>
                <w:sz w:val="24"/>
              </w:rPr>
              <w:t>Se un elemento è soggetto a requisiti patrimoniali conformemente a più di un quadro per il rischio, i valori sono indicati in tutte le colonne corrispondenti ai requisiti patrimoniali a cui essi si riferiscono. Di conseguenza in questo modello la somma degli importi indicati nelle colonne da c) a g) può essere maggiore dell</w:t>
            </w:r>
            <w:r w:rsidR="00B96C44" w:rsidRPr="00DE7904">
              <w:rPr>
                <w:rFonts w:ascii="Times New Roman" w:hAnsi="Times New Roman"/>
                <w:sz w:val="24"/>
              </w:rPr>
              <w:t>'</w:t>
            </w:r>
            <w:r w:rsidRPr="00DE7904">
              <w:rPr>
                <w:rFonts w:ascii="Times New Roman" w:hAnsi="Times New Roman"/>
                <w:sz w:val="24"/>
              </w:rPr>
              <w:t>importo indicato nella colonna b). Gli enti forniscono spiegazioni qualitative sulle attività e sulle passività che sono soggette ai requisiti patrimoniali di più quadri per il rischio tra quelli elencati nella parte tre del CRR.</w:t>
            </w:r>
          </w:p>
        </w:tc>
      </w:tr>
    </w:tbl>
    <w:p w14:paraId="6C41F2CD" w14:textId="77777777" w:rsidR="00C04D6C" w:rsidRPr="00DE7904" w:rsidRDefault="00C04D6C" w:rsidP="002F74D1">
      <w:pPr>
        <w:spacing w:before="360" w:after="120"/>
        <w:jc w:val="both"/>
        <w:rPr>
          <w:rFonts w:ascii="Times New Roman" w:hAnsi="Times New Roman" w:cs="Times New Roman"/>
          <w:b/>
          <w:sz w:val="24"/>
        </w:rPr>
      </w:pPr>
    </w:p>
    <w:p w14:paraId="390C8CCC" w14:textId="77777777" w:rsidR="00C04D6C" w:rsidRPr="00DE7904" w:rsidRDefault="00C04D6C" w:rsidP="00C04D6C">
      <w:pPr>
        <w:spacing w:after="120"/>
        <w:jc w:val="both"/>
        <w:rPr>
          <w:rFonts w:ascii="Times New Roman" w:hAnsi="Times New Roman" w:cs="Times New Roman"/>
          <w:b/>
          <w:sz w:val="24"/>
        </w:rPr>
      </w:pPr>
      <w:r w:rsidRPr="00DE7904">
        <w:rPr>
          <w:rFonts w:ascii="Times New Roman" w:hAnsi="Times New Roman"/>
          <w:b/>
          <w:sz w:val="24"/>
        </w:rPr>
        <w:t xml:space="preserve">Modello EU LI2: principali fonti di differenze tra gli importi delle esposizioni determinati a fini regolamentari e i valori contabili nel bilancio </w:t>
      </w:r>
      <w:r w:rsidRPr="00DE7904">
        <w:rPr>
          <w:rFonts w:ascii="Times New Roman" w:hAnsi="Times New Roman"/>
          <w:sz w:val="24"/>
        </w:rPr>
        <w:t>- Formato fisso</w:t>
      </w:r>
      <w:r w:rsidRPr="00DE7904">
        <w:rPr>
          <w:rFonts w:ascii="Times New Roman" w:hAnsi="Times New Roman"/>
          <w:b/>
          <w:sz w:val="24"/>
        </w:rPr>
        <w:t xml:space="preserve"> </w:t>
      </w:r>
    </w:p>
    <w:p w14:paraId="31823E5C" w14:textId="7F60B781" w:rsidR="00C04D6C" w:rsidRPr="00DE7904" w:rsidRDefault="00C04D6C" w:rsidP="00C04D6C">
      <w:pPr>
        <w:pStyle w:val="ListParagraph"/>
        <w:numPr>
          <w:ilvl w:val="0"/>
          <w:numId w:val="1"/>
        </w:numPr>
        <w:spacing w:before="120" w:after="120"/>
        <w:ind w:left="425" w:hanging="357"/>
        <w:jc w:val="both"/>
        <w:rPr>
          <w:rFonts w:ascii="Times New Roman" w:hAnsi="Times New Roman"/>
          <w:color w:val="000000" w:themeColor="text1"/>
          <w:sz w:val="24"/>
        </w:rPr>
      </w:pPr>
      <w:r w:rsidRPr="00DE7904">
        <w:rPr>
          <w:rFonts w:ascii="Times New Roman" w:hAnsi="Times New Roman"/>
          <w:sz w:val="24"/>
        </w:rPr>
        <w:t xml:space="preserve">Gli enti </w:t>
      </w:r>
      <w:r w:rsidRPr="00DE7904">
        <w:rPr>
          <w:rFonts w:ascii="Times New Roman" w:hAnsi="Times New Roman"/>
          <w:color w:val="000000" w:themeColor="text1"/>
          <w:sz w:val="24"/>
        </w:rPr>
        <w:t>pubblicano le informazioni di cui all</w:t>
      </w:r>
      <w:r w:rsidR="00B96C44" w:rsidRPr="00DE7904">
        <w:rPr>
          <w:rFonts w:ascii="Times New Roman" w:hAnsi="Times New Roman"/>
          <w:color w:val="000000" w:themeColor="text1"/>
          <w:sz w:val="24"/>
        </w:rPr>
        <w:t>'</w:t>
      </w:r>
      <w:r w:rsidRPr="00DE7904">
        <w:rPr>
          <w:rFonts w:ascii="Times New Roman" w:hAnsi="Times New Roman"/>
          <w:color w:val="000000" w:themeColor="text1"/>
          <w:sz w:val="24"/>
        </w:rPr>
        <w:t>articolo 436, lettera d), del CRR</w:t>
      </w:r>
      <w:r w:rsidRPr="00DE7904">
        <w:rPr>
          <w:rFonts w:ascii="Times New Roman" w:hAnsi="Times New Roman"/>
          <w:sz w:val="24"/>
        </w:rPr>
        <w:t xml:space="preserve"> seguendo le istruzioni fornite di seguito nel presente allegato per compilare il modello EU LI2 di cui all</w:t>
      </w:r>
      <w:r w:rsidR="00B96C44" w:rsidRPr="00DE7904">
        <w:rPr>
          <w:rFonts w:ascii="Times New Roman" w:hAnsi="Times New Roman"/>
          <w:sz w:val="24"/>
        </w:rPr>
        <w:t>'</w:t>
      </w:r>
      <w:r w:rsidRPr="00DE7904">
        <w:rPr>
          <w:rFonts w:ascii="Times New Roman" w:hAnsi="Times New Roman"/>
          <w:sz w:val="24"/>
        </w:rPr>
        <w:t>allegato V del presente regolamento di esecuzione</w:t>
      </w:r>
      <w:r w:rsidRPr="00DE7904">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DE7904" w14:paraId="2E557FAA"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9F1780" w14:textId="77777777" w:rsidR="00C04D6C" w:rsidRPr="00DE7904" w:rsidRDefault="00C04D6C" w:rsidP="002F74D1">
            <w:pPr>
              <w:keepNext/>
              <w:rPr>
                <w:rFonts w:ascii="Times New Roman" w:hAnsi="Times New Roman" w:cs="Times New Roman"/>
                <w:b/>
                <w:sz w:val="24"/>
              </w:rPr>
            </w:pPr>
            <w:r w:rsidRPr="00DE7904">
              <w:rPr>
                <w:rFonts w:ascii="Times New Roman" w:hAnsi="Times New Roman"/>
                <w:b/>
                <w:sz w:val="24"/>
              </w:rPr>
              <w:lastRenderedPageBreak/>
              <w:t>Riferimenti giuridici e istruzioni</w:t>
            </w:r>
          </w:p>
        </w:tc>
      </w:tr>
      <w:tr w:rsidR="00C04D6C" w:rsidRPr="00DE7904" w14:paraId="351DFAD6" w14:textId="77777777" w:rsidTr="00D819DE">
        <w:trPr>
          <w:trHeight w:val="238"/>
        </w:trPr>
        <w:tc>
          <w:tcPr>
            <w:tcW w:w="1384" w:type="dxa"/>
            <w:shd w:val="clear" w:color="auto" w:fill="D9D9D9" w:themeFill="background1" w:themeFillShade="D9"/>
          </w:tcPr>
          <w:p w14:paraId="210F6178" w14:textId="238A48B7" w:rsidR="00C04D6C" w:rsidRPr="00DE7904" w:rsidRDefault="00C04D6C" w:rsidP="002F74D1">
            <w:pPr>
              <w:keepNext/>
              <w:autoSpaceDE w:val="0"/>
              <w:autoSpaceDN w:val="0"/>
              <w:adjustRightInd w:val="0"/>
              <w:rPr>
                <w:rFonts w:ascii="Times New Roman" w:hAnsi="Times New Roman" w:cs="Times New Roman"/>
                <w:b/>
                <w:sz w:val="24"/>
              </w:rPr>
            </w:pPr>
            <w:r w:rsidRPr="00DE7904">
              <w:rPr>
                <w:rFonts w:ascii="Times New Roman" w:hAnsi="Times New Roman"/>
                <w:b/>
                <w:sz w:val="24"/>
              </w:rPr>
              <w:t xml:space="preserve">Numero </w:t>
            </w:r>
            <w:r w:rsidR="002F74D1" w:rsidRPr="00DE7904">
              <w:rPr>
                <w:rFonts w:ascii="Times New Roman" w:hAnsi="Times New Roman"/>
                <w:b/>
                <w:sz w:val="24"/>
              </w:rPr>
              <w:br/>
            </w:r>
            <w:r w:rsidRPr="00DE7904">
              <w:rPr>
                <w:rFonts w:ascii="Times New Roman" w:hAnsi="Times New Roman"/>
                <w:b/>
                <w:sz w:val="24"/>
              </w:rPr>
              <w:t>di riga</w:t>
            </w:r>
          </w:p>
        </w:tc>
        <w:tc>
          <w:tcPr>
            <w:tcW w:w="7655" w:type="dxa"/>
            <w:shd w:val="clear" w:color="auto" w:fill="D9D9D9" w:themeFill="background1" w:themeFillShade="D9"/>
          </w:tcPr>
          <w:p w14:paraId="661B01B9" w14:textId="77777777" w:rsidR="00C04D6C" w:rsidRPr="00DE7904" w:rsidRDefault="00C04D6C" w:rsidP="002F74D1">
            <w:pPr>
              <w:keepNext/>
              <w:autoSpaceDE w:val="0"/>
              <w:autoSpaceDN w:val="0"/>
              <w:adjustRightInd w:val="0"/>
              <w:rPr>
                <w:rFonts w:ascii="Times New Roman" w:hAnsi="Times New Roman" w:cs="Times New Roman"/>
                <w:color w:val="000000"/>
                <w:sz w:val="24"/>
              </w:rPr>
            </w:pPr>
            <w:r w:rsidRPr="00DE7904">
              <w:rPr>
                <w:rFonts w:ascii="Times New Roman" w:hAnsi="Times New Roman"/>
                <w:b/>
                <w:sz w:val="24"/>
              </w:rPr>
              <w:t>Spiegazione</w:t>
            </w:r>
          </w:p>
        </w:tc>
      </w:tr>
      <w:tr w:rsidR="00C04D6C" w:rsidRPr="00DE7904" w14:paraId="6B5341A1" w14:textId="77777777" w:rsidTr="00D819DE">
        <w:trPr>
          <w:trHeight w:val="238"/>
        </w:trPr>
        <w:tc>
          <w:tcPr>
            <w:tcW w:w="1384" w:type="dxa"/>
            <w:shd w:val="clear" w:color="auto" w:fill="FFFFFF" w:themeFill="background1"/>
          </w:tcPr>
          <w:p w14:paraId="5A2CBB68" w14:textId="77777777" w:rsidR="00C04D6C" w:rsidRPr="00DE7904" w:rsidRDefault="00C04D6C" w:rsidP="002F74D1">
            <w:pPr>
              <w:keepNext/>
              <w:autoSpaceDE w:val="0"/>
              <w:autoSpaceDN w:val="0"/>
              <w:adjustRightInd w:val="0"/>
              <w:spacing w:before="60" w:after="120"/>
              <w:jc w:val="center"/>
              <w:rPr>
                <w:rFonts w:ascii="Times New Roman" w:hAnsi="Times New Roman" w:cs="Times New Roman"/>
                <w:sz w:val="24"/>
              </w:rPr>
            </w:pPr>
            <w:r w:rsidRPr="00DE7904">
              <w:rPr>
                <w:rFonts w:ascii="Times New Roman" w:hAnsi="Times New Roman"/>
                <w:sz w:val="24"/>
              </w:rPr>
              <w:t>1</w:t>
            </w:r>
          </w:p>
        </w:tc>
        <w:tc>
          <w:tcPr>
            <w:tcW w:w="7655" w:type="dxa"/>
            <w:shd w:val="clear" w:color="auto" w:fill="FFFFFF" w:themeFill="background1"/>
          </w:tcPr>
          <w:p w14:paraId="011E728E" w14:textId="36E9BD2A" w:rsidR="00C04D6C" w:rsidRPr="00DE7904" w:rsidRDefault="00C04D6C" w:rsidP="002F74D1">
            <w:pPr>
              <w:keepNext/>
              <w:spacing w:before="60" w:after="120"/>
              <w:jc w:val="both"/>
              <w:rPr>
                <w:rFonts w:ascii="Times New Roman" w:eastAsia="Times New Roman" w:hAnsi="Times New Roman" w:cs="Times New Roman"/>
                <w:b/>
                <w:sz w:val="24"/>
              </w:rPr>
            </w:pPr>
            <w:r w:rsidRPr="00DE7904">
              <w:rPr>
                <w:rFonts w:ascii="Times New Roman" w:hAnsi="Times New Roman"/>
                <w:b/>
                <w:sz w:val="24"/>
              </w:rPr>
              <w:t>Valore contabile delle attività nell</w:t>
            </w:r>
            <w:r w:rsidR="00B96C44" w:rsidRPr="00DE7904">
              <w:rPr>
                <w:rFonts w:ascii="Times New Roman" w:hAnsi="Times New Roman"/>
                <w:b/>
                <w:sz w:val="24"/>
              </w:rPr>
              <w:t>'</w:t>
            </w:r>
            <w:r w:rsidRPr="00DE7904">
              <w:rPr>
                <w:rFonts w:ascii="Times New Roman" w:hAnsi="Times New Roman"/>
                <w:b/>
                <w:sz w:val="24"/>
              </w:rPr>
              <w:t>ambito del consolidamento prudenziale</w:t>
            </w:r>
          </w:p>
          <w:p w14:paraId="081D6909" w14:textId="77777777" w:rsidR="00C04D6C" w:rsidRPr="00DE7904" w:rsidRDefault="00C04D6C" w:rsidP="002F74D1">
            <w:pPr>
              <w:keepNext/>
              <w:spacing w:before="60" w:after="120"/>
              <w:jc w:val="both"/>
              <w:rPr>
                <w:rFonts w:ascii="Times New Roman" w:hAnsi="Times New Roman" w:cs="Times New Roman"/>
                <w:b/>
                <w:sz w:val="24"/>
              </w:rPr>
            </w:pPr>
            <w:r w:rsidRPr="00DE7904">
              <w:rPr>
                <w:rFonts w:ascii="Times New Roman" w:hAnsi="Times New Roman"/>
                <w:sz w:val="24"/>
              </w:rPr>
              <w:t xml:space="preserve">Gli importi delle colonne da b) a e) di questo modello sono gli stessi degli importi delle colonne da c) a f) del modello EU LI1. </w:t>
            </w:r>
          </w:p>
        </w:tc>
      </w:tr>
      <w:tr w:rsidR="00C04D6C" w:rsidRPr="00DE7904" w14:paraId="263E4ACD" w14:textId="77777777" w:rsidTr="00D819DE">
        <w:trPr>
          <w:trHeight w:val="238"/>
        </w:trPr>
        <w:tc>
          <w:tcPr>
            <w:tcW w:w="1384" w:type="dxa"/>
            <w:shd w:val="clear" w:color="auto" w:fill="FFFFFF" w:themeFill="background1"/>
          </w:tcPr>
          <w:p w14:paraId="7409AE24" w14:textId="77777777" w:rsidR="00C04D6C" w:rsidRPr="00DE7904" w:rsidRDefault="00C04D6C" w:rsidP="00D819DE">
            <w:pPr>
              <w:autoSpaceDE w:val="0"/>
              <w:autoSpaceDN w:val="0"/>
              <w:adjustRightInd w:val="0"/>
              <w:spacing w:before="60" w:after="120"/>
              <w:jc w:val="center"/>
              <w:rPr>
                <w:rFonts w:ascii="Times New Roman" w:hAnsi="Times New Roman" w:cs="Times New Roman"/>
                <w:sz w:val="24"/>
              </w:rPr>
            </w:pPr>
            <w:r w:rsidRPr="00DE7904">
              <w:rPr>
                <w:rFonts w:ascii="Times New Roman" w:hAnsi="Times New Roman"/>
                <w:sz w:val="24"/>
              </w:rPr>
              <w:t>2</w:t>
            </w:r>
          </w:p>
        </w:tc>
        <w:tc>
          <w:tcPr>
            <w:tcW w:w="7655" w:type="dxa"/>
            <w:shd w:val="clear" w:color="auto" w:fill="FFFFFF" w:themeFill="background1"/>
          </w:tcPr>
          <w:p w14:paraId="326A8BD9" w14:textId="7A51FE16" w:rsidR="00C04D6C" w:rsidRPr="00DE7904" w:rsidRDefault="00C04D6C" w:rsidP="00D819DE">
            <w:pPr>
              <w:autoSpaceDE w:val="0"/>
              <w:autoSpaceDN w:val="0"/>
              <w:adjustRightInd w:val="0"/>
              <w:spacing w:before="60" w:after="120"/>
              <w:rPr>
                <w:rFonts w:ascii="Times New Roman" w:hAnsi="Times New Roman" w:cs="Times New Roman"/>
                <w:b/>
                <w:sz w:val="24"/>
              </w:rPr>
            </w:pPr>
            <w:r w:rsidRPr="00DE7904">
              <w:rPr>
                <w:rFonts w:ascii="Times New Roman" w:hAnsi="Times New Roman"/>
                <w:b/>
                <w:sz w:val="24"/>
              </w:rPr>
              <w:t>Valore contabile delle passività nell</w:t>
            </w:r>
            <w:r w:rsidR="00B96C44" w:rsidRPr="00DE7904">
              <w:rPr>
                <w:rFonts w:ascii="Times New Roman" w:hAnsi="Times New Roman"/>
                <w:b/>
                <w:sz w:val="24"/>
              </w:rPr>
              <w:t>'</w:t>
            </w:r>
            <w:r w:rsidRPr="00DE7904">
              <w:rPr>
                <w:rFonts w:ascii="Times New Roman" w:hAnsi="Times New Roman"/>
                <w:b/>
                <w:sz w:val="24"/>
              </w:rPr>
              <w:t>ambito del consolidamento prudenziale</w:t>
            </w:r>
          </w:p>
          <w:p w14:paraId="3C83C58B" w14:textId="77777777" w:rsidR="00C04D6C" w:rsidRPr="00DE7904" w:rsidRDefault="00C04D6C" w:rsidP="00D819DE">
            <w:pPr>
              <w:autoSpaceDE w:val="0"/>
              <w:autoSpaceDN w:val="0"/>
              <w:adjustRightInd w:val="0"/>
              <w:spacing w:before="60" w:after="120"/>
              <w:jc w:val="both"/>
              <w:rPr>
                <w:rFonts w:ascii="Times New Roman" w:hAnsi="Times New Roman" w:cs="Times New Roman"/>
                <w:b/>
                <w:sz w:val="24"/>
              </w:rPr>
            </w:pPr>
            <w:r w:rsidRPr="00DE7904">
              <w:rPr>
                <w:rFonts w:ascii="Times New Roman" w:hAnsi="Times New Roman"/>
                <w:sz w:val="24"/>
              </w:rPr>
              <w:t>Gli importi delle colonne da b) a e) di questo modello sono gli stessi degli importi delle colonne da c) a f) del modello EU LI1.</w:t>
            </w:r>
          </w:p>
        </w:tc>
      </w:tr>
      <w:tr w:rsidR="00C04D6C" w:rsidRPr="00DE7904" w14:paraId="2311BC4F" w14:textId="77777777" w:rsidTr="00D819DE">
        <w:trPr>
          <w:trHeight w:val="238"/>
        </w:trPr>
        <w:tc>
          <w:tcPr>
            <w:tcW w:w="1384" w:type="dxa"/>
            <w:shd w:val="clear" w:color="auto" w:fill="FFFFFF" w:themeFill="background1"/>
          </w:tcPr>
          <w:p w14:paraId="3EC86421" w14:textId="77777777" w:rsidR="00C04D6C" w:rsidRPr="00DE7904" w:rsidRDefault="00C04D6C" w:rsidP="00D819DE">
            <w:pPr>
              <w:autoSpaceDE w:val="0"/>
              <w:autoSpaceDN w:val="0"/>
              <w:adjustRightInd w:val="0"/>
              <w:spacing w:before="60" w:after="120"/>
              <w:jc w:val="center"/>
              <w:rPr>
                <w:rFonts w:ascii="Times New Roman" w:hAnsi="Times New Roman" w:cs="Times New Roman"/>
                <w:sz w:val="24"/>
              </w:rPr>
            </w:pPr>
            <w:r w:rsidRPr="00DE7904">
              <w:rPr>
                <w:rFonts w:ascii="Times New Roman" w:hAnsi="Times New Roman"/>
                <w:sz w:val="24"/>
              </w:rPr>
              <w:t>3</w:t>
            </w:r>
          </w:p>
        </w:tc>
        <w:tc>
          <w:tcPr>
            <w:tcW w:w="7655" w:type="dxa"/>
            <w:shd w:val="clear" w:color="auto" w:fill="FFFFFF" w:themeFill="background1"/>
          </w:tcPr>
          <w:p w14:paraId="28B60EAC" w14:textId="6EFAC7AC" w:rsidR="00C04D6C" w:rsidRPr="00DE7904" w:rsidRDefault="00C04D6C" w:rsidP="00D819DE">
            <w:pPr>
              <w:spacing w:before="60" w:after="120"/>
              <w:jc w:val="both"/>
              <w:rPr>
                <w:rFonts w:ascii="Times New Roman" w:eastAsia="Times New Roman" w:hAnsi="Times New Roman" w:cs="Times New Roman"/>
                <w:b/>
                <w:sz w:val="24"/>
              </w:rPr>
            </w:pPr>
            <w:r w:rsidRPr="00DE7904">
              <w:rPr>
                <w:rFonts w:ascii="Times New Roman" w:hAnsi="Times New Roman"/>
                <w:b/>
                <w:sz w:val="24"/>
              </w:rPr>
              <w:t>Importo netto totale nell</w:t>
            </w:r>
            <w:r w:rsidR="00B96C44" w:rsidRPr="00DE7904">
              <w:rPr>
                <w:rFonts w:ascii="Times New Roman" w:hAnsi="Times New Roman"/>
                <w:b/>
                <w:sz w:val="24"/>
              </w:rPr>
              <w:t>'</w:t>
            </w:r>
            <w:r w:rsidRPr="00DE7904">
              <w:rPr>
                <w:rFonts w:ascii="Times New Roman" w:hAnsi="Times New Roman"/>
                <w:b/>
                <w:sz w:val="24"/>
              </w:rPr>
              <w:t xml:space="preserve">ambito del consolidamento prudenziale </w:t>
            </w:r>
          </w:p>
          <w:p w14:paraId="6B5D974D" w14:textId="7F93E23B" w:rsidR="00C04D6C" w:rsidRPr="00DE7904" w:rsidRDefault="00C04D6C" w:rsidP="00D819DE">
            <w:pPr>
              <w:spacing w:before="60" w:after="120"/>
              <w:jc w:val="both"/>
              <w:rPr>
                <w:rFonts w:ascii="Times New Roman" w:eastAsia="Times New Roman" w:hAnsi="Times New Roman" w:cs="Times New Roman"/>
                <w:sz w:val="24"/>
              </w:rPr>
            </w:pPr>
            <w:r w:rsidRPr="00DE7904">
              <w:rPr>
                <w:rFonts w:ascii="Times New Roman" w:hAnsi="Times New Roman"/>
                <w:sz w:val="24"/>
              </w:rPr>
              <w:t>Importo successivo alla compensazione in bilancio tra le attività e le passività nell</w:t>
            </w:r>
            <w:r w:rsidR="00B96C44" w:rsidRPr="00DE7904">
              <w:rPr>
                <w:rFonts w:ascii="Times New Roman" w:hAnsi="Times New Roman"/>
                <w:sz w:val="24"/>
              </w:rPr>
              <w:t>'</w:t>
            </w:r>
            <w:r w:rsidRPr="00DE7904">
              <w:rPr>
                <w:rFonts w:ascii="Times New Roman" w:hAnsi="Times New Roman"/>
                <w:sz w:val="24"/>
              </w:rPr>
              <w:t>ambito del consolidamento prudenziale, a prescindere dall</w:t>
            </w:r>
            <w:r w:rsidR="00B96C44" w:rsidRPr="00DE7904">
              <w:rPr>
                <w:rFonts w:ascii="Times New Roman" w:hAnsi="Times New Roman"/>
                <w:sz w:val="24"/>
              </w:rPr>
              <w:t>'</w:t>
            </w:r>
            <w:r w:rsidRPr="00DE7904">
              <w:rPr>
                <w:rFonts w:ascii="Times New Roman" w:hAnsi="Times New Roman"/>
                <w:sz w:val="24"/>
              </w:rPr>
              <w:t>ammissibilità di tali attività e passività ai fini delle regole di compensazione specifiche previste dalla parte tre, titolo II, capi 4 e 5, e dal titolo IV del CRR.</w:t>
            </w:r>
          </w:p>
          <w:p w14:paraId="0082555F" w14:textId="424CE4CE" w:rsidR="00C04D6C" w:rsidRPr="00DE7904" w:rsidRDefault="00C04D6C" w:rsidP="00D819DE">
            <w:pPr>
              <w:spacing w:before="60" w:after="120"/>
              <w:jc w:val="both"/>
              <w:rPr>
                <w:rFonts w:ascii="Times New Roman" w:eastAsia="Times New Roman" w:hAnsi="Times New Roman" w:cs="Times New Roman"/>
                <w:color w:val="A8D08D" w:themeColor="accent6" w:themeTint="99"/>
                <w:sz w:val="24"/>
              </w:rPr>
            </w:pPr>
            <w:r w:rsidRPr="00DE7904">
              <w:rPr>
                <w:rFonts w:ascii="Times New Roman" w:hAnsi="Times New Roman"/>
                <w:sz w:val="24"/>
              </w:rPr>
              <w:t>L</w:t>
            </w:r>
            <w:r w:rsidR="00B96C44" w:rsidRPr="00DE7904">
              <w:rPr>
                <w:rFonts w:ascii="Times New Roman" w:hAnsi="Times New Roman"/>
                <w:sz w:val="24"/>
              </w:rPr>
              <w:t>'</w:t>
            </w:r>
            <w:r w:rsidRPr="00DE7904">
              <w:rPr>
                <w:rFonts w:ascii="Times New Roman" w:hAnsi="Times New Roman"/>
                <w:sz w:val="24"/>
              </w:rPr>
              <w:t>importo di questa riga è pari al valore della riga</w:t>
            </w:r>
            <w:r w:rsidR="002F74D1" w:rsidRPr="00DE7904">
              <w:rPr>
                <w:rFonts w:ascii="Times New Roman" w:hAnsi="Times New Roman"/>
                <w:sz w:val="24"/>
              </w:rPr>
              <w:t> </w:t>
            </w:r>
            <w:r w:rsidRPr="00DE7904">
              <w:rPr>
                <w:rFonts w:ascii="Times New Roman" w:hAnsi="Times New Roman"/>
                <w:sz w:val="24"/>
              </w:rPr>
              <w:t>1 ridotto del valore della riga 2 di questo modello.</w:t>
            </w:r>
          </w:p>
        </w:tc>
      </w:tr>
      <w:tr w:rsidR="00C04D6C" w:rsidRPr="00DE7904" w14:paraId="3CEA5481" w14:textId="77777777" w:rsidTr="00D819DE">
        <w:trPr>
          <w:trHeight w:val="238"/>
        </w:trPr>
        <w:tc>
          <w:tcPr>
            <w:tcW w:w="1384" w:type="dxa"/>
            <w:shd w:val="clear" w:color="auto" w:fill="FFFFFF" w:themeFill="background1"/>
          </w:tcPr>
          <w:p w14:paraId="7A71EF46" w14:textId="77777777" w:rsidR="00C04D6C" w:rsidRPr="00DE7904" w:rsidRDefault="00C04D6C" w:rsidP="00D819DE">
            <w:pPr>
              <w:autoSpaceDE w:val="0"/>
              <w:autoSpaceDN w:val="0"/>
              <w:adjustRightInd w:val="0"/>
              <w:spacing w:before="60" w:after="120"/>
              <w:jc w:val="center"/>
              <w:rPr>
                <w:rFonts w:ascii="Times New Roman" w:hAnsi="Times New Roman" w:cs="Times New Roman"/>
                <w:sz w:val="24"/>
              </w:rPr>
            </w:pPr>
            <w:r w:rsidRPr="00DE7904">
              <w:rPr>
                <w:rFonts w:ascii="Times New Roman" w:hAnsi="Times New Roman"/>
                <w:sz w:val="24"/>
              </w:rPr>
              <w:t>4</w:t>
            </w:r>
          </w:p>
        </w:tc>
        <w:tc>
          <w:tcPr>
            <w:tcW w:w="7655" w:type="dxa"/>
            <w:shd w:val="clear" w:color="auto" w:fill="FFFFFF" w:themeFill="background1"/>
          </w:tcPr>
          <w:p w14:paraId="7FF54E31" w14:textId="77777777" w:rsidR="00C04D6C" w:rsidRPr="00DE7904" w:rsidRDefault="00C04D6C" w:rsidP="00D819DE">
            <w:pPr>
              <w:spacing w:before="60" w:after="120"/>
              <w:jc w:val="both"/>
              <w:rPr>
                <w:rFonts w:ascii="Times New Roman" w:eastAsia="Times New Roman" w:hAnsi="Times New Roman" w:cs="Times New Roman"/>
                <w:b/>
                <w:sz w:val="24"/>
              </w:rPr>
            </w:pPr>
            <w:r w:rsidRPr="00DE7904">
              <w:rPr>
                <w:rFonts w:ascii="Times New Roman" w:hAnsi="Times New Roman"/>
                <w:b/>
                <w:sz w:val="24"/>
              </w:rPr>
              <w:t>Importi fuori bilancio</w:t>
            </w:r>
          </w:p>
          <w:p w14:paraId="00C5BCD8" w14:textId="00F7A826" w:rsidR="00C04D6C" w:rsidRPr="00DE7904" w:rsidRDefault="00C04D6C" w:rsidP="00D819DE">
            <w:pPr>
              <w:spacing w:before="60" w:after="120"/>
              <w:jc w:val="both"/>
              <w:rPr>
                <w:rFonts w:ascii="Times New Roman" w:eastAsia="Times New Roman" w:hAnsi="Times New Roman" w:cs="Times New Roman"/>
                <w:sz w:val="24"/>
              </w:rPr>
            </w:pPr>
            <w:r w:rsidRPr="00DE7904">
              <w:rPr>
                <w:rFonts w:ascii="Times New Roman" w:hAnsi="Times New Roman"/>
                <w:sz w:val="24"/>
              </w:rPr>
              <w:t>Includere nelle colonne da a) a d) di questo modello le esposizioni fuori bilancio originarie determinate in base all</w:t>
            </w:r>
            <w:r w:rsidR="00B96C44" w:rsidRPr="00DE7904">
              <w:rPr>
                <w:rFonts w:ascii="Times New Roman" w:hAnsi="Times New Roman"/>
                <w:sz w:val="24"/>
              </w:rPr>
              <w:t>'</w:t>
            </w:r>
            <w:r w:rsidRPr="00DE7904">
              <w:rPr>
                <w:rFonts w:ascii="Times New Roman" w:hAnsi="Times New Roman"/>
                <w:sz w:val="24"/>
              </w:rPr>
              <w:t>ambito del consolidamento prudenziale, prima dell</w:t>
            </w:r>
            <w:r w:rsidR="00B96C44" w:rsidRPr="00DE7904">
              <w:rPr>
                <w:rFonts w:ascii="Times New Roman" w:hAnsi="Times New Roman"/>
                <w:sz w:val="24"/>
              </w:rPr>
              <w:t>'</w:t>
            </w:r>
            <w:r w:rsidRPr="00DE7904">
              <w:rPr>
                <w:rFonts w:ascii="Times New Roman" w:hAnsi="Times New Roman"/>
                <w:sz w:val="24"/>
              </w:rPr>
              <w:t xml:space="preserve">applicazione di un fattore di conversione, se del caso. </w:t>
            </w:r>
          </w:p>
        </w:tc>
      </w:tr>
      <w:tr w:rsidR="00C04D6C" w:rsidRPr="00DE7904" w14:paraId="0215A6DC" w14:textId="77777777" w:rsidTr="00D819DE">
        <w:trPr>
          <w:trHeight w:val="238"/>
        </w:trPr>
        <w:tc>
          <w:tcPr>
            <w:tcW w:w="1384" w:type="dxa"/>
            <w:shd w:val="clear" w:color="auto" w:fill="FFFFFF" w:themeFill="background1"/>
          </w:tcPr>
          <w:p w14:paraId="04B8AEE3" w14:textId="77777777" w:rsidR="00C04D6C" w:rsidRPr="00DE7904" w:rsidRDefault="00C04D6C" w:rsidP="00D819DE">
            <w:pPr>
              <w:autoSpaceDE w:val="0"/>
              <w:autoSpaceDN w:val="0"/>
              <w:adjustRightInd w:val="0"/>
              <w:spacing w:before="60" w:after="120"/>
              <w:jc w:val="center"/>
              <w:rPr>
                <w:rFonts w:ascii="Times New Roman" w:hAnsi="Times New Roman" w:cs="Times New Roman"/>
                <w:sz w:val="24"/>
              </w:rPr>
            </w:pPr>
            <w:r w:rsidRPr="00DE7904">
              <w:rPr>
                <w:rFonts w:ascii="Times New Roman" w:hAnsi="Times New Roman"/>
                <w:sz w:val="24"/>
              </w:rPr>
              <w:t>5</w:t>
            </w:r>
          </w:p>
        </w:tc>
        <w:tc>
          <w:tcPr>
            <w:tcW w:w="7655" w:type="dxa"/>
            <w:shd w:val="clear" w:color="auto" w:fill="FFFFFF" w:themeFill="background1"/>
          </w:tcPr>
          <w:p w14:paraId="3C19E71F" w14:textId="77777777" w:rsidR="00C04D6C" w:rsidRPr="00DE7904" w:rsidRDefault="00C04D6C" w:rsidP="00D819DE">
            <w:pPr>
              <w:spacing w:before="60" w:after="120"/>
              <w:jc w:val="both"/>
              <w:rPr>
                <w:rFonts w:ascii="Times New Roman" w:eastAsia="Times New Roman" w:hAnsi="Times New Roman" w:cs="Times New Roman"/>
                <w:b/>
                <w:i/>
                <w:sz w:val="24"/>
              </w:rPr>
            </w:pPr>
            <w:r w:rsidRPr="00DE7904">
              <w:rPr>
                <w:rFonts w:ascii="Times New Roman" w:hAnsi="Times New Roman"/>
                <w:b/>
                <w:i/>
                <w:sz w:val="24"/>
              </w:rPr>
              <w:t>Differenze di valutazione</w:t>
            </w:r>
          </w:p>
          <w:p w14:paraId="48C473FE" w14:textId="65F1BBAE" w:rsidR="00C04D6C" w:rsidRPr="00DE7904" w:rsidRDefault="00C04D6C" w:rsidP="00D819DE">
            <w:pPr>
              <w:spacing w:before="60" w:after="120"/>
              <w:jc w:val="both"/>
              <w:rPr>
                <w:rFonts w:ascii="Times New Roman" w:eastAsia="Times New Roman" w:hAnsi="Times New Roman" w:cs="Times New Roman"/>
                <w:sz w:val="24"/>
              </w:rPr>
            </w:pPr>
            <w:r w:rsidRPr="00DE7904">
              <w:rPr>
                <w:rFonts w:ascii="Times New Roman" w:hAnsi="Times New Roman"/>
                <w:sz w:val="24"/>
              </w:rPr>
              <w:t>Impatto del valore contabile delle rettifiche di valore conformemente alla parte due, titolo I, capo</w:t>
            </w:r>
            <w:r w:rsidR="002F74D1" w:rsidRPr="00DE7904">
              <w:rPr>
                <w:rFonts w:ascii="Times New Roman" w:hAnsi="Times New Roman"/>
                <w:sz w:val="24"/>
              </w:rPr>
              <w:t> </w:t>
            </w:r>
            <w:r w:rsidRPr="00DE7904">
              <w:rPr>
                <w:rFonts w:ascii="Times New Roman" w:hAnsi="Times New Roman"/>
                <w:sz w:val="24"/>
              </w:rPr>
              <w:t>2, articolo 34, e della parte tre, titolo I, capo 3, articolo 105, del CRR sulle esposizioni incluse nel portafoglio di negoziazione ed esterne al portafoglio di negoziazione valutate al valore equo in conformità della disciplina contabile applicabile.</w:t>
            </w:r>
          </w:p>
          <w:p w14:paraId="33A2A80C" w14:textId="0A58BB2E" w:rsidR="00C04D6C" w:rsidRPr="00DE7904" w:rsidRDefault="00C04D6C" w:rsidP="00D819DE">
            <w:pPr>
              <w:spacing w:before="60" w:after="120"/>
              <w:jc w:val="both"/>
              <w:rPr>
                <w:rFonts w:ascii="Times New Roman" w:eastAsia="Times New Roman" w:hAnsi="Times New Roman" w:cs="Times New Roman"/>
                <w:b/>
                <w:sz w:val="24"/>
              </w:rPr>
            </w:pPr>
            <w:r w:rsidRPr="00DE7904">
              <w:rPr>
                <w:rFonts w:ascii="Times New Roman" w:hAnsi="Times New Roman"/>
                <w:sz w:val="24"/>
              </w:rPr>
              <w:t>Tale importo è coerente con l</w:t>
            </w:r>
            <w:r w:rsidR="00B96C44" w:rsidRPr="00DE7904">
              <w:rPr>
                <w:rFonts w:ascii="Times New Roman" w:hAnsi="Times New Roman"/>
                <w:sz w:val="24"/>
              </w:rPr>
              <w:t>'</w:t>
            </w:r>
            <w:r w:rsidRPr="00DE7904">
              <w:rPr>
                <w:rFonts w:ascii="Times New Roman" w:hAnsi="Times New Roman"/>
                <w:sz w:val="24"/>
              </w:rPr>
              <w:t>importo della riga 7 del modello EU CC1 e con l</w:t>
            </w:r>
            <w:r w:rsidR="00B96C44" w:rsidRPr="00DE7904">
              <w:rPr>
                <w:rFonts w:ascii="Times New Roman" w:hAnsi="Times New Roman"/>
                <w:sz w:val="24"/>
              </w:rPr>
              <w:t>'</w:t>
            </w:r>
            <w:r w:rsidRPr="00DE7904">
              <w:rPr>
                <w:rFonts w:ascii="Times New Roman" w:hAnsi="Times New Roman"/>
                <w:sz w:val="24"/>
              </w:rPr>
              <w:t>importo della riga 12, colonna f), del modello EU PV1.</w:t>
            </w:r>
          </w:p>
        </w:tc>
      </w:tr>
      <w:tr w:rsidR="00C04D6C" w:rsidRPr="00DE7904" w14:paraId="2EDE1179" w14:textId="77777777" w:rsidTr="00D819DE">
        <w:trPr>
          <w:trHeight w:val="238"/>
        </w:trPr>
        <w:tc>
          <w:tcPr>
            <w:tcW w:w="1384" w:type="dxa"/>
            <w:shd w:val="clear" w:color="auto" w:fill="FFFFFF" w:themeFill="background1"/>
          </w:tcPr>
          <w:p w14:paraId="13AEF8E0" w14:textId="77777777" w:rsidR="00C04D6C" w:rsidRPr="00DE7904" w:rsidRDefault="00C04D6C" w:rsidP="00D819DE">
            <w:pPr>
              <w:autoSpaceDE w:val="0"/>
              <w:autoSpaceDN w:val="0"/>
              <w:adjustRightInd w:val="0"/>
              <w:spacing w:before="60" w:after="120"/>
              <w:jc w:val="center"/>
              <w:rPr>
                <w:rFonts w:ascii="Times New Roman" w:hAnsi="Times New Roman" w:cs="Times New Roman"/>
                <w:sz w:val="24"/>
              </w:rPr>
            </w:pPr>
            <w:r w:rsidRPr="00DE7904">
              <w:rPr>
                <w:rFonts w:ascii="Times New Roman" w:hAnsi="Times New Roman"/>
                <w:sz w:val="24"/>
              </w:rPr>
              <w:t>6</w:t>
            </w:r>
          </w:p>
        </w:tc>
        <w:tc>
          <w:tcPr>
            <w:tcW w:w="7655" w:type="dxa"/>
            <w:shd w:val="clear" w:color="auto" w:fill="FFFFFF" w:themeFill="background1"/>
          </w:tcPr>
          <w:p w14:paraId="3A8E70A3" w14:textId="77777777" w:rsidR="00C04D6C" w:rsidRPr="00DE7904" w:rsidRDefault="00C04D6C" w:rsidP="00D819DE">
            <w:pPr>
              <w:spacing w:before="60" w:after="120"/>
              <w:jc w:val="both"/>
              <w:rPr>
                <w:rFonts w:ascii="Times New Roman" w:eastAsia="Times New Roman" w:hAnsi="Times New Roman" w:cs="Times New Roman"/>
                <w:b/>
                <w:i/>
                <w:sz w:val="24"/>
              </w:rPr>
            </w:pPr>
            <w:r w:rsidRPr="00DE7904">
              <w:rPr>
                <w:rFonts w:ascii="Times New Roman" w:hAnsi="Times New Roman"/>
                <w:b/>
                <w:i/>
                <w:sz w:val="24"/>
              </w:rPr>
              <w:t>Differenze dovute a regole di compensazione diverse da quelle già incluse nella riga 2 di questo modello</w:t>
            </w:r>
          </w:p>
          <w:p w14:paraId="0583DDBB" w14:textId="4BB95127" w:rsidR="00C04D6C" w:rsidRPr="00DE7904" w:rsidRDefault="00C04D6C" w:rsidP="00D819DE">
            <w:pPr>
              <w:spacing w:before="60" w:after="120"/>
              <w:jc w:val="both"/>
              <w:rPr>
                <w:rFonts w:ascii="Times New Roman" w:eastAsia="Times New Roman" w:hAnsi="Times New Roman" w:cs="Times New Roman"/>
                <w:i/>
                <w:sz w:val="24"/>
              </w:rPr>
            </w:pPr>
            <w:r w:rsidRPr="00DE7904">
              <w:rPr>
                <w:rFonts w:ascii="Times New Roman" w:hAnsi="Times New Roman"/>
                <w:sz w:val="24"/>
              </w:rPr>
              <w:t>Questo elemento si riferisce agli importi netti delle esposizioni in bilancio e fuori bilancio dopo l</w:t>
            </w:r>
            <w:r w:rsidR="00B96C44" w:rsidRPr="00DE7904">
              <w:rPr>
                <w:rFonts w:ascii="Times New Roman" w:hAnsi="Times New Roman"/>
                <w:sz w:val="24"/>
              </w:rPr>
              <w:t>'</w:t>
            </w:r>
            <w:r w:rsidRPr="00DE7904">
              <w:rPr>
                <w:rFonts w:ascii="Times New Roman" w:hAnsi="Times New Roman"/>
                <w:sz w:val="24"/>
              </w:rPr>
              <w:t>applicazione delle regole di compensazione specifiche di cui alla parte tre, titolo II, capi 4 e 5 e titolo IV, del CRR. L</w:t>
            </w:r>
            <w:r w:rsidR="00B96C44" w:rsidRPr="00DE7904">
              <w:rPr>
                <w:rFonts w:ascii="Times New Roman" w:hAnsi="Times New Roman"/>
                <w:sz w:val="24"/>
              </w:rPr>
              <w:t>'</w:t>
            </w:r>
            <w:r w:rsidRPr="00DE7904">
              <w:rPr>
                <w:rFonts w:ascii="Times New Roman" w:hAnsi="Times New Roman"/>
                <w:sz w:val="24"/>
              </w:rPr>
              <w:t>impatto dell</w:t>
            </w:r>
            <w:r w:rsidR="00B96C44" w:rsidRPr="00DE7904">
              <w:rPr>
                <w:rFonts w:ascii="Times New Roman" w:hAnsi="Times New Roman"/>
                <w:sz w:val="24"/>
              </w:rPr>
              <w:t>'</w:t>
            </w:r>
            <w:r w:rsidRPr="00DE7904">
              <w:rPr>
                <w:rFonts w:ascii="Times New Roman" w:hAnsi="Times New Roman"/>
                <w:sz w:val="24"/>
              </w:rPr>
              <w:t>applicazione delle regole di compensazione può essere negativo (qualora sia necessario compensare più esposizioni rispetto alle compensazioni in bilancio della riga</w:t>
            </w:r>
            <w:r w:rsidR="002F74D1" w:rsidRPr="00DE7904">
              <w:rPr>
                <w:rFonts w:ascii="Times New Roman" w:hAnsi="Times New Roman"/>
                <w:sz w:val="24"/>
              </w:rPr>
              <w:t> </w:t>
            </w:r>
            <w:r w:rsidRPr="00DE7904">
              <w:rPr>
                <w:rFonts w:ascii="Times New Roman" w:hAnsi="Times New Roman"/>
                <w:sz w:val="24"/>
              </w:rPr>
              <w:t>2) o positivo (qualora l</w:t>
            </w:r>
            <w:r w:rsidR="00B96C44" w:rsidRPr="00DE7904">
              <w:rPr>
                <w:rFonts w:ascii="Times New Roman" w:hAnsi="Times New Roman"/>
                <w:sz w:val="24"/>
              </w:rPr>
              <w:t>'</w:t>
            </w:r>
            <w:r w:rsidRPr="00DE7904">
              <w:rPr>
                <w:rFonts w:ascii="Times New Roman" w:hAnsi="Times New Roman"/>
                <w:sz w:val="24"/>
              </w:rPr>
              <w:t>applicazione delle regole di compensazione di cui al CRR determini un importo inferiore da compensare rispetto alla compensazione in bilancio della riga 2).</w:t>
            </w:r>
          </w:p>
        </w:tc>
      </w:tr>
      <w:tr w:rsidR="00C04D6C" w:rsidRPr="00DE7904" w14:paraId="44759EAA" w14:textId="77777777" w:rsidTr="00D819DE">
        <w:trPr>
          <w:trHeight w:val="238"/>
        </w:trPr>
        <w:tc>
          <w:tcPr>
            <w:tcW w:w="1384" w:type="dxa"/>
            <w:shd w:val="clear" w:color="auto" w:fill="FFFFFF" w:themeFill="background1"/>
          </w:tcPr>
          <w:p w14:paraId="18510DD3" w14:textId="77777777" w:rsidR="00C04D6C" w:rsidRPr="00DE7904" w:rsidRDefault="00C04D6C" w:rsidP="00D819DE">
            <w:pPr>
              <w:autoSpaceDE w:val="0"/>
              <w:autoSpaceDN w:val="0"/>
              <w:adjustRightInd w:val="0"/>
              <w:spacing w:before="60" w:after="120"/>
              <w:jc w:val="center"/>
              <w:rPr>
                <w:rFonts w:ascii="Times New Roman" w:hAnsi="Times New Roman" w:cs="Times New Roman"/>
                <w:sz w:val="24"/>
              </w:rPr>
            </w:pPr>
            <w:r w:rsidRPr="00DE7904">
              <w:rPr>
                <w:rFonts w:ascii="Times New Roman" w:hAnsi="Times New Roman"/>
                <w:sz w:val="24"/>
              </w:rPr>
              <w:t>7</w:t>
            </w:r>
          </w:p>
        </w:tc>
        <w:tc>
          <w:tcPr>
            <w:tcW w:w="7655" w:type="dxa"/>
            <w:shd w:val="clear" w:color="auto" w:fill="FFFFFF" w:themeFill="background1"/>
          </w:tcPr>
          <w:p w14:paraId="788C1A56" w14:textId="77777777" w:rsidR="00C04D6C" w:rsidRPr="00DE7904" w:rsidRDefault="00C04D6C" w:rsidP="00D819DE">
            <w:pPr>
              <w:spacing w:before="60" w:after="120"/>
              <w:jc w:val="both"/>
              <w:rPr>
                <w:rFonts w:ascii="Times New Roman" w:eastAsia="Times New Roman" w:hAnsi="Times New Roman" w:cs="Times New Roman"/>
                <w:b/>
                <w:i/>
                <w:sz w:val="24"/>
              </w:rPr>
            </w:pPr>
            <w:r w:rsidRPr="00DE7904">
              <w:rPr>
                <w:rFonts w:ascii="Times New Roman" w:hAnsi="Times New Roman"/>
                <w:b/>
                <w:i/>
                <w:sz w:val="24"/>
              </w:rPr>
              <w:t>Differenze dovute al trattamento delle rettifiche di valore</w:t>
            </w:r>
          </w:p>
          <w:p w14:paraId="31DB4868" w14:textId="0257EF4F" w:rsidR="00C04D6C" w:rsidRPr="00DE7904" w:rsidRDefault="00C04D6C" w:rsidP="00D819DE">
            <w:pPr>
              <w:spacing w:before="60" w:after="120"/>
              <w:jc w:val="both"/>
              <w:rPr>
                <w:rFonts w:ascii="Times New Roman" w:eastAsia="Times New Roman" w:hAnsi="Times New Roman" w:cs="Times New Roman"/>
                <w:b/>
                <w:sz w:val="24"/>
              </w:rPr>
            </w:pPr>
            <w:r w:rsidRPr="00DE7904">
              <w:rPr>
                <w:rFonts w:ascii="Times New Roman" w:hAnsi="Times New Roman"/>
                <w:sz w:val="24"/>
              </w:rPr>
              <w:t>Reintegrazione nel valore dell</w:t>
            </w:r>
            <w:r w:rsidR="00B96C44" w:rsidRPr="00DE7904">
              <w:rPr>
                <w:rFonts w:ascii="Times New Roman" w:hAnsi="Times New Roman"/>
                <w:sz w:val="24"/>
              </w:rPr>
              <w:t>'</w:t>
            </w:r>
            <w:r w:rsidRPr="00DE7904">
              <w:rPr>
                <w:rFonts w:ascii="Times New Roman" w:hAnsi="Times New Roman"/>
                <w:sz w:val="24"/>
              </w:rPr>
              <w:t xml:space="preserve">esposizione delle rettifiche di valore su crediti specifiche e generiche (come definite nel regolamento delegato (UE) </w:t>
            </w:r>
            <w:r w:rsidR="002F74D1" w:rsidRPr="00DE7904">
              <w:rPr>
                <w:rFonts w:ascii="Times New Roman" w:hAnsi="Times New Roman"/>
                <w:sz w:val="24"/>
              </w:rPr>
              <w:lastRenderedPageBreak/>
              <w:t>n. </w:t>
            </w:r>
            <w:r w:rsidRPr="00DE7904">
              <w:rPr>
                <w:rFonts w:ascii="Times New Roman" w:hAnsi="Times New Roman"/>
                <w:sz w:val="24"/>
              </w:rPr>
              <w:t>183/2014 della Commissione</w:t>
            </w:r>
            <w:r w:rsidRPr="00DE7904">
              <w:rPr>
                <w:rStyle w:val="FootnoteReference"/>
                <w:rFonts w:eastAsia="Times New Roman" w:cs="Times New Roman"/>
              </w:rPr>
              <w:footnoteReference w:id="5"/>
            </w:r>
            <w:r w:rsidRPr="00DE7904">
              <w:rPr>
                <w:rFonts w:ascii="Times New Roman" w:hAnsi="Times New Roman"/>
                <w:sz w:val="24"/>
              </w:rPr>
              <w:t>) dedotte, in conformità della disciplina contabile applicabile, dal valore contabile delle esposizioni a norma della parte tre, titolo II, capo 3, del CRR. Per quanto riguarda le esposizioni ponderate per il rischio conformemente alla parte tre, titolo II, capo 2, del CRR, quando il valore contabile riportato in bilancio nell</w:t>
            </w:r>
            <w:r w:rsidR="00B96C44" w:rsidRPr="00DE7904">
              <w:rPr>
                <w:rFonts w:ascii="Times New Roman" w:hAnsi="Times New Roman"/>
                <w:sz w:val="24"/>
              </w:rPr>
              <w:t>'</w:t>
            </w:r>
            <w:r w:rsidRPr="00DE7904">
              <w:rPr>
                <w:rFonts w:ascii="Times New Roman" w:hAnsi="Times New Roman"/>
                <w:sz w:val="24"/>
              </w:rPr>
              <w:t>ambito del consolidamento prudenziale è ridotto da elementi qualificabili come rettifiche di valore su crediti generiche di cui al suddetto regolamento delegato, tali elementi sono reintegrati nel valore dell</w:t>
            </w:r>
            <w:r w:rsidR="00B96C44" w:rsidRPr="00DE7904">
              <w:rPr>
                <w:rFonts w:ascii="Times New Roman" w:hAnsi="Times New Roman"/>
                <w:sz w:val="24"/>
              </w:rPr>
              <w:t>'</w:t>
            </w:r>
            <w:r w:rsidRPr="00DE7904">
              <w:rPr>
                <w:rFonts w:ascii="Times New Roman" w:hAnsi="Times New Roman"/>
                <w:sz w:val="24"/>
              </w:rPr>
              <w:t xml:space="preserve">esposizione. </w:t>
            </w:r>
          </w:p>
        </w:tc>
      </w:tr>
      <w:tr w:rsidR="00C04D6C" w:rsidRPr="00DE7904" w14:paraId="0A77124E" w14:textId="77777777" w:rsidTr="00D819DE">
        <w:trPr>
          <w:trHeight w:val="238"/>
        </w:trPr>
        <w:tc>
          <w:tcPr>
            <w:tcW w:w="1384" w:type="dxa"/>
            <w:shd w:val="clear" w:color="auto" w:fill="FFFFFF" w:themeFill="background1"/>
          </w:tcPr>
          <w:p w14:paraId="6F54B446" w14:textId="77777777" w:rsidR="00C04D6C" w:rsidRPr="00DE7904" w:rsidRDefault="00C04D6C" w:rsidP="00D819DE">
            <w:pPr>
              <w:autoSpaceDE w:val="0"/>
              <w:autoSpaceDN w:val="0"/>
              <w:adjustRightInd w:val="0"/>
              <w:spacing w:before="60" w:after="120"/>
              <w:jc w:val="center"/>
              <w:rPr>
                <w:rFonts w:ascii="Times New Roman" w:hAnsi="Times New Roman" w:cs="Times New Roman"/>
                <w:sz w:val="24"/>
              </w:rPr>
            </w:pPr>
            <w:r w:rsidRPr="00DE7904">
              <w:rPr>
                <w:rFonts w:ascii="Times New Roman" w:hAnsi="Times New Roman"/>
                <w:sz w:val="24"/>
              </w:rPr>
              <w:lastRenderedPageBreak/>
              <w:t>8</w:t>
            </w:r>
          </w:p>
        </w:tc>
        <w:tc>
          <w:tcPr>
            <w:tcW w:w="7655" w:type="dxa"/>
            <w:shd w:val="clear" w:color="auto" w:fill="FFFFFF" w:themeFill="background1"/>
          </w:tcPr>
          <w:p w14:paraId="1F94DD70" w14:textId="7E9BC8BF" w:rsidR="00C04D6C" w:rsidRPr="00DE7904" w:rsidRDefault="00C04D6C" w:rsidP="00D819DE">
            <w:pPr>
              <w:jc w:val="both"/>
              <w:rPr>
                <w:rFonts w:ascii="Times New Roman" w:eastAsia="Times New Roman" w:hAnsi="Times New Roman" w:cs="Times New Roman"/>
                <w:b/>
                <w:i/>
                <w:sz w:val="24"/>
              </w:rPr>
            </w:pPr>
            <w:r w:rsidRPr="00DE7904">
              <w:rPr>
                <w:rFonts w:ascii="Times New Roman" w:hAnsi="Times New Roman"/>
                <w:b/>
                <w:i/>
                <w:sz w:val="24"/>
              </w:rPr>
              <w:t>Differenze dovute all</w:t>
            </w:r>
            <w:r w:rsidR="00B96C44" w:rsidRPr="00DE7904">
              <w:rPr>
                <w:rFonts w:ascii="Times New Roman" w:hAnsi="Times New Roman"/>
                <w:b/>
                <w:i/>
                <w:sz w:val="24"/>
              </w:rPr>
              <w:t>'</w:t>
            </w:r>
            <w:r w:rsidRPr="00DE7904">
              <w:rPr>
                <w:rFonts w:ascii="Times New Roman" w:hAnsi="Times New Roman"/>
                <w:b/>
                <w:i/>
                <w:sz w:val="24"/>
              </w:rPr>
              <w:t xml:space="preserve">uso di tecniche di attenuazione del rischio di credito </w:t>
            </w:r>
          </w:p>
          <w:p w14:paraId="2CFFDCD8" w14:textId="77777777" w:rsidR="00C04D6C" w:rsidRPr="00DE7904" w:rsidRDefault="00C04D6C" w:rsidP="00D819DE">
            <w:pPr>
              <w:jc w:val="both"/>
              <w:rPr>
                <w:rFonts w:ascii="Times New Roman" w:eastAsia="Times New Roman" w:hAnsi="Times New Roman" w:cs="Times New Roman"/>
                <w:b/>
                <w:i/>
                <w:sz w:val="24"/>
              </w:rPr>
            </w:pPr>
          </w:p>
          <w:p w14:paraId="6EC8050F" w14:textId="4BCB6538" w:rsidR="00C04D6C" w:rsidRPr="00DE7904" w:rsidRDefault="00C04D6C" w:rsidP="00D819DE">
            <w:pPr>
              <w:spacing w:after="120"/>
              <w:jc w:val="both"/>
              <w:rPr>
                <w:rFonts w:ascii="Times New Roman" w:eastAsia="Times New Roman" w:hAnsi="Times New Roman" w:cs="Times New Roman"/>
                <w:sz w:val="24"/>
              </w:rPr>
            </w:pPr>
            <w:r w:rsidRPr="00DE7904">
              <w:rPr>
                <w:rFonts w:ascii="Times New Roman" w:hAnsi="Times New Roman"/>
                <w:sz w:val="24"/>
              </w:rPr>
              <w:t>Impatto sul valore dell</w:t>
            </w:r>
            <w:r w:rsidR="00B96C44" w:rsidRPr="00DE7904">
              <w:rPr>
                <w:rFonts w:ascii="Times New Roman" w:hAnsi="Times New Roman"/>
                <w:sz w:val="24"/>
              </w:rPr>
              <w:t>'</w:t>
            </w:r>
            <w:r w:rsidRPr="00DE7904">
              <w:rPr>
                <w:rFonts w:ascii="Times New Roman" w:hAnsi="Times New Roman"/>
                <w:sz w:val="24"/>
              </w:rPr>
              <w:t>esposizione nell</w:t>
            </w:r>
            <w:r w:rsidR="00B96C44" w:rsidRPr="00DE7904">
              <w:rPr>
                <w:rFonts w:ascii="Times New Roman" w:hAnsi="Times New Roman"/>
                <w:sz w:val="24"/>
              </w:rPr>
              <w:t>'</w:t>
            </w:r>
            <w:r w:rsidRPr="00DE7904">
              <w:rPr>
                <w:rFonts w:ascii="Times New Roman" w:hAnsi="Times New Roman"/>
                <w:sz w:val="24"/>
              </w:rPr>
              <w:t>ambito del consolidamento prudenziale dell</w:t>
            </w:r>
            <w:r w:rsidR="00B96C44" w:rsidRPr="00DE7904">
              <w:rPr>
                <w:rFonts w:ascii="Times New Roman" w:hAnsi="Times New Roman"/>
                <w:sz w:val="24"/>
              </w:rPr>
              <w:t>'</w:t>
            </w:r>
            <w:r w:rsidRPr="00DE7904">
              <w:rPr>
                <w:rFonts w:ascii="Times New Roman" w:hAnsi="Times New Roman"/>
                <w:sz w:val="24"/>
              </w:rPr>
              <w:t xml:space="preserve">applicazione delle tecniche di attenuazione del rischio di credito definite nel CRR. </w:t>
            </w:r>
          </w:p>
        </w:tc>
      </w:tr>
      <w:tr w:rsidR="00C04D6C" w:rsidRPr="00DE7904" w14:paraId="05ED1EDD" w14:textId="77777777" w:rsidTr="00D819DE">
        <w:trPr>
          <w:trHeight w:val="238"/>
        </w:trPr>
        <w:tc>
          <w:tcPr>
            <w:tcW w:w="1384" w:type="dxa"/>
            <w:shd w:val="clear" w:color="auto" w:fill="FFFFFF" w:themeFill="background1"/>
          </w:tcPr>
          <w:p w14:paraId="1505E593" w14:textId="77777777" w:rsidR="00C04D6C" w:rsidRPr="00DE7904" w:rsidRDefault="00C04D6C" w:rsidP="00D819DE">
            <w:pPr>
              <w:autoSpaceDE w:val="0"/>
              <w:autoSpaceDN w:val="0"/>
              <w:adjustRightInd w:val="0"/>
              <w:spacing w:before="60" w:after="120"/>
              <w:jc w:val="center"/>
              <w:rPr>
                <w:rFonts w:ascii="Times New Roman" w:hAnsi="Times New Roman" w:cs="Times New Roman"/>
                <w:sz w:val="24"/>
              </w:rPr>
            </w:pPr>
            <w:r w:rsidRPr="00DE7904">
              <w:rPr>
                <w:rFonts w:ascii="Times New Roman" w:hAnsi="Times New Roman"/>
                <w:sz w:val="24"/>
              </w:rPr>
              <w:t>9</w:t>
            </w:r>
          </w:p>
        </w:tc>
        <w:tc>
          <w:tcPr>
            <w:tcW w:w="7655" w:type="dxa"/>
            <w:shd w:val="clear" w:color="auto" w:fill="FFFFFF" w:themeFill="background1"/>
          </w:tcPr>
          <w:p w14:paraId="1E44E476" w14:textId="77777777" w:rsidR="00C04D6C" w:rsidRPr="00DE7904" w:rsidRDefault="00C04D6C" w:rsidP="00D819DE">
            <w:pPr>
              <w:jc w:val="both"/>
              <w:rPr>
                <w:rFonts w:ascii="Times New Roman" w:eastAsia="Times New Roman" w:hAnsi="Times New Roman" w:cs="Times New Roman"/>
                <w:b/>
                <w:i/>
                <w:sz w:val="24"/>
              </w:rPr>
            </w:pPr>
            <w:r w:rsidRPr="00DE7904">
              <w:rPr>
                <w:rFonts w:ascii="Times New Roman" w:hAnsi="Times New Roman"/>
                <w:b/>
                <w:i/>
                <w:sz w:val="24"/>
              </w:rPr>
              <w:t>Differenze dovute ai fattori di conversione del credito</w:t>
            </w:r>
          </w:p>
          <w:p w14:paraId="53FD5536" w14:textId="77777777" w:rsidR="00C04D6C" w:rsidRPr="00DE7904" w:rsidRDefault="00C04D6C" w:rsidP="00D819DE">
            <w:pPr>
              <w:jc w:val="both"/>
              <w:rPr>
                <w:rFonts w:ascii="Times New Roman" w:eastAsia="Times New Roman" w:hAnsi="Times New Roman" w:cs="Times New Roman"/>
                <w:b/>
                <w:i/>
                <w:sz w:val="24"/>
              </w:rPr>
            </w:pPr>
          </w:p>
          <w:p w14:paraId="38BAEA5C" w14:textId="4ECAE054" w:rsidR="00C04D6C" w:rsidRPr="00DE7904" w:rsidRDefault="00C04D6C" w:rsidP="00D819DE">
            <w:pPr>
              <w:spacing w:after="120"/>
              <w:jc w:val="both"/>
              <w:rPr>
                <w:rFonts w:ascii="Times New Roman" w:eastAsia="Times New Roman" w:hAnsi="Times New Roman" w:cs="Times New Roman"/>
                <w:sz w:val="24"/>
              </w:rPr>
            </w:pPr>
            <w:r w:rsidRPr="00DE7904">
              <w:rPr>
                <w:rFonts w:ascii="Times New Roman" w:hAnsi="Times New Roman"/>
                <w:sz w:val="24"/>
              </w:rPr>
              <w:t>Impatto sul valore delle esposizioni fuori bilancio nell</w:t>
            </w:r>
            <w:r w:rsidR="00B96C44" w:rsidRPr="00DE7904">
              <w:rPr>
                <w:rFonts w:ascii="Times New Roman" w:hAnsi="Times New Roman"/>
                <w:sz w:val="24"/>
              </w:rPr>
              <w:t>'</w:t>
            </w:r>
            <w:r w:rsidRPr="00DE7904">
              <w:rPr>
                <w:rFonts w:ascii="Times New Roman" w:hAnsi="Times New Roman"/>
                <w:sz w:val="24"/>
              </w:rPr>
              <w:t>ambito del consolidamento prudenziale dell</w:t>
            </w:r>
            <w:r w:rsidR="00B96C44" w:rsidRPr="00DE7904">
              <w:rPr>
                <w:rFonts w:ascii="Times New Roman" w:hAnsi="Times New Roman"/>
                <w:sz w:val="24"/>
              </w:rPr>
              <w:t>'</w:t>
            </w:r>
            <w:r w:rsidRPr="00DE7904">
              <w:rPr>
                <w:rFonts w:ascii="Times New Roman" w:hAnsi="Times New Roman"/>
                <w:sz w:val="24"/>
              </w:rPr>
              <w:t>applicazione dei fattori di conversione pertinenti conformemente al CRR.</w:t>
            </w:r>
          </w:p>
          <w:p w14:paraId="75BD9AEB" w14:textId="0028F325" w:rsidR="00C04D6C" w:rsidRPr="00DE7904" w:rsidRDefault="00C04D6C" w:rsidP="00D819DE">
            <w:pPr>
              <w:spacing w:after="120"/>
              <w:jc w:val="both"/>
              <w:rPr>
                <w:rFonts w:ascii="Times New Roman" w:eastAsia="Times New Roman" w:hAnsi="Times New Roman" w:cs="Times New Roman"/>
                <w:b/>
                <w:sz w:val="24"/>
              </w:rPr>
            </w:pPr>
            <w:r w:rsidRPr="00DE7904">
              <w:rPr>
                <w:rFonts w:ascii="Times New Roman" w:hAnsi="Times New Roman"/>
                <w:sz w:val="24"/>
              </w:rPr>
              <w:t>Il fattore di conversione degli elementi fuori bilancio, da ponderare per il rischio in applicazione della parte tre, titolo II, del CRR, è determinato conformemente agli articoli 111, 166, 167 e 182 (applicabili per il rischio di credito) e all</w:t>
            </w:r>
            <w:r w:rsidR="00B96C44" w:rsidRPr="00DE7904">
              <w:rPr>
                <w:rFonts w:ascii="Times New Roman" w:hAnsi="Times New Roman"/>
                <w:sz w:val="24"/>
              </w:rPr>
              <w:t>'</w:t>
            </w:r>
            <w:r w:rsidRPr="00DE7904">
              <w:rPr>
                <w:rFonts w:ascii="Times New Roman" w:hAnsi="Times New Roman"/>
                <w:sz w:val="24"/>
              </w:rPr>
              <w:t>articolo 246 (applicabile per il rischio di cartolarizzazione) del CRR.</w:t>
            </w:r>
          </w:p>
        </w:tc>
      </w:tr>
      <w:tr w:rsidR="00C04D6C" w:rsidRPr="00DE7904" w14:paraId="72BAD6AF" w14:textId="77777777" w:rsidTr="00D819DE">
        <w:trPr>
          <w:trHeight w:val="238"/>
        </w:trPr>
        <w:tc>
          <w:tcPr>
            <w:tcW w:w="1384" w:type="dxa"/>
            <w:shd w:val="clear" w:color="auto" w:fill="FFFFFF" w:themeFill="background1"/>
          </w:tcPr>
          <w:p w14:paraId="74C5B091" w14:textId="77777777" w:rsidR="00C04D6C" w:rsidRPr="00DE7904" w:rsidRDefault="00C04D6C" w:rsidP="00D819DE">
            <w:pPr>
              <w:autoSpaceDE w:val="0"/>
              <w:autoSpaceDN w:val="0"/>
              <w:adjustRightInd w:val="0"/>
              <w:spacing w:before="60" w:after="120"/>
              <w:jc w:val="center"/>
              <w:rPr>
                <w:rFonts w:ascii="Times New Roman" w:hAnsi="Times New Roman" w:cs="Times New Roman"/>
                <w:sz w:val="24"/>
              </w:rPr>
            </w:pPr>
            <w:r w:rsidRPr="00DE7904">
              <w:rPr>
                <w:rFonts w:ascii="Times New Roman" w:hAnsi="Times New Roman"/>
                <w:sz w:val="24"/>
              </w:rPr>
              <w:t>10</w:t>
            </w:r>
          </w:p>
        </w:tc>
        <w:tc>
          <w:tcPr>
            <w:tcW w:w="7655" w:type="dxa"/>
            <w:shd w:val="clear" w:color="auto" w:fill="FFFFFF" w:themeFill="background1"/>
          </w:tcPr>
          <w:p w14:paraId="5F1391ED" w14:textId="77777777" w:rsidR="00C04D6C" w:rsidRPr="00DE7904" w:rsidRDefault="00C04D6C" w:rsidP="00D819DE">
            <w:pPr>
              <w:spacing w:after="240"/>
              <w:jc w:val="both"/>
              <w:rPr>
                <w:rFonts w:ascii="Times New Roman" w:eastAsia="Times New Roman" w:hAnsi="Times New Roman" w:cs="Times New Roman"/>
                <w:b/>
                <w:i/>
                <w:sz w:val="24"/>
              </w:rPr>
            </w:pPr>
            <w:r w:rsidRPr="00DE7904">
              <w:rPr>
                <w:rFonts w:ascii="Times New Roman" w:hAnsi="Times New Roman"/>
                <w:b/>
                <w:i/>
                <w:sz w:val="24"/>
              </w:rPr>
              <w:t>Differenze dovute alla cartolarizzazione con trasferimento del rischio</w:t>
            </w:r>
          </w:p>
          <w:p w14:paraId="0CD216A1" w14:textId="50C000F4" w:rsidR="00C04D6C" w:rsidRPr="00DE7904" w:rsidRDefault="00C04D6C" w:rsidP="00D819DE">
            <w:pPr>
              <w:spacing w:after="120"/>
              <w:jc w:val="both"/>
              <w:rPr>
                <w:rFonts w:ascii="Times New Roman" w:eastAsia="Times New Roman" w:hAnsi="Times New Roman" w:cs="Times New Roman"/>
                <w:sz w:val="24"/>
              </w:rPr>
            </w:pPr>
            <w:r w:rsidRPr="00DE7904">
              <w:rPr>
                <w:rFonts w:ascii="Times New Roman" w:hAnsi="Times New Roman"/>
                <w:sz w:val="24"/>
              </w:rPr>
              <w:t>Impatto sul valore delle esposizioni cartolarizzate dell</w:t>
            </w:r>
            <w:r w:rsidR="00B96C44" w:rsidRPr="00DE7904">
              <w:rPr>
                <w:rFonts w:ascii="Times New Roman" w:hAnsi="Times New Roman"/>
                <w:sz w:val="24"/>
              </w:rPr>
              <w:t>'</w:t>
            </w:r>
            <w:r w:rsidRPr="00DE7904">
              <w:rPr>
                <w:rFonts w:ascii="Times New Roman" w:hAnsi="Times New Roman"/>
                <w:sz w:val="24"/>
              </w:rPr>
              <w:t>uso di operazioni cartolarizzate per trasferire il rischio di credito a terzi conformemente al CRR.</w:t>
            </w:r>
          </w:p>
        </w:tc>
      </w:tr>
      <w:tr w:rsidR="00C04D6C" w:rsidRPr="00DE7904" w14:paraId="07DA820F" w14:textId="77777777" w:rsidTr="00D819DE">
        <w:trPr>
          <w:trHeight w:val="238"/>
        </w:trPr>
        <w:tc>
          <w:tcPr>
            <w:tcW w:w="1384" w:type="dxa"/>
            <w:shd w:val="clear" w:color="auto" w:fill="FFFFFF" w:themeFill="background1"/>
          </w:tcPr>
          <w:p w14:paraId="04CADA42" w14:textId="77777777" w:rsidR="00C04D6C" w:rsidRPr="00DE7904" w:rsidRDefault="00C04D6C" w:rsidP="00D819DE">
            <w:pPr>
              <w:autoSpaceDE w:val="0"/>
              <w:autoSpaceDN w:val="0"/>
              <w:adjustRightInd w:val="0"/>
              <w:spacing w:before="60" w:after="120"/>
              <w:jc w:val="center"/>
              <w:rPr>
                <w:rFonts w:ascii="Times New Roman" w:hAnsi="Times New Roman" w:cs="Times New Roman"/>
                <w:sz w:val="24"/>
              </w:rPr>
            </w:pPr>
            <w:r w:rsidRPr="00DE7904">
              <w:rPr>
                <w:rFonts w:ascii="Times New Roman" w:hAnsi="Times New Roman"/>
                <w:sz w:val="24"/>
              </w:rPr>
              <w:t>11</w:t>
            </w:r>
          </w:p>
        </w:tc>
        <w:tc>
          <w:tcPr>
            <w:tcW w:w="7655" w:type="dxa"/>
            <w:shd w:val="clear" w:color="auto" w:fill="FFFFFF" w:themeFill="background1"/>
          </w:tcPr>
          <w:p w14:paraId="7523D1FE" w14:textId="77777777" w:rsidR="00C04D6C" w:rsidRPr="00DE7904" w:rsidRDefault="00C04D6C" w:rsidP="00D819DE">
            <w:pPr>
              <w:spacing w:before="60" w:after="120"/>
              <w:jc w:val="both"/>
              <w:rPr>
                <w:rFonts w:ascii="Times New Roman" w:eastAsia="Times New Roman" w:hAnsi="Times New Roman" w:cs="Times New Roman"/>
                <w:b/>
                <w:i/>
                <w:sz w:val="24"/>
              </w:rPr>
            </w:pPr>
            <w:r w:rsidRPr="00DE7904">
              <w:rPr>
                <w:rFonts w:ascii="Times New Roman" w:hAnsi="Times New Roman"/>
                <w:b/>
                <w:i/>
                <w:sz w:val="24"/>
              </w:rPr>
              <w:t xml:space="preserve">Altre differenze </w:t>
            </w:r>
            <w:r w:rsidRPr="00DE7904">
              <w:rPr>
                <w:rFonts w:ascii="Times New Roman" w:hAnsi="Times New Roman"/>
                <w:i/>
                <w:sz w:val="24"/>
              </w:rPr>
              <w:t>(se pertinenti)</w:t>
            </w:r>
          </w:p>
          <w:p w14:paraId="7A3BEA11" w14:textId="7B911FB1" w:rsidR="00C04D6C" w:rsidRPr="00DE7904" w:rsidRDefault="00C04D6C" w:rsidP="00D819DE">
            <w:pPr>
              <w:spacing w:before="60" w:after="120"/>
              <w:jc w:val="both"/>
              <w:rPr>
                <w:rFonts w:ascii="Times New Roman" w:eastAsia="Times New Roman" w:hAnsi="Times New Roman" w:cs="Times New Roman"/>
                <w:sz w:val="24"/>
              </w:rPr>
            </w:pPr>
            <w:r w:rsidRPr="00DE7904">
              <w:rPr>
                <w:rFonts w:ascii="Times New Roman" w:hAnsi="Times New Roman"/>
                <w:sz w:val="24"/>
              </w:rPr>
              <w:t>Altri fattori determinanti significativi delle differenze tra i valori contabili del bilancio nell</w:t>
            </w:r>
            <w:r w:rsidR="00B96C44" w:rsidRPr="00DE7904">
              <w:rPr>
                <w:rFonts w:ascii="Times New Roman" w:hAnsi="Times New Roman"/>
                <w:sz w:val="24"/>
              </w:rPr>
              <w:t>'</w:t>
            </w:r>
            <w:r w:rsidRPr="00DE7904">
              <w:rPr>
                <w:rFonts w:ascii="Times New Roman" w:hAnsi="Times New Roman"/>
                <w:sz w:val="24"/>
              </w:rPr>
              <w:t>ambito del consolidamento prudenziale e gli importi delle esposizioni considerati a fini regolamentari.</w:t>
            </w:r>
          </w:p>
          <w:p w14:paraId="678F847C" w14:textId="49848609" w:rsidR="00C04D6C" w:rsidRPr="00DE7904" w:rsidRDefault="00C04D6C" w:rsidP="00D819DE">
            <w:pPr>
              <w:spacing w:before="60" w:after="120"/>
              <w:jc w:val="both"/>
              <w:rPr>
                <w:rFonts w:ascii="Times New Roman" w:eastAsia="Times New Roman" w:hAnsi="Times New Roman" w:cs="Times New Roman"/>
                <w:b/>
                <w:i/>
                <w:sz w:val="24"/>
              </w:rPr>
            </w:pPr>
            <w:r w:rsidRPr="00DE7904">
              <w:rPr>
                <w:rFonts w:ascii="Times New Roman" w:hAnsi="Times New Roman"/>
                <w:sz w:val="24"/>
              </w:rPr>
              <w:t>Gli enti integrano nella tabella</w:t>
            </w:r>
            <w:r w:rsidR="00B96C44" w:rsidRPr="00DE7904">
              <w:rPr>
                <w:rFonts w:ascii="Times New Roman" w:hAnsi="Times New Roman"/>
                <w:sz w:val="24"/>
              </w:rPr>
              <w:t xml:space="preserve"> </w:t>
            </w:r>
            <w:r w:rsidRPr="00DE7904">
              <w:rPr>
                <w:rFonts w:ascii="Times New Roman" w:hAnsi="Times New Roman"/>
                <w:sz w:val="24"/>
              </w:rPr>
              <w:t>EU LIA le informazioni quantitative incluse in questa riga con spiegazioni qualitative sui principali fattori determinanti di tali differenze.</w:t>
            </w:r>
          </w:p>
        </w:tc>
      </w:tr>
      <w:tr w:rsidR="00C04D6C" w:rsidRPr="00DE7904" w14:paraId="2957570B" w14:textId="77777777" w:rsidTr="00D819DE">
        <w:trPr>
          <w:trHeight w:val="238"/>
        </w:trPr>
        <w:tc>
          <w:tcPr>
            <w:tcW w:w="1384" w:type="dxa"/>
            <w:shd w:val="clear" w:color="auto" w:fill="FFFFFF" w:themeFill="background1"/>
          </w:tcPr>
          <w:p w14:paraId="64BC3A56" w14:textId="77777777" w:rsidR="00C04D6C" w:rsidRPr="00DE7904" w:rsidRDefault="00C04D6C" w:rsidP="00D819DE">
            <w:pPr>
              <w:autoSpaceDE w:val="0"/>
              <w:autoSpaceDN w:val="0"/>
              <w:adjustRightInd w:val="0"/>
              <w:spacing w:before="60" w:after="120"/>
              <w:jc w:val="center"/>
              <w:rPr>
                <w:rFonts w:ascii="Times New Roman" w:hAnsi="Times New Roman" w:cs="Times New Roman"/>
                <w:sz w:val="24"/>
              </w:rPr>
            </w:pPr>
            <w:r w:rsidRPr="00DE7904">
              <w:rPr>
                <w:rFonts w:ascii="Times New Roman" w:hAnsi="Times New Roman"/>
                <w:sz w:val="24"/>
              </w:rPr>
              <w:t>12</w:t>
            </w:r>
          </w:p>
        </w:tc>
        <w:tc>
          <w:tcPr>
            <w:tcW w:w="7655" w:type="dxa"/>
            <w:shd w:val="clear" w:color="auto" w:fill="FFFFFF" w:themeFill="background1"/>
          </w:tcPr>
          <w:p w14:paraId="2416DA9F" w14:textId="77777777" w:rsidR="00C04D6C" w:rsidRPr="00DE7904" w:rsidRDefault="00C04D6C" w:rsidP="00D819DE">
            <w:pPr>
              <w:spacing w:before="60" w:after="120"/>
              <w:jc w:val="both"/>
              <w:rPr>
                <w:rFonts w:ascii="Times New Roman" w:eastAsia="Times New Roman" w:hAnsi="Times New Roman" w:cs="Times New Roman"/>
                <w:b/>
                <w:sz w:val="24"/>
              </w:rPr>
            </w:pPr>
            <w:r w:rsidRPr="00DE7904">
              <w:rPr>
                <w:rFonts w:ascii="Times New Roman" w:hAnsi="Times New Roman"/>
                <w:b/>
                <w:sz w:val="24"/>
              </w:rPr>
              <w:t>Importi delle esposizioni considerati ai fini regolamentari</w:t>
            </w:r>
          </w:p>
          <w:p w14:paraId="1BCDD663" w14:textId="1194F21A" w:rsidR="00C04D6C" w:rsidRPr="00DE7904" w:rsidRDefault="00C04D6C" w:rsidP="00D819DE">
            <w:pPr>
              <w:spacing w:before="60" w:after="120"/>
              <w:jc w:val="both"/>
              <w:rPr>
                <w:rFonts w:ascii="Times New Roman" w:eastAsia="Times New Roman" w:hAnsi="Times New Roman" w:cs="Times New Roman"/>
                <w:sz w:val="24"/>
              </w:rPr>
            </w:pPr>
            <w:r w:rsidRPr="00DE7904">
              <w:rPr>
                <w:rFonts w:ascii="Times New Roman" w:hAnsi="Times New Roman"/>
                <w:sz w:val="24"/>
              </w:rPr>
              <w:t>Importo aggregato considerato come punto di partenza per il calcolo degli importi delle esposizioni ponderati per il rischio (RWEA) dopo l</w:t>
            </w:r>
            <w:r w:rsidR="00B96C44" w:rsidRPr="00DE7904">
              <w:rPr>
                <w:rFonts w:ascii="Times New Roman" w:hAnsi="Times New Roman"/>
                <w:sz w:val="24"/>
              </w:rPr>
              <w:t>'</w:t>
            </w:r>
            <w:r w:rsidRPr="00DE7904">
              <w:rPr>
                <w:rFonts w:ascii="Times New Roman" w:hAnsi="Times New Roman"/>
                <w:sz w:val="24"/>
              </w:rPr>
              <w:t>applicazione dei metodi CRM diversi dalla compensazione di cui alla parte tre, titolo II, capo 4, del CRR, e dopo l</w:t>
            </w:r>
            <w:r w:rsidR="00B96C44" w:rsidRPr="00DE7904">
              <w:rPr>
                <w:rFonts w:ascii="Times New Roman" w:hAnsi="Times New Roman"/>
                <w:sz w:val="24"/>
              </w:rPr>
              <w:t>'</w:t>
            </w:r>
            <w:r w:rsidRPr="00DE7904">
              <w:rPr>
                <w:rFonts w:ascii="Times New Roman" w:hAnsi="Times New Roman"/>
                <w:sz w:val="24"/>
              </w:rPr>
              <w:t>applicazione dei requisiti di compensazione di cui alla parte tre, titolo II, capi 4 e 5, e titolo IV dello stesso regolamento per ciascuna delle categorie di rischio.</w:t>
            </w:r>
          </w:p>
          <w:p w14:paraId="42A65886" w14:textId="727981A3" w:rsidR="00C04D6C" w:rsidRPr="00DE7904" w:rsidRDefault="00C04D6C" w:rsidP="00D819DE">
            <w:pPr>
              <w:spacing w:before="60" w:after="120"/>
              <w:jc w:val="both"/>
              <w:rPr>
                <w:rFonts w:ascii="Times New Roman" w:eastAsia="Times New Roman" w:hAnsi="Times New Roman" w:cs="Times New Roman"/>
                <w:sz w:val="24"/>
              </w:rPr>
            </w:pPr>
            <w:r w:rsidRPr="00DE7904">
              <w:rPr>
                <w:rFonts w:ascii="Times New Roman" w:hAnsi="Times New Roman"/>
                <w:sz w:val="24"/>
              </w:rPr>
              <w:lastRenderedPageBreak/>
              <w:t>In caso di applicazione del metodo standardizzato, si tratta del valore dopo le rettifiche su crediti specifiche, le rettifiche di valore supplementari conformemente agli articoli 34 e 110 del CRR e le altre riduzioni di fondi propri relative all</w:t>
            </w:r>
            <w:r w:rsidR="00B96C44" w:rsidRPr="00DE7904">
              <w:rPr>
                <w:rFonts w:ascii="Times New Roman" w:hAnsi="Times New Roman"/>
                <w:sz w:val="24"/>
              </w:rPr>
              <w:t>'</w:t>
            </w:r>
            <w:r w:rsidRPr="00DE7904">
              <w:rPr>
                <w:rFonts w:ascii="Times New Roman" w:hAnsi="Times New Roman"/>
                <w:sz w:val="24"/>
              </w:rPr>
              <w:t>elemento dell</w:t>
            </w:r>
            <w:r w:rsidR="00B96C44" w:rsidRPr="00DE7904">
              <w:rPr>
                <w:rFonts w:ascii="Times New Roman" w:hAnsi="Times New Roman"/>
                <w:sz w:val="24"/>
              </w:rPr>
              <w:t>'</w:t>
            </w:r>
            <w:r w:rsidRPr="00DE7904">
              <w:rPr>
                <w:rFonts w:ascii="Times New Roman" w:hAnsi="Times New Roman"/>
                <w:sz w:val="24"/>
              </w:rPr>
              <w:t>attivo. Per gli elementi fuori bilancio elencati nell</w:t>
            </w:r>
            <w:r w:rsidR="00B96C44" w:rsidRPr="00DE7904">
              <w:rPr>
                <w:rFonts w:ascii="Times New Roman" w:hAnsi="Times New Roman"/>
                <w:sz w:val="24"/>
              </w:rPr>
              <w:t>'</w:t>
            </w:r>
            <w:r w:rsidRPr="00DE7904">
              <w:rPr>
                <w:rFonts w:ascii="Times New Roman" w:hAnsi="Times New Roman"/>
                <w:sz w:val="24"/>
              </w:rPr>
              <w:t>allegato I del presente regolamento di esecuzione, il valore dell</w:t>
            </w:r>
            <w:r w:rsidR="00B96C44" w:rsidRPr="00DE7904">
              <w:rPr>
                <w:rFonts w:ascii="Times New Roman" w:hAnsi="Times New Roman"/>
                <w:sz w:val="24"/>
              </w:rPr>
              <w:t>'</w:t>
            </w:r>
            <w:r w:rsidRPr="00DE7904">
              <w:rPr>
                <w:rFonts w:ascii="Times New Roman" w:hAnsi="Times New Roman"/>
                <w:sz w:val="24"/>
              </w:rPr>
              <w:t>esposizione è pari al valore nominale dopo la riduzione delle rettifiche di valore su crediti specifiche moltiplicato per la percentuale applicabile di cui all</w:t>
            </w:r>
            <w:r w:rsidR="00B96C44" w:rsidRPr="00DE7904">
              <w:rPr>
                <w:rFonts w:ascii="Times New Roman" w:hAnsi="Times New Roman"/>
                <w:sz w:val="24"/>
              </w:rPr>
              <w:t>'</w:t>
            </w:r>
            <w:r w:rsidRPr="00DE7904">
              <w:rPr>
                <w:rFonts w:ascii="Times New Roman" w:hAnsi="Times New Roman"/>
                <w:sz w:val="24"/>
              </w:rPr>
              <w:t>articolo 111, paragrafo 1, lettere a) e d), del CRR.</w:t>
            </w:r>
          </w:p>
          <w:p w14:paraId="029EEE3E" w14:textId="57F19A5D" w:rsidR="00C04D6C" w:rsidRPr="00DE7904" w:rsidRDefault="00C04D6C" w:rsidP="00D819DE">
            <w:pPr>
              <w:spacing w:before="60" w:after="120"/>
              <w:jc w:val="both"/>
              <w:rPr>
                <w:rFonts w:ascii="Times New Roman" w:eastAsia="Times New Roman" w:hAnsi="Times New Roman" w:cs="Times New Roman"/>
                <w:sz w:val="24"/>
              </w:rPr>
            </w:pPr>
            <w:r w:rsidRPr="00DE7904">
              <w:rPr>
                <w:rFonts w:ascii="Times New Roman" w:hAnsi="Times New Roman"/>
                <w:sz w:val="24"/>
              </w:rPr>
              <w:t>Per il metodo IRB, il valore pubblicato è il valore dell</w:t>
            </w:r>
            <w:r w:rsidR="00B96C44" w:rsidRPr="00DE7904">
              <w:rPr>
                <w:rFonts w:ascii="Times New Roman" w:hAnsi="Times New Roman"/>
                <w:sz w:val="24"/>
              </w:rPr>
              <w:t>'</w:t>
            </w:r>
            <w:r w:rsidRPr="00DE7904">
              <w:rPr>
                <w:rFonts w:ascii="Times New Roman" w:hAnsi="Times New Roman"/>
                <w:sz w:val="24"/>
              </w:rPr>
              <w:t>esposizione ai sensi degli articoli 166, 167 e 168 del CRR.</w:t>
            </w:r>
          </w:p>
          <w:p w14:paraId="262660AB" w14:textId="6E34E301" w:rsidR="00C04D6C" w:rsidRPr="00DE7904" w:rsidRDefault="00C04D6C" w:rsidP="00D819DE">
            <w:pPr>
              <w:spacing w:before="60" w:after="120"/>
              <w:jc w:val="both"/>
              <w:rPr>
                <w:rFonts w:ascii="Times New Roman" w:eastAsia="Times New Roman" w:hAnsi="Times New Roman" w:cs="Times New Roman"/>
                <w:sz w:val="24"/>
              </w:rPr>
            </w:pPr>
            <w:proofErr w:type="gramStart"/>
            <w:r w:rsidRPr="00DE7904">
              <w:rPr>
                <w:rFonts w:ascii="Times New Roman" w:hAnsi="Times New Roman"/>
                <w:sz w:val="24"/>
              </w:rPr>
              <w:t>Pertanto</w:t>
            </w:r>
            <w:proofErr w:type="gramEnd"/>
            <w:r w:rsidRPr="00DE7904">
              <w:rPr>
                <w:rFonts w:ascii="Times New Roman" w:hAnsi="Times New Roman"/>
                <w:sz w:val="24"/>
              </w:rPr>
              <w:t xml:space="preserve"> i valori contabili di cui al bilancio nell</w:t>
            </w:r>
            <w:r w:rsidR="00B96C44" w:rsidRPr="00DE7904">
              <w:rPr>
                <w:rFonts w:ascii="Times New Roman" w:hAnsi="Times New Roman"/>
                <w:sz w:val="24"/>
              </w:rPr>
              <w:t>'</w:t>
            </w:r>
            <w:r w:rsidRPr="00DE7904">
              <w:rPr>
                <w:rFonts w:ascii="Times New Roman" w:hAnsi="Times New Roman"/>
                <w:sz w:val="24"/>
              </w:rPr>
              <w:t>ambito del consolidamento prudenziale sono indicati nelle corrispondenti righe da 1 a 3 di questo modello, mentre le esposizioni originarie fuori bilancio sono indicate nella riga 4 di questo modello. Eventuali aggiunte o riduzioni regolamentari specifiche relative a tali importi sono incluse nelle righe da 5 a 11 di questo modello per spiegare come riconciliare tali importi con l</w:t>
            </w:r>
            <w:r w:rsidR="00B96C44" w:rsidRPr="00DE7904">
              <w:rPr>
                <w:rFonts w:ascii="Times New Roman" w:hAnsi="Times New Roman"/>
                <w:sz w:val="24"/>
              </w:rPr>
              <w:t>'</w:t>
            </w:r>
            <w:r w:rsidRPr="00DE7904">
              <w:rPr>
                <w:rFonts w:ascii="Times New Roman" w:hAnsi="Times New Roman"/>
                <w:sz w:val="24"/>
              </w:rPr>
              <w:t>importo dell</w:t>
            </w:r>
            <w:r w:rsidR="00B96C44" w:rsidRPr="00DE7904">
              <w:rPr>
                <w:rFonts w:ascii="Times New Roman" w:hAnsi="Times New Roman"/>
                <w:sz w:val="24"/>
              </w:rPr>
              <w:t>'</w:t>
            </w:r>
            <w:r w:rsidRPr="00DE7904">
              <w:rPr>
                <w:rFonts w:ascii="Times New Roman" w:hAnsi="Times New Roman"/>
                <w:sz w:val="24"/>
              </w:rPr>
              <w:t>esposizione considerato a fini regolamentari come il punto di partenza del calcolo degli RWEA conformemente a ciascuno dei quadri indicati nelle colonne da b) a e) di questo modello. Ciò significa che, in particolare per il rischio di credito, gli importi delle esposizioni considerati a fini regolamentari da indicare nella riga</w:t>
            </w:r>
            <w:r w:rsidR="002F74D1" w:rsidRPr="00DE7904">
              <w:rPr>
                <w:rFonts w:ascii="Times New Roman" w:hAnsi="Times New Roman"/>
                <w:sz w:val="24"/>
              </w:rPr>
              <w:t> </w:t>
            </w:r>
            <w:r w:rsidRPr="00DE7904">
              <w:rPr>
                <w:rFonts w:ascii="Times New Roman" w:hAnsi="Times New Roman"/>
                <w:sz w:val="24"/>
              </w:rPr>
              <w:t>12 di questo modello saranno diversi dai valori contabili indicati nel bilancio nell</w:t>
            </w:r>
            <w:r w:rsidR="00B96C44" w:rsidRPr="00DE7904">
              <w:rPr>
                <w:rFonts w:ascii="Times New Roman" w:hAnsi="Times New Roman"/>
                <w:sz w:val="24"/>
              </w:rPr>
              <w:t>'</w:t>
            </w:r>
            <w:r w:rsidRPr="00DE7904">
              <w:rPr>
                <w:rFonts w:ascii="Times New Roman" w:hAnsi="Times New Roman"/>
                <w:sz w:val="24"/>
              </w:rPr>
              <w:t>ambito del consolidamento prudenziale, a causa del particolare trattamento regolamentare degli accantonamenti contabili per il calcolo degli RWEA.</w:t>
            </w:r>
          </w:p>
        </w:tc>
      </w:tr>
    </w:tbl>
    <w:p w14:paraId="16B30017" w14:textId="77777777" w:rsidR="00C04D6C" w:rsidRPr="00DE7904" w:rsidRDefault="00C04D6C" w:rsidP="00C04D6C">
      <w:pPr>
        <w:jc w:val="both"/>
        <w:rPr>
          <w:rFonts w:ascii="Times New Roman" w:hAnsi="Times New Roman" w:cs="Times New Roman"/>
          <w:sz w:val="24"/>
        </w:rPr>
      </w:pPr>
    </w:p>
    <w:p w14:paraId="6C172395" w14:textId="77777777" w:rsidR="00C04D6C" w:rsidRPr="00DE7904" w:rsidRDefault="00C04D6C" w:rsidP="00C04D6C">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DE7904" w14:paraId="419A1964" w14:textId="77777777" w:rsidTr="00D819DE">
        <w:trPr>
          <w:trHeight w:val="238"/>
        </w:trPr>
        <w:tc>
          <w:tcPr>
            <w:tcW w:w="9039" w:type="dxa"/>
            <w:gridSpan w:val="2"/>
            <w:shd w:val="clear" w:color="auto" w:fill="D9D9D9" w:themeFill="background1" w:themeFillShade="D9"/>
          </w:tcPr>
          <w:p w14:paraId="4EBCF1EE" w14:textId="77777777" w:rsidR="00C04D6C" w:rsidRPr="00DE7904" w:rsidRDefault="00C04D6C" w:rsidP="00D819DE">
            <w:pPr>
              <w:autoSpaceDE w:val="0"/>
              <w:autoSpaceDN w:val="0"/>
              <w:adjustRightInd w:val="0"/>
              <w:rPr>
                <w:rFonts w:ascii="Times New Roman" w:hAnsi="Times New Roman" w:cs="Times New Roman"/>
                <w:b/>
                <w:sz w:val="24"/>
              </w:rPr>
            </w:pPr>
            <w:r w:rsidRPr="00DE7904">
              <w:rPr>
                <w:rFonts w:ascii="Times New Roman" w:hAnsi="Times New Roman"/>
                <w:b/>
                <w:sz w:val="24"/>
              </w:rPr>
              <w:t>Riferimenti giuridici e istruzioni</w:t>
            </w:r>
          </w:p>
        </w:tc>
      </w:tr>
      <w:tr w:rsidR="00C04D6C" w:rsidRPr="00DE7904" w14:paraId="3E5C9001" w14:textId="77777777" w:rsidTr="00D819DE">
        <w:trPr>
          <w:trHeight w:val="238"/>
        </w:trPr>
        <w:tc>
          <w:tcPr>
            <w:tcW w:w="1384" w:type="dxa"/>
            <w:tcBorders>
              <w:bottom w:val="single" w:sz="4" w:space="0" w:color="auto"/>
            </w:tcBorders>
            <w:shd w:val="clear" w:color="auto" w:fill="D9D9D9" w:themeFill="background1" w:themeFillShade="D9"/>
          </w:tcPr>
          <w:p w14:paraId="4FCCFAAD" w14:textId="77777777" w:rsidR="00C04D6C" w:rsidRPr="00DE7904" w:rsidRDefault="00C04D6C" w:rsidP="002F74D1">
            <w:pPr>
              <w:keepNext/>
              <w:autoSpaceDE w:val="0"/>
              <w:autoSpaceDN w:val="0"/>
              <w:adjustRightInd w:val="0"/>
              <w:ind w:right="-163"/>
              <w:rPr>
                <w:rFonts w:ascii="Times New Roman" w:hAnsi="Times New Roman" w:cs="Times New Roman"/>
                <w:b/>
                <w:sz w:val="24"/>
              </w:rPr>
            </w:pPr>
            <w:r w:rsidRPr="00DE7904">
              <w:rPr>
                <w:rFonts w:ascii="Times New Roman" w:hAnsi="Times New Roman"/>
                <w:b/>
                <w:sz w:val="24"/>
              </w:rPr>
              <w:t>Riferimento della colonna</w:t>
            </w:r>
          </w:p>
        </w:tc>
        <w:tc>
          <w:tcPr>
            <w:tcW w:w="7655" w:type="dxa"/>
            <w:tcBorders>
              <w:bottom w:val="single" w:sz="4" w:space="0" w:color="auto"/>
            </w:tcBorders>
            <w:shd w:val="clear" w:color="auto" w:fill="D9D9D9" w:themeFill="background1" w:themeFillShade="D9"/>
          </w:tcPr>
          <w:p w14:paraId="05B9A787" w14:textId="77777777" w:rsidR="00C04D6C" w:rsidRPr="00DE7904" w:rsidRDefault="00C04D6C" w:rsidP="00D819DE">
            <w:pPr>
              <w:autoSpaceDE w:val="0"/>
              <w:autoSpaceDN w:val="0"/>
              <w:adjustRightInd w:val="0"/>
              <w:spacing w:before="60" w:after="120"/>
              <w:rPr>
                <w:rFonts w:ascii="Times New Roman" w:hAnsi="Times New Roman" w:cs="Times New Roman"/>
                <w:color w:val="000000"/>
                <w:sz w:val="24"/>
              </w:rPr>
            </w:pPr>
            <w:r w:rsidRPr="00DE7904">
              <w:rPr>
                <w:rFonts w:ascii="Times New Roman" w:hAnsi="Times New Roman"/>
                <w:b/>
                <w:sz w:val="24"/>
              </w:rPr>
              <w:t>Spiegazione</w:t>
            </w:r>
          </w:p>
        </w:tc>
      </w:tr>
      <w:tr w:rsidR="00C04D6C" w:rsidRPr="00DE7904" w14:paraId="6D075D12" w14:textId="77777777" w:rsidTr="00D819DE">
        <w:trPr>
          <w:trHeight w:val="238"/>
        </w:trPr>
        <w:tc>
          <w:tcPr>
            <w:tcW w:w="1384" w:type="dxa"/>
            <w:tcBorders>
              <w:bottom w:val="single" w:sz="4" w:space="0" w:color="auto"/>
            </w:tcBorders>
            <w:shd w:val="clear" w:color="auto" w:fill="FFFFFF" w:themeFill="background1"/>
          </w:tcPr>
          <w:p w14:paraId="000D456B" w14:textId="77777777" w:rsidR="00C04D6C" w:rsidRPr="00DE7904" w:rsidRDefault="00C04D6C" w:rsidP="00D819DE">
            <w:pPr>
              <w:autoSpaceDE w:val="0"/>
              <w:autoSpaceDN w:val="0"/>
              <w:adjustRightInd w:val="0"/>
              <w:spacing w:before="60" w:after="120"/>
              <w:jc w:val="center"/>
              <w:rPr>
                <w:rFonts w:ascii="Times New Roman" w:hAnsi="Times New Roman" w:cs="Times New Roman"/>
                <w:b/>
                <w:sz w:val="24"/>
              </w:rPr>
            </w:pPr>
            <w:r w:rsidRPr="00DE7904">
              <w:rPr>
                <w:rFonts w:ascii="Times New Roman" w:hAnsi="Times New Roman"/>
                <w:b/>
                <w:sz w:val="24"/>
              </w:rPr>
              <w:t>a</w:t>
            </w:r>
          </w:p>
        </w:tc>
        <w:tc>
          <w:tcPr>
            <w:tcW w:w="7655" w:type="dxa"/>
            <w:tcBorders>
              <w:bottom w:val="single" w:sz="4" w:space="0" w:color="auto"/>
            </w:tcBorders>
            <w:shd w:val="clear" w:color="auto" w:fill="FFFFFF" w:themeFill="background1"/>
          </w:tcPr>
          <w:p w14:paraId="182CBF30" w14:textId="77777777" w:rsidR="00C04D6C" w:rsidRPr="00DE7904" w:rsidRDefault="00C04D6C" w:rsidP="00D819DE">
            <w:pPr>
              <w:spacing w:before="60" w:after="120"/>
              <w:jc w:val="both"/>
              <w:rPr>
                <w:rFonts w:ascii="Times New Roman" w:hAnsi="Times New Roman"/>
                <w:b/>
                <w:sz w:val="24"/>
              </w:rPr>
            </w:pPr>
            <w:r w:rsidRPr="00DE7904">
              <w:rPr>
                <w:rFonts w:ascii="Times New Roman" w:hAnsi="Times New Roman"/>
                <w:b/>
                <w:sz w:val="24"/>
              </w:rPr>
              <w:t>Totale</w:t>
            </w:r>
          </w:p>
          <w:p w14:paraId="07AF5974" w14:textId="77777777" w:rsidR="00C04D6C" w:rsidRPr="00DE7904" w:rsidRDefault="00C04D6C" w:rsidP="00D819DE">
            <w:pPr>
              <w:spacing w:before="60" w:after="120"/>
              <w:jc w:val="both"/>
              <w:rPr>
                <w:rFonts w:ascii="Times New Roman" w:eastAsia="Times New Roman" w:hAnsi="Times New Roman" w:cs="Times New Roman"/>
                <w:sz w:val="24"/>
              </w:rPr>
            </w:pPr>
            <w:r w:rsidRPr="00DE7904">
              <w:rPr>
                <w:rFonts w:ascii="Times New Roman" w:hAnsi="Times New Roman"/>
                <w:sz w:val="24"/>
              </w:rPr>
              <w:t>Totale nella colonna a) del modello EU LI2 = importi della colonna b) del modello EU LI1 – importi della colonna g) del modello EU LI1.</w:t>
            </w:r>
          </w:p>
        </w:tc>
      </w:tr>
      <w:tr w:rsidR="00C04D6C" w:rsidRPr="00DE7904" w14:paraId="56B847F0" w14:textId="77777777" w:rsidTr="00D819DE">
        <w:trPr>
          <w:trHeight w:val="238"/>
        </w:trPr>
        <w:tc>
          <w:tcPr>
            <w:tcW w:w="1384" w:type="dxa"/>
            <w:tcBorders>
              <w:bottom w:val="single" w:sz="4" w:space="0" w:color="auto"/>
            </w:tcBorders>
            <w:shd w:val="clear" w:color="auto" w:fill="FFFFFF" w:themeFill="background1"/>
          </w:tcPr>
          <w:p w14:paraId="4E8A7072" w14:textId="77777777" w:rsidR="00C04D6C" w:rsidRPr="00DE7904" w:rsidRDefault="00C04D6C" w:rsidP="00D819DE">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3008A540" w14:textId="77777777" w:rsidR="00C04D6C" w:rsidRPr="00DE7904" w:rsidRDefault="00C04D6C" w:rsidP="00D819DE">
            <w:pPr>
              <w:spacing w:before="60" w:after="120"/>
              <w:jc w:val="both"/>
              <w:rPr>
                <w:rFonts w:ascii="Times New Roman" w:eastAsia="Times New Roman" w:hAnsi="Times New Roman" w:cs="Times New Roman"/>
                <w:sz w:val="24"/>
              </w:rPr>
            </w:pPr>
            <w:r w:rsidRPr="00DE7904">
              <w:rPr>
                <w:rFonts w:ascii="Times New Roman" w:hAnsi="Times New Roman"/>
                <w:sz w:val="24"/>
              </w:rPr>
              <w:t xml:space="preserve">La ripartizione delle colonne da b) a e) in funzione delle categorie regolamentari di rischio corrisponde alla ripartizione elencata nella parte tre del CRR. </w:t>
            </w:r>
          </w:p>
        </w:tc>
      </w:tr>
      <w:tr w:rsidR="00C04D6C" w:rsidRPr="00DE7904" w14:paraId="5D5071F3"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6ACAB29" w14:textId="77777777" w:rsidR="00C04D6C" w:rsidRPr="00DE7904" w:rsidRDefault="00C04D6C" w:rsidP="00D819DE">
            <w:pPr>
              <w:autoSpaceDE w:val="0"/>
              <w:autoSpaceDN w:val="0"/>
              <w:adjustRightInd w:val="0"/>
              <w:spacing w:before="60" w:after="120"/>
              <w:jc w:val="center"/>
              <w:rPr>
                <w:rFonts w:ascii="Times New Roman" w:hAnsi="Times New Roman" w:cs="Times New Roman"/>
                <w:b/>
                <w:sz w:val="24"/>
              </w:rPr>
            </w:pPr>
            <w:r w:rsidRPr="00DE7904">
              <w:rPr>
                <w:rFonts w:ascii="Times New Roman" w:hAnsi="Times New Roman"/>
                <w:b/>
                <w:sz w:val="24"/>
              </w:rPr>
              <w:t>b</w:t>
            </w:r>
          </w:p>
        </w:tc>
        <w:tc>
          <w:tcPr>
            <w:tcW w:w="7655" w:type="dxa"/>
            <w:tcBorders>
              <w:top w:val="single" w:sz="4" w:space="0" w:color="auto"/>
              <w:bottom w:val="single" w:sz="4" w:space="0" w:color="auto"/>
            </w:tcBorders>
            <w:shd w:val="clear" w:color="auto" w:fill="FFFFFF" w:themeFill="background1"/>
          </w:tcPr>
          <w:p w14:paraId="592F3017" w14:textId="77777777" w:rsidR="00C04D6C" w:rsidRPr="00DE7904" w:rsidRDefault="00C04D6C" w:rsidP="00D819DE">
            <w:pPr>
              <w:spacing w:before="60" w:after="120"/>
              <w:jc w:val="both"/>
              <w:rPr>
                <w:rFonts w:ascii="Times New Roman" w:eastAsia="Times New Roman" w:hAnsi="Times New Roman" w:cs="Times New Roman"/>
                <w:b/>
                <w:sz w:val="24"/>
              </w:rPr>
            </w:pPr>
            <w:r w:rsidRPr="00DE7904">
              <w:rPr>
                <w:rFonts w:ascii="Times New Roman" w:hAnsi="Times New Roman"/>
                <w:b/>
                <w:sz w:val="24"/>
              </w:rPr>
              <w:t>Quadro relativo al rischio di credito</w:t>
            </w:r>
          </w:p>
          <w:p w14:paraId="0254C74A" w14:textId="77777777" w:rsidR="00C04D6C" w:rsidRPr="00DE7904" w:rsidRDefault="00C04D6C" w:rsidP="00D819DE">
            <w:pPr>
              <w:spacing w:before="60" w:after="120"/>
              <w:jc w:val="both"/>
              <w:rPr>
                <w:rFonts w:ascii="Times New Roman" w:hAnsi="Times New Roman" w:cs="Times New Roman"/>
                <w:sz w:val="24"/>
              </w:rPr>
            </w:pPr>
            <w:r w:rsidRPr="00DE7904">
              <w:rPr>
                <w:rFonts w:ascii="Times New Roman" w:hAnsi="Times New Roman"/>
                <w:sz w:val="24"/>
              </w:rPr>
              <w:t>Esposizioni di cui alla parte tre, titolo II, del CRR</w:t>
            </w:r>
          </w:p>
          <w:p w14:paraId="096E08B3" w14:textId="44A9FD7A" w:rsidR="00C04D6C" w:rsidRPr="00DE7904" w:rsidRDefault="00C04D6C" w:rsidP="00D819DE">
            <w:pPr>
              <w:spacing w:before="60" w:after="120"/>
              <w:jc w:val="both"/>
              <w:rPr>
                <w:rFonts w:ascii="Times New Roman" w:eastAsia="Times New Roman" w:hAnsi="Times New Roman" w:cs="Times New Roman"/>
                <w:sz w:val="24"/>
              </w:rPr>
            </w:pPr>
            <w:r w:rsidRPr="00DE7904">
              <w:rPr>
                <w:rFonts w:ascii="Times New Roman" w:hAnsi="Times New Roman"/>
                <w:sz w:val="24"/>
              </w:rPr>
              <w:t>Le esposizioni nel quadro relativo al rischio di credito corrispondono all</w:t>
            </w:r>
            <w:r w:rsidR="00B96C44" w:rsidRPr="00DE7904">
              <w:rPr>
                <w:rFonts w:ascii="Times New Roman" w:hAnsi="Times New Roman"/>
                <w:sz w:val="24"/>
              </w:rPr>
              <w:t>'</w:t>
            </w:r>
            <w:r w:rsidRPr="00DE7904">
              <w:rPr>
                <w:rFonts w:ascii="Times New Roman" w:hAnsi="Times New Roman"/>
                <w:sz w:val="24"/>
              </w:rPr>
              <w:t>importo dell</w:t>
            </w:r>
            <w:r w:rsidR="00B96C44" w:rsidRPr="00DE7904">
              <w:rPr>
                <w:rFonts w:ascii="Times New Roman" w:hAnsi="Times New Roman"/>
                <w:sz w:val="24"/>
              </w:rPr>
              <w:t>'</w:t>
            </w:r>
            <w:r w:rsidRPr="00DE7904">
              <w:rPr>
                <w:rFonts w:ascii="Times New Roman" w:hAnsi="Times New Roman"/>
                <w:sz w:val="24"/>
              </w:rPr>
              <w:t xml:space="preserve">esposizione utilizzato nel metodo standardizzato per il rischio di credito (cfr. parte tre, titolo II, capo 2, articolo 111, del CRR) o alle esposizioni al momento del default al rischio di credito – metodo IRB (cfr. parte tre, titolo II, capo 3, articoli 166, 167 e 168, del CRR). </w:t>
            </w:r>
          </w:p>
        </w:tc>
      </w:tr>
      <w:tr w:rsidR="00C04D6C" w:rsidRPr="00DE7904" w14:paraId="2E656532"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2306D94" w14:textId="77777777" w:rsidR="00C04D6C" w:rsidRPr="00DE7904" w:rsidRDefault="00C04D6C" w:rsidP="002F74D1">
            <w:pPr>
              <w:keepNext/>
              <w:autoSpaceDE w:val="0"/>
              <w:autoSpaceDN w:val="0"/>
              <w:adjustRightInd w:val="0"/>
              <w:spacing w:before="60" w:after="120"/>
              <w:jc w:val="center"/>
              <w:rPr>
                <w:rFonts w:ascii="Times New Roman" w:hAnsi="Times New Roman" w:cs="Times New Roman"/>
                <w:b/>
                <w:sz w:val="24"/>
              </w:rPr>
            </w:pPr>
            <w:r w:rsidRPr="00DE7904">
              <w:rPr>
                <w:rFonts w:ascii="Times New Roman" w:hAnsi="Times New Roman"/>
                <w:b/>
                <w:sz w:val="24"/>
              </w:rPr>
              <w:lastRenderedPageBreak/>
              <w:t>c</w:t>
            </w:r>
          </w:p>
        </w:tc>
        <w:tc>
          <w:tcPr>
            <w:tcW w:w="7655" w:type="dxa"/>
            <w:tcBorders>
              <w:top w:val="single" w:sz="4" w:space="0" w:color="auto"/>
              <w:bottom w:val="single" w:sz="4" w:space="0" w:color="auto"/>
            </w:tcBorders>
            <w:shd w:val="clear" w:color="auto" w:fill="FFFFFF" w:themeFill="background1"/>
          </w:tcPr>
          <w:p w14:paraId="46E8B06A" w14:textId="77777777" w:rsidR="00C04D6C" w:rsidRPr="00DE7904" w:rsidRDefault="00C04D6C" w:rsidP="002F74D1">
            <w:pPr>
              <w:keepNext/>
              <w:spacing w:before="60" w:after="120"/>
              <w:jc w:val="both"/>
              <w:rPr>
                <w:rFonts w:ascii="Times New Roman" w:eastAsia="Times New Roman" w:hAnsi="Times New Roman" w:cs="Times New Roman"/>
                <w:b/>
                <w:sz w:val="24"/>
              </w:rPr>
            </w:pPr>
            <w:r w:rsidRPr="00DE7904">
              <w:rPr>
                <w:rFonts w:ascii="Times New Roman" w:hAnsi="Times New Roman"/>
                <w:b/>
                <w:sz w:val="24"/>
              </w:rPr>
              <w:t xml:space="preserve">Quadro relativo alla cartolarizzazione </w:t>
            </w:r>
          </w:p>
          <w:p w14:paraId="67C4B0D7" w14:textId="0EB85CA1" w:rsidR="00C04D6C" w:rsidRPr="00DE7904" w:rsidRDefault="00C04D6C" w:rsidP="002F74D1">
            <w:pPr>
              <w:keepNext/>
              <w:spacing w:before="60" w:after="120"/>
              <w:jc w:val="both"/>
              <w:rPr>
                <w:rFonts w:ascii="Times New Roman" w:eastAsia="Times New Roman" w:hAnsi="Times New Roman" w:cs="Times New Roman"/>
                <w:color w:val="A8D08D" w:themeColor="accent6" w:themeTint="99"/>
                <w:sz w:val="24"/>
              </w:rPr>
            </w:pPr>
            <w:r w:rsidRPr="00DE7904">
              <w:rPr>
                <w:rFonts w:ascii="Times New Roman" w:hAnsi="Times New Roman"/>
                <w:sz w:val="24"/>
              </w:rPr>
              <w:t>Esposizioni esterne al portafoglio di negoziazione di cui alla parte tre, titolo</w:t>
            </w:r>
            <w:r w:rsidR="002F74D1" w:rsidRPr="00DE7904">
              <w:rPr>
                <w:rFonts w:ascii="Times New Roman" w:hAnsi="Times New Roman"/>
                <w:sz w:val="24"/>
              </w:rPr>
              <w:t> </w:t>
            </w:r>
            <w:r w:rsidRPr="00DE7904">
              <w:rPr>
                <w:rFonts w:ascii="Times New Roman" w:hAnsi="Times New Roman"/>
                <w:sz w:val="24"/>
              </w:rPr>
              <w:t>II, capo 5, del CRR</w:t>
            </w:r>
          </w:p>
          <w:p w14:paraId="7FC11C3E" w14:textId="77777777" w:rsidR="00C04D6C" w:rsidRPr="00DE7904" w:rsidRDefault="00C04D6C" w:rsidP="002F74D1">
            <w:pPr>
              <w:keepNext/>
              <w:spacing w:before="60" w:after="120"/>
              <w:jc w:val="both"/>
              <w:rPr>
                <w:rFonts w:ascii="Times New Roman" w:eastAsia="Times New Roman" w:hAnsi="Times New Roman" w:cs="Times New Roman"/>
                <w:b/>
                <w:sz w:val="24"/>
              </w:rPr>
            </w:pPr>
            <w:r w:rsidRPr="00DE7904">
              <w:rPr>
                <w:rFonts w:ascii="Times New Roman" w:hAnsi="Times New Roman"/>
                <w:sz w:val="24"/>
              </w:rPr>
              <w:t>Le esposizioni verso la cartolarizzazione sono determinate conformemente alla parte tre, titolo II, capo 5, articolo 246, del CRR.</w:t>
            </w:r>
          </w:p>
        </w:tc>
      </w:tr>
      <w:tr w:rsidR="00C04D6C" w:rsidRPr="00DE7904" w14:paraId="6C769D68" w14:textId="77777777" w:rsidTr="00D819DE">
        <w:trPr>
          <w:trHeight w:val="238"/>
        </w:trPr>
        <w:tc>
          <w:tcPr>
            <w:tcW w:w="1384" w:type="dxa"/>
            <w:tcBorders>
              <w:top w:val="single" w:sz="4" w:space="0" w:color="auto"/>
              <w:bottom w:val="single" w:sz="4" w:space="0" w:color="auto"/>
            </w:tcBorders>
            <w:shd w:val="clear" w:color="auto" w:fill="FFFFFF" w:themeFill="background1"/>
          </w:tcPr>
          <w:p w14:paraId="02E7ED95" w14:textId="77777777" w:rsidR="00C04D6C" w:rsidRPr="00DE7904" w:rsidRDefault="00C04D6C" w:rsidP="00D819DE">
            <w:pPr>
              <w:autoSpaceDE w:val="0"/>
              <w:autoSpaceDN w:val="0"/>
              <w:adjustRightInd w:val="0"/>
              <w:spacing w:before="60" w:after="120"/>
              <w:jc w:val="center"/>
              <w:rPr>
                <w:rFonts w:ascii="Times New Roman" w:hAnsi="Times New Roman" w:cs="Times New Roman"/>
                <w:b/>
                <w:sz w:val="24"/>
              </w:rPr>
            </w:pPr>
            <w:r w:rsidRPr="00DE7904">
              <w:rPr>
                <w:rFonts w:ascii="Times New Roman" w:hAnsi="Times New Roman"/>
                <w:b/>
                <w:sz w:val="24"/>
              </w:rPr>
              <w:t>d</w:t>
            </w:r>
          </w:p>
        </w:tc>
        <w:tc>
          <w:tcPr>
            <w:tcW w:w="7655" w:type="dxa"/>
            <w:tcBorders>
              <w:top w:val="single" w:sz="4" w:space="0" w:color="auto"/>
              <w:bottom w:val="single" w:sz="4" w:space="0" w:color="auto"/>
            </w:tcBorders>
            <w:shd w:val="clear" w:color="auto" w:fill="FFFFFF" w:themeFill="background1"/>
          </w:tcPr>
          <w:p w14:paraId="16922C5F" w14:textId="77777777" w:rsidR="00C04D6C" w:rsidRPr="00DE7904" w:rsidRDefault="00C04D6C" w:rsidP="00D819DE">
            <w:pPr>
              <w:spacing w:before="60" w:after="120"/>
              <w:jc w:val="both"/>
              <w:rPr>
                <w:rFonts w:ascii="Times New Roman" w:eastAsia="Times New Roman" w:hAnsi="Times New Roman" w:cs="Times New Roman"/>
                <w:b/>
                <w:sz w:val="24"/>
              </w:rPr>
            </w:pPr>
            <w:r w:rsidRPr="00DE7904">
              <w:rPr>
                <w:rFonts w:ascii="Times New Roman" w:hAnsi="Times New Roman"/>
                <w:b/>
                <w:sz w:val="24"/>
              </w:rPr>
              <w:t>Quadro relativo al rischio di controparte (CCR)</w:t>
            </w:r>
          </w:p>
          <w:p w14:paraId="00BCF7AF" w14:textId="77777777" w:rsidR="00C04D6C" w:rsidRPr="00DE7904" w:rsidRDefault="00C04D6C" w:rsidP="00D819DE">
            <w:pPr>
              <w:spacing w:before="60" w:after="120"/>
              <w:jc w:val="both"/>
              <w:rPr>
                <w:rFonts w:ascii="Times New Roman" w:hAnsi="Times New Roman"/>
                <w:b/>
                <w:sz w:val="24"/>
              </w:rPr>
            </w:pPr>
            <w:r w:rsidRPr="00DE7904">
              <w:rPr>
                <w:rFonts w:ascii="Times New Roman" w:hAnsi="Times New Roman"/>
                <w:sz w:val="24"/>
              </w:rPr>
              <w:t>Esposizioni di cui alla parte tre, titolo II, capo 6, del CRR.</w:t>
            </w:r>
          </w:p>
        </w:tc>
      </w:tr>
      <w:tr w:rsidR="00C04D6C" w:rsidRPr="00DE7904" w14:paraId="43A437A0" w14:textId="77777777" w:rsidTr="00D819DE">
        <w:trPr>
          <w:trHeight w:val="238"/>
        </w:trPr>
        <w:tc>
          <w:tcPr>
            <w:tcW w:w="1384" w:type="dxa"/>
            <w:tcBorders>
              <w:top w:val="single" w:sz="4" w:space="0" w:color="auto"/>
              <w:bottom w:val="single" w:sz="4" w:space="0" w:color="auto"/>
            </w:tcBorders>
            <w:shd w:val="clear" w:color="auto" w:fill="FFFFFF" w:themeFill="background1"/>
          </w:tcPr>
          <w:p w14:paraId="1D819EC3" w14:textId="77777777" w:rsidR="00C04D6C" w:rsidRPr="00DE7904" w:rsidRDefault="00C04D6C" w:rsidP="00D819DE">
            <w:pPr>
              <w:autoSpaceDE w:val="0"/>
              <w:autoSpaceDN w:val="0"/>
              <w:adjustRightInd w:val="0"/>
              <w:spacing w:before="60" w:after="120"/>
              <w:jc w:val="center"/>
              <w:rPr>
                <w:rFonts w:ascii="Times New Roman" w:hAnsi="Times New Roman" w:cs="Times New Roman"/>
                <w:b/>
                <w:sz w:val="24"/>
              </w:rPr>
            </w:pPr>
            <w:r w:rsidRPr="00DE7904">
              <w:rPr>
                <w:rFonts w:ascii="Times New Roman" w:hAnsi="Times New Roman"/>
                <w:b/>
                <w:sz w:val="24"/>
              </w:rPr>
              <w:t>e</w:t>
            </w:r>
          </w:p>
        </w:tc>
        <w:tc>
          <w:tcPr>
            <w:tcW w:w="7655" w:type="dxa"/>
            <w:tcBorders>
              <w:top w:val="single" w:sz="4" w:space="0" w:color="auto"/>
              <w:bottom w:val="single" w:sz="4" w:space="0" w:color="auto"/>
            </w:tcBorders>
            <w:shd w:val="clear" w:color="auto" w:fill="FFFFFF" w:themeFill="background1"/>
          </w:tcPr>
          <w:p w14:paraId="10B46726" w14:textId="77777777" w:rsidR="00C04D6C" w:rsidRPr="00DE7904" w:rsidRDefault="00C04D6C" w:rsidP="00D819DE">
            <w:pPr>
              <w:spacing w:before="60" w:after="120"/>
              <w:jc w:val="both"/>
              <w:rPr>
                <w:rFonts w:ascii="Times New Roman" w:eastAsia="Times New Roman" w:hAnsi="Times New Roman" w:cs="Times New Roman"/>
                <w:b/>
                <w:sz w:val="24"/>
              </w:rPr>
            </w:pPr>
            <w:r w:rsidRPr="00DE7904">
              <w:rPr>
                <w:rFonts w:ascii="Times New Roman" w:hAnsi="Times New Roman"/>
                <w:b/>
                <w:sz w:val="24"/>
              </w:rPr>
              <w:t>Quadro relativo al rischio di mercato</w:t>
            </w:r>
          </w:p>
          <w:p w14:paraId="73E5DB24" w14:textId="77777777" w:rsidR="00C04D6C" w:rsidRPr="00DE7904" w:rsidRDefault="00C04D6C" w:rsidP="00D819DE">
            <w:pPr>
              <w:spacing w:before="60" w:after="120"/>
              <w:jc w:val="both"/>
              <w:rPr>
                <w:rFonts w:ascii="Times New Roman" w:hAnsi="Times New Roman"/>
                <w:sz w:val="24"/>
              </w:rPr>
            </w:pPr>
            <w:r w:rsidRPr="00DE7904">
              <w:rPr>
                <w:rFonts w:ascii="Times New Roman" w:hAnsi="Times New Roman"/>
                <w:sz w:val="24"/>
              </w:rPr>
              <w:t>Le esposizioni al rischio di mercato corrispondono alle posizioni soggette al quadro relativo al rischio di mercato di cui alla parte tre, titolo IV, del CRR.</w:t>
            </w:r>
          </w:p>
          <w:p w14:paraId="5414F913" w14:textId="77777777" w:rsidR="00C04D6C" w:rsidRPr="00DE7904" w:rsidRDefault="00C04D6C" w:rsidP="00D819DE">
            <w:pPr>
              <w:spacing w:before="60" w:after="120"/>
              <w:jc w:val="both"/>
              <w:rPr>
                <w:rFonts w:ascii="Times New Roman" w:eastAsia="Times New Roman" w:hAnsi="Times New Roman" w:cs="Times New Roman"/>
                <w:sz w:val="24"/>
              </w:rPr>
            </w:pPr>
            <w:r w:rsidRPr="00DE7904">
              <w:rPr>
                <w:rFonts w:ascii="Times New Roman" w:hAnsi="Times New Roman"/>
                <w:sz w:val="24"/>
              </w:rPr>
              <w:t>In relazione a questa colonna sono indicate solo le righe da 1 a 3 e 12 di questo modello.</w:t>
            </w:r>
          </w:p>
        </w:tc>
      </w:tr>
      <w:tr w:rsidR="00C04D6C" w:rsidRPr="00DE7904" w14:paraId="4C3ADD4C" w14:textId="77777777" w:rsidTr="00D819DE">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0DF6DA48" w14:textId="77777777" w:rsidR="00C04D6C" w:rsidRPr="00DE7904" w:rsidRDefault="00C04D6C" w:rsidP="00D819DE">
            <w:pPr>
              <w:autoSpaceDE w:val="0"/>
              <w:autoSpaceDN w:val="0"/>
              <w:adjustRightInd w:val="0"/>
              <w:spacing w:before="60" w:after="120"/>
              <w:jc w:val="center"/>
              <w:rPr>
                <w:rFonts w:ascii="Times New Roman" w:hAnsi="Times New Roman" w:cs="Times New Roman"/>
                <w:sz w:val="24"/>
              </w:rPr>
            </w:pPr>
            <w:r w:rsidRPr="00DE7904">
              <w:rPr>
                <w:rFonts w:ascii="Times New Roman" w:hAnsi="Times New Roman"/>
                <w:sz w:val="24"/>
              </w:rPr>
              <w:t>tutte</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5220B7E0" w14:textId="42D6DCBC" w:rsidR="00C04D6C" w:rsidRPr="00DE7904" w:rsidRDefault="00C04D6C" w:rsidP="00D819DE">
            <w:pPr>
              <w:spacing w:before="60" w:after="120"/>
              <w:jc w:val="both"/>
              <w:rPr>
                <w:rFonts w:ascii="Times New Roman" w:eastAsia="Times New Roman" w:hAnsi="Times New Roman" w:cs="Times New Roman"/>
                <w:sz w:val="24"/>
              </w:rPr>
            </w:pPr>
            <w:r w:rsidRPr="00DE7904">
              <w:rPr>
                <w:rFonts w:ascii="Times New Roman" w:hAnsi="Times New Roman"/>
                <w:sz w:val="24"/>
              </w:rPr>
              <w:t>Se un elemento è soggetto a requisiti patrimoniali conformemente a più di un quadro relativo al rischio, esso è indicato in tutte le colonne corrispondenti ai requisiti patrimoniali. Di conseguenza in questo modello la somma degli importi indicati nelle colonne da b) a e) può essere maggiore dell</w:t>
            </w:r>
            <w:r w:rsidR="00B96C44" w:rsidRPr="00DE7904">
              <w:rPr>
                <w:rFonts w:ascii="Times New Roman" w:hAnsi="Times New Roman"/>
                <w:sz w:val="24"/>
              </w:rPr>
              <w:t>'</w:t>
            </w:r>
            <w:r w:rsidRPr="00DE7904">
              <w:rPr>
                <w:rFonts w:ascii="Times New Roman" w:hAnsi="Times New Roman"/>
                <w:sz w:val="24"/>
              </w:rPr>
              <w:t>importo indicato nella colonna a). Gli enti forniscono spiegazioni qualitative sulle attività e sulle passività che sono soggette ai requisiti patrimoniali di più quadri relativi al rischio tra quelli elencati nella parte tre del CRR.</w:t>
            </w:r>
          </w:p>
        </w:tc>
      </w:tr>
    </w:tbl>
    <w:p w14:paraId="3680A8AE" w14:textId="77777777" w:rsidR="000223B3" w:rsidRPr="00DE7904" w:rsidRDefault="000223B3" w:rsidP="000223B3">
      <w:pPr>
        <w:spacing w:after="120"/>
        <w:jc w:val="both"/>
        <w:rPr>
          <w:rFonts w:ascii="Times New Roman" w:hAnsi="Times New Roman"/>
          <w:b/>
          <w:sz w:val="24"/>
        </w:rPr>
      </w:pPr>
    </w:p>
    <w:p w14:paraId="3F57B012" w14:textId="39EF9054" w:rsidR="00C04D6C" w:rsidRPr="00DE7904" w:rsidRDefault="00C04D6C" w:rsidP="00C04D6C">
      <w:pPr>
        <w:jc w:val="both"/>
        <w:rPr>
          <w:rFonts w:ascii="Times New Roman" w:hAnsi="Times New Roman" w:cs="Times New Roman"/>
          <w:b/>
          <w:sz w:val="24"/>
        </w:rPr>
      </w:pPr>
      <w:r w:rsidRPr="00DE7904">
        <w:rPr>
          <w:rFonts w:ascii="Times New Roman" w:hAnsi="Times New Roman"/>
          <w:b/>
          <w:sz w:val="24"/>
        </w:rPr>
        <w:t>Modello EU LI3: descrizione delle differenze tra gli ambiti di consolidamento (soggetto per soggetto)</w:t>
      </w:r>
    </w:p>
    <w:p w14:paraId="220A6A8C" w14:textId="06FE9401" w:rsidR="00C04D6C" w:rsidRPr="00DE7904" w:rsidRDefault="00C04D6C" w:rsidP="000223B3">
      <w:pPr>
        <w:pStyle w:val="ListParagraph"/>
        <w:numPr>
          <w:ilvl w:val="0"/>
          <w:numId w:val="1"/>
        </w:numPr>
        <w:spacing w:before="120" w:after="120"/>
        <w:ind w:left="432"/>
        <w:jc w:val="both"/>
        <w:rPr>
          <w:rFonts w:ascii="Times New Roman" w:hAnsi="Times New Roman"/>
          <w:color w:val="000000" w:themeColor="text1"/>
          <w:sz w:val="24"/>
        </w:rPr>
      </w:pPr>
      <w:r w:rsidRPr="00DE7904">
        <w:rPr>
          <w:rFonts w:ascii="Times New Roman" w:hAnsi="Times New Roman"/>
          <w:color w:val="000000" w:themeColor="text1"/>
          <w:sz w:val="24"/>
        </w:rPr>
        <w:t xml:space="preserve">Gli enti </w:t>
      </w:r>
      <w:r w:rsidRPr="00DE7904">
        <w:rPr>
          <w:rFonts w:ascii="Times New Roman" w:hAnsi="Times New Roman"/>
          <w:sz w:val="24"/>
        </w:rPr>
        <w:t>pubblicano le informazioni di cui all</w:t>
      </w:r>
      <w:r w:rsidR="00B96C44" w:rsidRPr="00DE7904">
        <w:rPr>
          <w:rFonts w:ascii="Times New Roman" w:hAnsi="Times New Roman"/>
          <w:sz w:val="24"/>
        </w:rPr>
        <w:t>'</w:t>
      </w:r>
      <w:r w:rsidRPr="00DE7904">
        <w:rPr>
          <w:rFonts w:ascii="Times New Roman" w:hAnsi="Times New Roman"/>
          <w:sz w:val="24"/>
        </w:rPr>
        <w:t xml:space="preserve">articolo 436, lettera b), del </w:t>
      </w:r>
      <w:r w:rsidRPr="00DE7904">
        <w:rPr>
          <w:rFonts w:ascii="Times New Roman" w:hAnsi="Times New Roman"/>
          <w:color w:val="000000" w:themeColor="text1"/>
          <w:sz w:val="24"/>
        </w:rPr>
        <w:t>CRR</w:t>
      </w:r>
      <w:r w:rsidRPr="00DE7904">
        <w:rPr>
          <w:rFonts w:ascii="Times New Roman" w:hAnsi="Times New Roman"/>
          <w:sz w:val="24"/>
        </w:rPr>
        <w:t xml:space="preserve"> seguendo le istruzioni fornite di seguito nel presente allegato per compilare il modello EU LI3 di cui all</w:t>
      </w:r>
      <w:r w:rsidR="00B96C44" w:rsidRPr="00DE7904">
        <w:rPr>
          <w:rFonts w:ascii="Times New Roman" w:hAnsi="Times New Roman"/>
          <w:sz w:val="24"/>
        </w:rPr>
        <w:t>'</w:t>
      </w:r>
      <w:r w:rsidRPr="00DE7904">
        <w:rPr>
          <w:rFonts w:ascii="Times New Roman" w:hAnsi="Times New Roman"/>
          <w:sz w:val="24"/>
        </w:rPr>
        <w:t>allegato V del presente regolamento di esecuzione</w:t>
      </w:r>
      <w:r w:rsidRPr="00DE7904">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DE7904" w14:paraId="79CC600E"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A645B2" w14:textId="77777777" w:rsidR="00C04D6C" w:rsidRPr="00DE7904" w:rsidRDefault="00C04D6C" w:rsidP="00D819DE">
            <w:pPr>
              <w:rPr>
                <w:rFonts w:ascii="Times New Roman" w:hAnsi="Times New Roman" w:cs="Times New Roman"/>
                <w:b/>
                <w:sz w:val="24"/>
              </w:rPr>
            </w:pPr>
            <w:r w:rsidRPr="00DE7904">
              <w:rPr>
                <w:rFonts w:ascii="Times New Roman" w:hAnsi="Times New Roman"/>
                <w:b/>
                <w:sz w:val="24"/>
              </w:rPr>
              <w:t>Riferimenti giuridici e istruzioni</w:t>
            </w:r>
          </w:p>
        </w:tc>
      </w:tr>
      <w:tr w:rsidR="00C04D6C" w:rsidRPr="00DE7904" w14:paraId="7049E2D0" w14:textId="77777777" w:rsidTr="00D819DE">
        <w:trPr>
          <w:trHeight w:val="238"/>
        </w:trPr>
        <w:tc>
          <w:tcPr>
            <w:tcW w:w="1384" w:type="dxa"/>
            <w:shd w:val="clear" w:color="auto" w:fill="D9D9D9" w:themeFill="background1" w:themeFillShade="D9"/>
          </w:tcPr>
          <w:p w14:paraId="308DE13D" w14:textId="2480EDE5" w:rsidR="00C04D6C" w:rsidRPr="00DE7904" w:rsidRDefault="00C04D6C" w:rsidP="002F74D1">
            <w:pPr>
              <w:autoSpaceDE w:val="0"/>
              <w:autoSpaceDN w:val="0"/>
              <w:adjustRightInd w:val="0"/>
              <w:rPr>
                <w:rFonts w:ascii="Times New Roman" w:hAnsi="Times New Roman" w:cs="Times New Roman"/>
                <w:b/>
                <w:sz w:val="24"/>
              </w:rPr>
            </w:pPr>
            <w:r w:rsidRPr="00DE7904">
              <w:rPr>
                <w:rFonts w:ascii="Times New Roman" w:hAnsi="Times New Roman"/>
                <w:b/>
                <w:sz w:val="24"/>
              </w:rPr>
              <w:t xml:space="preserve">Numero </w:t>
            </w:r>
            <w:r w:rsidR="002F74D1" w:rsidRPr="00DE7904">
              <w:rPr>
                <w:rFonts w:ascii="Times New Roman" w:hAnsi="Times New Roman"/>
                <w:b/>
                <w:sz w:val="24"/>
              </w:rPr>
              <w:br/>
            </w:r>
            <w:r w:rsidRPr="00DE7904">
              <w:rPr>
                <w:rFonts w:ascii="Times New Roman" w:hAnsi="Times New Roman"/>
                <w:b/>
                <w:sz w:val="24"/>
              </w:rPr>
              <w:t>di riga</w:t>
            </w:r>
          </w:p>
        </w:tc>
        <w:tc>
          <w:tcPr>
            <w:tcW w:w="7655" w:type="dxa"/>
            <w:shd w:val="clear" w:color="auto" w:fill="D9D9D9" w:themeFill="background1" w:themeFillShade="D9"/>
          </w:tcPr>
          <w:p w14:paraId="4E06A738" w14:textId="77777777" w:rsidR="00C04D6C" w:rsidRPr="00DE7904" w:rsidRDefault="00C04D6C" w:rsidP="00D819DE">
            <w:pPr>
              <w:autoSpaceDE w:val="0"/>
              <w:autoSpaceDN w:val="0"/>
              <w:adjustRightInd w:val="0"/>
              <w:rPr>
                <w:rFonts w:ascii="Times New Roman" w:hAnsi="Times New Roman" w:cs="Times New Roman"/>
                <w:color w:val="000000"/>
                <w:sz w:val="24"/>
              </w:rPr>
            </w:pPr>
            <w:r w:rsidRPr="00DE7904">
              <w:rPr>
                <w:rFonts w:ascii="Times New Roman" w:hAnsi="Times New Roman"/>
                <w:b/>
                <w:sz w:val="24"/>
              </w:rPr>
              <w:t>Spiegazione</w:t>
            </w:r>
          </w:p>
        </w:tc>
      </w:tr>
      <w:tr w:rsidR="00C04D6C" w:rsidRPr="00DE7904" w14:paraId="1334C028" w14:textId="77777777" w:rsidTr="00D819DE">
        <w:trPr>
          <w:trHeight w:val="238"/>
        </w:trPr>
        <w:tc>
          <w:tcPr>
            <w:tcW w:w="1384" w:type="dxa"/>
            <w:shd w:val="clear" w:color="auto" w:fill="FFFFFF" w:themeFill="background1"/>
          </w:tcPr>
          <w:p w14:paraId="5D8F2CBD" w14:textId="77777777" w:rsidR="00C04D6C" w:rsidRPr="00DE7904" w:rsidRDefault="00C04D6C" w:rsidP="00D819DE">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58B42D25" w14:textId="77777777" w:rsidR="00C04D6C" w:rsidRPr="00DE7904" w:rsidRDefault="00C04D6C" w:rsidP="00D819DE">
            <w:pPr>
              <w:autoSpaceDE w:val="0"/>
              <w:autoSpaceDN w:val="0"/>
              <w:adjustRightInd w:val="0"/>
              <w:spacing w:before="60" w:after="120"/>
              <w:jc w:val="both"/>
              <w:rPr>
                <w:rFonts w:ascii="Times New Roman" w:hAnsi="Times New Roman" w:cs="Times New Roman"/>
                <w:b/>
                <w:sz w:val="24"/>
              </w:rPr>
            </w:pPr>
            <w:r w:rsidRPr="00DE7904">
              <w:rPr>
                <w:rFonts w:ascii="Times New Roman" w:hAnsi="Times New Roman"/>
                <w:sz w:val="24"/>
              </w:rPr>
              <w:t>Le righe sono flessibili. Sono pubblicate le informazioni relative a tutti i soggetti inclusi negli ambiti del consolidamento contabile e del consolidamento prudenziale quali definiti in conformità, rispettivamente, della disciplina contabile applicabile e della parte uno, titolo II, sezioni 2 e 3 del CRR per i quali il metodo del consolidamento contabile è diverso dal metodo del consolidamento prudenziale. Una riga per ciascun soggetto.</w:t>
            </w:r>
          </w:p>
        </w:tc>
      </w:tr>
    </w:tbl>
    <w:p w14:paraId="69BC7E98" w14:textId="77777777" w:rsidR="00C04D6C" w:rsidRPr="00DE7904" w:rsidRDefault="00C04D6C" w:rsidP="00C04D6C">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DE7904" w14:paraId="59A7A7C7"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90813" w14:textId="77777777" w:rsidR="00C04D6C" w:rsidRPr="00DE7904" w:rsidRDefault="00C04D6C" w:rsidP="002F74D1">
            <w:pPr>
              <w:keepNext/>
              <w:rPr>
                <w:rFonts w:ascii="Times New Roman" w:hAnsi="Times New Roman" w:cs="Times New Roman"/>
                <w:b/>
                <w:sz w:val="24"/>
              </w:rPr>
            </w:pPr>
            <w:r w:rsidRPr="00DE7904">
              <w:rPr>
                <w:rFonts w:ascii="Times New Roman" w:hAnsi="Times New Roman"/>
                <w:b/>
                <w:sz w:val="24"/>
              </w:rPr>
              <w:t>Riferimenti giuridici e istruzioni</w:t>
            </w:r>
          </w:p>
        </w:tc>
      </w:tr>
      <w:tr w:rsidR="00C04D6C" w:rsidRPr="00DE7904" w14:paraId="26169E7C" w14:textId="77777777" w:rsidTr="00D819DE">
        <w:trPr>
          <w:trHeight w:val="238"/>
        </w:trPr>
        <w:tc>
          <w:tcPr>
            <w:tcW w:w="1384" w:type="dxa"/>
            <w:shd w:val="clear" w:color="auto" w:fill="D9D9D9" w:themeFill="background1" w:themeFillShade="D9"/>
          </w:tcPr>
          <w:p w14:paraId="0FDC6645" w14:textId="77777777" w:rsidR="00C04D6C" w:rsidRPr="00DE7904" w:rsidRDefault="00C04D6C" w:rsidP="002F74D1">
            <w:pPr>
              <w:keepNext/>
              <w:autoSpaceDE w:val="0"/>
              <w:autoSpaceDN w:val="0"/>
              <w:adjustRightInd w:val="0"/>
              <w:ind w:right="-163"/>
              <w:rPr>
                <w:rFonts w:ascii="Times New Roman" w:hAnsi="Times New Roman" w:cs="Times New Roman"/>
                <w:b/>
                <w:sz w:val="24"/>
              </w:rPr>
            </w:pPr>
            <w:r w:rsidRPr="00DE7904">
              <w:rPr>
                <w:rFonts w:ascii="Times New Roman" w:hAnsi="Times New Roman"/>
                <w:b/>
                <w:sz w:val="24"/>
              </w:rPr>
              <w:t>Riferimento della colonna</w:t>
            </w:r>
          </w:p>
        </w:tc>
        <w:tc>
          <w:tcPr>
            <w:tcW w:w="7655" w:type="dxa"/>
            <w:shd w:val="clear" w:color="auto" w:fill="D9D9D9" w:themeFill="background1" w:themeFillShade="D9"/>
          </w:tcPr>
          <w:p w14:paraId="154C2AE7" w14:textId="77777777" w:rsidR="00C04D6C" w:rsidRPr="00DE7904" w:rsidRDefault="00C04D6C" w:rsidP="002F74D1">
            <w:pPr>
              <w:keepNext/>
              <w:autoSpaceDE w:val="0"/>
              <w:autoSpaceDN w:val="0"/>
              <w:adjustRightInd w:val="0"/>
              <w:rPr>
                <w:rFonts w:ascii="Times New Roman" w:hAnsi="Times New Roman" w:cs="Times New Roman"/>
                <w:color w:val="000000"/>
                <w:sz w:val="24"/>
              </w:rPr>
            </w:pPr>
            <w:r w:rsidRPr="00DE7904">
              <w:rPr>
                <w:rFonts w:ascii="Times New Roman" w:hAnsi="Times New Roman"/>
                <w:b/>
                <w:sz w:val="24"/>
              </w:rPr>
              <w:t>Spiegazione</w:t>
            </w:r>
          </w:p>
        </w:tc>
      </w:tr>
      <w:tr w:rsidR="00C04D6C" w:rsidRPr="00DE7904" w14:paraId="3A2CC9C4" w14:textId="77777777" w:rsidTr="00D819DE">
        <w:trPr>
          <w:trHeight w:val="238"/>
        </w:trPr>
        <w:tc>
          <w:tcPr>
            <w:tcW w:w="1384" w:type="dxa"/>
            <w:shd w:val="clear" w:color="auto" w:fill="auto"/>
          </w:tcPr>
          <w:p w14:paraId="4CCAC839" w14:textId="77777777" w:rsidR="00C04D6C" w:rsidRPr="00DE7904" w:rsidRDefault="00C04D6C" w:rsidP="00D819DE">
            <w:pPr>
              <w:autoSpaceDE w:val="0"/>
              <w:autoSpaceDN w:val="0"/>
              <w:adjustRightInd w:val="0"/>
              <w:spacing w:before="60" w:after="120"/>
              <w:jc w:val="center"/>
              <w:rPr>
                <w:rFonts w:ascii="Times New Roman" w:hAnsi="Times New Roman" w:cs="Times New Roman"/>
                <w:sz w:val="24"/>
              </w:rPr>
            </w:pPr>
            <w:r w:rsidRPr="00DE7904">
              <w:rPr>
                <w:rFonts w:ascii="Times New Roman" w:hAnsi="Times New Roman"/>
                <w:sz w:val="24"/>
              </w:rPr>
              <w:t>a</w:t>
            </w:r>
          </w:p>
        </w:tc>
        <w:tc>
          <w:tcPr>
            <w:tcW w:w="7655" w:type="dxa"/>
            <w:shd w:val="clear" w:color="auto" w:fill="auto"/>
          </w:tcPr>
          <w:p w14:paraId="1A700FFF" w14:textId="77777777" w:rsidR="00C04D6C" w:rsidRPr="00DE7904" w:rsidRDefault="00C04D6C" w:rsidP="00D819DE">
            <w:pPr>
              <w:keepNext/>
              <w:spacing w:before="60" w:after="120"/>
              <w:jc w:val="both"/>
              <w:rPr>
                <w:rFonts w:ascii="Times New Roman" w:eastAsia="Times New Roman" w:hAnsi="Times New Roman" w:cs="Times New Roman"/>
                <w:b/>
                <w:sz w:val="24"/>
              </w:rPr>
            </w:pPr>
            <w:r w:rsidRPr="00DE7904">
              <w:rPr>
                <w:rFonts w:ascii="Times New Roman" w:hAnsi="Times New Roman"/>
                <w:b/>
                <w:sz w:val="24"/>
              </w:rPr>
              <w:t>Denominazione del soggetto</w:t>
            </w:r>
          </w:p>
          <w:p w14:paraId="58226295" w14:textId="31AA7002" w:rsidR="00C04D6C" w:rsidRPr="00DE7904" w:rsidRDefault="00C04D6C" w:rsidP="00D819DE">
            <w:pPr>
              <w:keepNext/>
              <w:spacing w:before="60" w:after="120"/>
              <w:jc w:val="both"/>
              <w:rPr>
                <w:rFonts w:ascii="Times New Roman" w:hAnsi="Times New Roman" w:cs="Times New Roman"/>
                <w:b/>
                <w:sz w:val="24"/>
              </w:rPr>
            </w:pPr>
            <w:r w:rsidRPr="00DE7904">
              <w:rPr>
                <w:rFonts w:ascii="Times New Roman" w:hAnsi="Times New Roman"/>
                <w:sz w:val="24"/>
              </w:rPr>
              <w:t>Denominazione commerciale di qualsiasi soggetto incluso o dedotto dagli ambiti del consolidamento contabile e prudenziale dell</w:t>
            </w:r>
            <w:r w:rsidR="00B96C44" w:rsidRPr="00DE7904">
              <w:rPr>
                <w:rFonts w:ascii="Times New Roman" w:hAnsi="Times New Roman"/>
                <w:sz w:val="24"/>
              </w:rPr>
              <w:t>'</w:t>
            </w:r>
            <w:r w:rsidRPr="00DE7904">
              <w:rPr>
                <w:rFonts w:ascii="Times New Roman" w:hAnsi="Times New Roman"/>
                <w:sz w:val="24"/>
              </w:rPr>
              <w:t>ente.</w:t>
            </w:r>
          </w:p>
        </w:tc>
      </w:tr>
      <w:tr w:rsidR="00C04D6C" w:rsidRPr="00DE7904" w14:paraId="7D6C8905" w14:textId="77777777" w:rsidTr="00D819DE">
        <w:trPr>
          <w:trHeight w:val="238"/>
        </w:trPr>
        <w:tc>
          <w:tcPr>
            <w:tcW w:w="1384" w:type="dxa"/>
            <w:shd w:val="clear" w:color="auto" w:fill="auto"/>
          </w:tcPr>
          <w:p w14:paraId="634543A9" w14:textId="77777777" w:rsidR="00C04D6C" w:rsidRPr="00DE7904" w:rsidRDefault="00C04D6C" w:rsidP="00D819DE">
            <w:pPr>
              <w:autoSpaceDE w:val="0"/>
              <w:autoSpaceDN w:val="0"/>
              <w:adjustRightInd w:val="0"/>
              <w:spacing w:before="60" w:after="120"/>
              <w:jc w:val="center"/>
              <w:rPr>
                <w:rFonts w:ascii="Times New Roman" w:hAnsi="Times New Roman" w:cs="Times New Roman"/>
                <w:sz w:val="24"/>
              </w:rPr>
            </w:pPr>
            <w:r w:rsidRPr="00DE7904">
              <w:rPr>
                <w:rFonts w:ascii="Times New Roman" w:hAnsi="Times New Roman"/>
                <w:sz w:val="24"/>
              </w:rPr>
              <w:lastRenderedPageBreak/>
              <w:t>b</w:t>
            </w:r>
          </w:p>
        </w:tc>
        <w:tc>
          <w:tcPr>
            <w:tcW w:w="7655" w:type="dxa"/>
            <w:shd w:val="clear" w:color="auto" w:fill="auto"/>
          </w:tcPr>
          <w:p w14:paraId="734193F7" w14:textId="77777777" w:rsidR="00C04D6C" w:rsidRPr="00DE7904" w:rsidRDefault="00C04D6C" w:rsidP="00D819DE">
            <w:pPr>
              <w:keepNext/>
              <w:spacing w:before="60" w:after="120"/>
              <w:jc w:val="both"/>
              <w:rPr>
                <w:rFonts w:ascii="Times New Roman" w:eastAsia="Times New Roman" w:hAnsi="Times New Roman" w:cs="Times New Roman"/>
                <w:b/>
                <w:sz w:val="24"/>
              </w:rPr>
            </w:pPr>
            <w:r w:rsidRPr="00DE7904">
              <w:rPr>
                <w:rFonts w:ascii="Times New Roman" w:hAnsi="Times New Roman"/>
                <w:b/>
                <w:sz w:val="24"/>
              </w:rPr>
              <w:t>Metodo di consolidamento contabile</w:t>
            </w:r>
          </w:p>
          <w:p w14:paraId="35D66850" w14:textId="77777777" w:rsidR="00C04D6C" w:rsidRPr="00DE7904" w:rsidRDefault="00C04D6C" w:rsidP="00D819DE">
            <w:pPr>
              <w:keepNext/>
              <w:spacing w:before="60" w:after="120"/>
              <w:jc w:val="both"/>
              <w:rPr>
                <w:rFonts w:ascii="Times New Roman" w:hAnsi="Times New Roman" w:cs="Times New Roman"/>
                <w:b/>
                <w:sz w:val="24"/>
              </w:rPr>
            </w:pPr>
            <w:r w:rsidRPr="00DE7904">
              <w:rPr>
                <w:rFonts w:ascii="Times New Roman" w:hAnsi="Times New Roman"/>
                <w:sz w:val="24"/>
              </w:rPr>
              <w:t>Il metodo di consolidamento utilizzato in conformità della disciplina contabile applicabile.</w:t>
            </w:r>
          </w:p>
        </w:tc>
      </w:tr>
      <w:tr w:rsidR="00C04D6C" w:rsidRPr="00DE7904" w14:paraId="7823BE70" w14:textId="77777777" w:rsidTr="00D819DE">
        <w:trPr>
          <w:trHeight w:val="238"/>
        </w:trPr>
        <w:tc>
          <w:tcPr>
            <w:tcW w:w="1384" w:type="dxa"/>
            <w:shd w:val="clear" w:color="auto" w:fill="auto"/>
          </w:tcPr>
          <w:p w14:paraId="47D17B5A" w14:textId="77777777" w:rsidR="00C04D6C" w:rsidRPr="00DE7904" w:rsidRDefault="00C04D6C" w:rsidP="00D819DE">
            <w:pPr>
              <w:autoSpaceDE w:val="0"/>
              <w:autoSpaceDN w:val="0"/>
              <w:adjustRightInd w:val="0"/>
              <w:spacing w:before="60" w:after="120"/>
              <w:jc w:val="center"/>
              <w:rPr>
                <w:rFonts w:ascii="Times New Roman" w:hAnsi="Times New Roman" w:cs="Times New Roman"/>
                <w:sz w:val="24"/>
              </w:rPr>
            </w:pPr>
            <w:r w:rsidRPr="00DE7904">
              <w:rPr>
                <w:rFonts w:ascii="Times New Roman" w:hAnsi="Times New Roman"/>
                <w:sz w:val="24"/>
              </w:rPr>
              <w:t>Da c a g</w:t>
            </w:r>
          </w:p>
        </w:tc>
        <w:tc>
          <w:tcPr>
            <w:tcW w:w="7655" w:type="dxa"/>
            <w:shd w:val="clear" w:color="auto" w:fill="auto"/>
          </w:tcPr>
          <w:p w14:paraId="4A761352" w14:textId="77777777" w:rsidR="00C04D6C" w:rsidRPr="00DE7904" w:rsidRDefault="00C04D6C" w:rsidP="00D819DE">
            <w:pPr>
              <w:keepNext/>
              <w:spacing w:before="60" w:after="120"/>
              <w:jc w:val="both"/>
              <w:rPr>
                <w:rFonts w:ascii="Times New Roman" w:eastAsia="Times New Roman" w:hAnsi="Times New Roman" w:cs="Times New Roman"/>
                <w:b/>
                <w:sz w:val="24"/>
              </w:rPr>
            </w:pPr>
            <w:r w:rsidRPr="00DE7904">
              <w:rPr>
                <w:rFonts w:ascii="Times New Roman" w:hAnsi="Times New Roman"/>
                <w:b/>
                <w:sz w:val="24"/>
              </w:rPr>
              <w:t>Metodo di consolidamento prudenziale</w:t>
            </w:r>
          </w:p>
          <w:p w14:paraId="2ED012A6" w14:textId="77777777" w:rsidR="00C04D6C" w:rsidRPr="00DE7904" w:rsidRDefault="00C04D6C" w:rsidP="00D819DE">
            <w:pPr>
              <w:keepNext/>
              <w:spacing w:before="60" w:after="120"/>
              <w:jc w:val="both"/>
              <w:rPr>
                <w:rFonts w:ascii="Times New Roman" w:eastAsia="Times New Roman" w:hAnsi="Times New Roman" w:cs="Times New Roman"/>
                <w:sz w:val="24"/>
              </w:rPr>
            </w:pPr>
            <w:r w:rsidRPr="00DE7904">
              <w:rPr>
                <w:rFonts w:ascii="Times New Roman" w:hAnsi="Times New Roman"/>
                <w:sz w:val="24"/>
              </w:rPr>
              <w:t>Il metodo di consolidamento attuato ai fini della parte uno, titolo II, capo 2, del CRR.</w:t>
            </w:r>
          </w:p>
          <w:p w14:paraId="7F682652" w14:textId="41D67AF9" w:rsidR="00C04D6C" w:rsidRPr="00DE7904" w:rsidRDefault="00C04D6C" w:rsidP="00D819DE">
            <w:pPr>
              <w:keepNext/>
              <w:spacing w:before="60" w:after="120"/>
              <w:jc w:val="both"/>
              <w:rPr>
                <w:rFonts w:ascii="Times New Roman" w:eastAsia="Times New Roman" w:hAnsi="Times New Roman" w:cs="Times New Roman"/>
                <w:sz w:val="24"/>
              </w:rPr>
            </w:pPr>
            <w:r w:rsidRPr="00DE7904">
              <w:rPr>
                <w:rFonts w:ascii="Times New Roman" w:hAnsi="Times New Roman"/>
                <w:sz w:val="24"/>
              </w:rPr>
              <w:t>Sono pubblicati almeno i metodi elencati nell</w:t>
            </w:r>
            <w:r w:rsidR="00B96C44" w:rsidRPr="00DE7904">
              <w:rPr>
                <w:rFonts w:ascii="Times New Roman" w:hAnsi="Times New Roman"/>
                <w:sz w:val="24"/>
              </w:rPr>
              <w:t>'</w:t>
            </w:r>
            <w:r w:rsidRPr="00DE7904">
              <w:rPr>
                <w:rFonts w:ascii="Times New Roman" w:hAnsi="Times New Roman"/>
                <w:sz w:val="24"/>
              </w:rPr>
              <w:t>articolo 436, lettera b), del CRR.</w:t>
            </w:r>
          </w:p>
          <w:p w14:paraId="59930495" w14:textId="3F5C91BB" w:rsidR="00C04D6C" w:rsidRPr="00DE7904" w:rsidRDefault="00C04D6C" w:rsidP="00D819DE">
            <w:pPr>
              <w:keepNext/>
              <w:spacing w:before="60" w:after="120"/>
              <w:jc w:val="both"/>
              <w:rPr>
                <w:rFonts w:ascii="Times New Roman" w:hAnsi="Times New Roman" w:cs="Times New Roman"/>
                <w:b/>
                <w:sz w:val="24"/>
              </w:rPr>
            </w:pPr>
            <w:r w:rsidRPr="00DE7904">
              <w:rPr>
                <w:rFonts w:ascii="Times New Roman" w:hAnsi="Times New Roman"/>
                <w:sz w:val="24"/>
              </w:rPr>
              <w:t>Gli enti spuntano le colonne pertinenti per identificare il metodo di consolidamento relativo a ciascun soggetto in base alla disciplina contabile e indicano se, nell</w:t>
            </w:r>
            <w:r w:rsidR="00B96C44" w:rsidRPr="00DE7904">
              <w:rPr>
                <w:rFonts w:ascii="Times New Roman" w:hAnsi="Times New Roman"/>
                <w:sz w:val="24"/>
              </w:rPr>
              <w:t>'</w:t>
            </w:r>
            <w:r w:rsidRPr="00DE7904">
              <w:rPr>
                <w:rFonts w:ascii="Times New Roman" w:hAnsi="Times New Roman"/>
                <w:sz w:val="24"/>
              </w:rPr>
              <w:t>ambito del consolidamento prudenziale, il soggetto è i)</w:t>
            </w:r>
            <w:r w:rsidR="002F74D1" w:rsidRPr="00DE7904">
              <w:rPr>
                <w:rFonts w:ascii="Times New Roman" w:hAnsi="Times New Roman"/>
                <w:sz w:val="24"/>
              </w:rPr>
              <w:t> </w:t>
            </w:r>
            <w:r w:rsidRPr="00DE7904">
              <w:rPr>
                <w:rFonts w:ascii="Times New Roman" w:hAnsi="Times New Roman"/>
                <w:sz w:val="24"/>
              </w:rPr>
              <w:t>consolidato integralmente; ii) consolidato proporzionalmente; iii) rilevato con il metodo del patrimonio netto; iv) non è né consolidato né dedotto; v)</w:t>
            </w:r>
            <w:r w:rsidR="002F74D1" w:rsidRPr="00DE7904">
              <w:rPr>
                <w:rFonts w:ascii="Times New Roman" w:hAnsi="Times New Roman"/>
                <w:sz w:val="24"/>
              </w:rPr>
              <w:t> </w:t>
            </w:r>
            <w:r w:rsidRPr="00DE7904">
              <w:rPr>
                <w:rFonts w:ascii="Times New Roman" w:hAnsi="Times New Roman"/>
                <w:sz w:val="24"/>
              </w:rPr>
              <w:t>dedotto.</w:t>
            </w:r>
          </w:p>
        </w:tc>
      </w:tr>
      <w:tr w:rsidR="00C04D6C" w:rsidRPr="00DE7904" w14:paraId="39E2D62B" w14:textId="77777777" w:rsidTr="00D819DE">
        <w:trPr>
          <w:trHeight w:val="238"/>
        </w:trPr>
        <w:tc>
          <w:tcPr>
            <w:tcW w:w="1384" w:type="dxa"/>
            <w:shd w:val="clear" w:color="auto" w:fill="auto"/>
          </w:tcPr>
          <w:p w14:paraId="0E4DC7A0" w14:textId="77777777" w:rsidR="00C04D6C" w:rsidRPr="00DE7904" w:rsidRDefault="00C04D6C" w:rsidP="00D819DE">
            <w:pPr>
              <w:autoSpaceDE w:val="0"/>
              <w:autoSpaceDN w:val="0"/>
              <w:adjustRightInd w:val="0"/>
              <w:spacing w:before="60" w:after="120"/>
              <w:jc w:val="center"/>
              <w:rPr>
                <w:rFonts w:ascii="Times New Roman" w:hAnsi="Times New Roman" w:cs="Times New Roman"/>
                <w:b/>
                <w:sz w:val="24"/>
              </w:rPr>
            </w:pPr>
            <w:r w:rsidRPr="00DE7904">
              <w:rPr>
                <w:rFonts w:ascii="Times New Roman" w:hAnsi="Times New Roman"/>
                <w:b/>
                <w:sz w:val="24"/>
              </w:rPr>
              <w:t>h</w:t>
            </w:r>
          </w:p>
        </w:tc>
        <w:tc>
          <w:tcPr>
            <w:tcW w:w="7655" w:type="dxa"/>
            <w:shd w:val="clear" w:color="auto" w:fill="auto"/>
          </w:tcPr>
          <w:p w14:paraId="58EFFF31" w14:textId="77777777" w:rsidR="00C04D6C" w:rsidRPr="00DE7904" w:rsidRDefault="00C04D6C" w:rsidP="00D819DE">
            <w:pPr>
              <w:spacing w:before="60" w:after="120"/>
              <w:jc w:val="both"/>
              <w:rPr>
                <w:rFonts w:ascii="Times New Roman" w:eastAsia="Times New Roman" w:hAnsi="Times New Roman" w:cs="Times New Roman"/>
                <w:b/>
                <w:sz w:val="24"/>
              </w:rPr>
            </w:pPr>
            <w:r w:rsidRPr="00DE7904">
              <w:rPr>
                <w:rFonts w:ascii="Times New Roman" w:hAnsi="Times New Roman"/>
                <w:b/>
                <w:sz w:val="24"/>
              </w:rPr>
              <w:t>Descrizione del soggetto</w:t>
            </w:r>
          </w:p>
          <w:p w14:paraId="0A1DF23D" w14:textId="77777777" w:rsidR="00C04D6C" w:rsidRPr="00DE7904" w:rsidRDefault="00C04D6C" w:rsidP="00D819DE">
            <w:pPr>
              <w:spacing w:before="60" w:after="120"/>
              <w:jc w:val="both"/>
              <w:rPr>
                <w:rFonts w:ascii="Times New Roman" w:eastAsia="Times New Roman" w:hAnsi="Times New Roman" w:cs="Times New Roman"/>
                <w:sz w:val="24"/>
              </w:rPr>
            </w:pPr>
            <w:r w:rsidRPr="00DE7904">
              <w:rPr>
                <w:rFonts w:ascii="Times New Roman" w:hAnsi="Times New Roman"/>
                <w:sz w:val="24"/>
              </w:rPr>
              <w:t>Breve descrizione del soggetto, che riporti (almeno) le informazioni sul relativo settore di attività.</w:t>
            </w:r>
          </w:p>
        </w:tc>
      </w:tr>
    </w:tbl>
    <w:p w14:paraId="4E3EF873" w14:textId="77777777" w:rsidR="00C04D6C" w:rsidRPr="00DE7904" w:rsidRDefault="00C04D6C" w:rsidP="00C04D6C">
      <w:pPr>
        <w:rPr>
          <w:rFonts w:ascii="Times New Roman" w:hAnsi="Times New Roman" w:cs="Times New Roman"/>
          <w:sz w:val="24"/>
        </w:rPr>
      </w:pPr>
    </w:p>
    <w:p w14:paraId="60CE42E5" w14:textId="77777777" w:rsidR="00C04D6C" w:rsidRPr="00DE7904" w:rsidRDefault="00C04D6C" w:rsidP="00C04D6C">
      <w:pPr>
        <w:jc w:val="both"/>
        <w:rPr>
          <w:rFonts w:ascii="Times New Roman" w:hAnsi="Times New Roman" w:cs="Times New Roman"/>
          <w:sz w:val="24"/>
        </w:rPr>
      </w:pPr>
      <w:r w:rsidRPr="00DE7904">
        <w:rPr>
          <w:rFonts w:ascii="Times New Roman" w:hAnsi="Times New Roman"/>
          <w:b/>
          <w:sz w:val="24"/>
        </w:rPr>
        <w:t xml:space="preserve">Tabella EU LIA: descrizione delle differenze tra gli importi delle esposizioni in bilancio e quelli delle esposizioni determinati a fini regolamentari </w:t>
      </w:r>
      <w:r w:rsidRPr="00DE7904">
        <w:rPr>
          <w:rFonts w:ascii="Times New Roman" w:hAnsi="Times New Roman"/>
          <w:sz w:val="24"/>
        </w:rPr>
        <w:t>- Caselle di testo libero per informativa sugli elementi qualitativi</w:t>
      </w:r>
    </w:p>
    <w:p w14:paraId="63E93357" w14:textId="77777777" w:rsidR="00C04D6C" w:rsidRPr="00DE7904" w:rsidRDefault="00C04D6C" w:rsidP="00C04D6C">
      <w:pPr>
        <w:jc w:val="both"/>
        <w:rPr>
          <w:rFonts w:ascii="Times New Roman" w:hAnsi="Times New Roman" w:cs="Times New Roman"/>
          <w:sz w:val="24"/>
        </w:rPr>
      </w:pPr>
    </w:p>
    <w:p w14:paraId="04637CE1" w14:textId="7109403F" w:rsidR="00C04D6C" w:rsidRPr="00DE7904" w:rsidRDefault="00C04D6C" w:rsidP="00C04D6C">
      <w:pPr>
        <w:pStyle w:val="ListParagraph"/>
        <w:numPr>
          <w:ilvl w:val="0"/>
          <w:numId w:val="1"/>
        </w:numPr>
        <w:spacing w:before="120" w:after="120"/>
        <w:ind w:left="425" w:hanging="357"/>
        <w:jc w:val="both"/>
        <w:rPr>
          <w:rFonts w:ascii="Times New Roman" w:hAnsi="Times New Roman"/>
          <w:color w:val="000000" w:themeColor="text1"/>
          <w:sz w:val="24"/>
        </w:rPr>
      </w:pPr>
      <w:r w:rsidRPr="00DE7904">
        <w:rPr>
          <w:rFonts w:ascii="Times New Roman" w:hAnsi="Times New Roman"/>
          <w:sz w:val="24"/>
        </w:rPr>
        <w:t xml:space="preserve">Gli enti </w:t>
      </w:r>
      <w:r w:rsidRPr="00DE7904">
        <w:rPr>
          <w:rFonts w:ascii="Times New Roman" w:hAnsi="Times New Roman"/>
          <w:color w:val="000000" w:themeColor="text1"/>
          <w:sz w:val="24"/>
        </w:rPr>
        <w:t>pubblicano</w:t>
      </w:r>
      <w:r w:rsidRPr="00DE7904">
        <w:rPr>
          <w:rFonts w:ascii="Times New Roman" w:hAnsi="Times New Roman"/>
          <w:sz w:val="24"/>
        </w:rPr>
        <w:t xml:space="preserve"> le informazioni di cui</w:t>
      </w:r>
      <w:r w:rsidRPr="00DE7904">
        <w:rPr>
          <w:rFonts w:ascii="Times New Roman" w:hAnsi="Times New Roman"/>
          <w:color w:val="000000" w:themeColor="text1"/>
          <w:sz w:val="24"/>
        </w:rPr>
        <w:t xml:space="preserve"> all</w:t>
      </w:r>
      <w:r w:rsidR="00B96C44" w:rsidRPr="00DE7904">
        <w:rPr>
          <w:rFonts w:ascii="Times New Roman" w:hAnsi="Times New Roman"/>
          <w:color w:val="000000" w:themeColor="text1"/>
          <w:sz w:val="24"/>
        </w:rPr>
        <w:t>'</w:t>
      </w:r>
      <w:r w:rsidRPr="00DE7904">
        <w:rPr>
          <w:rFonts w:ascii="Times New Roman" w:hAnsi="Times New Roman"/>
          <w:color w:val="000000" w:themeColor="text1"/>
          <w:sz w:val="24"/>
        </w:rPr>
        <w:t>articolo 436, lettere b) e d), del CRR</w:t>
      </w:r>
      <w:r w:rsidRPr="00DE7904">
        <w:rPr>
          <w:rFonts w:ascii="Times New Roman" w:hAnsi="Times New Roman"/>
          <w:sz w:val="24"/>
        </w:rPr>
        <w:t xml:space="preserve"> seguendo le istruzioni fornite di seguito nel presente allegato per compilare la tabella EU LIA di cui all</w:t>
      </w:r>
      <w:r w:rsidR="00B96C44" w:rsidRPr="00DE7904">
        <w:rPr>
          <w:rFonts w:ascii="Times New Roman" w:hAnsi="Times New Roman"/>
          <w:sz w:val="24"/>
        </w:rPr>
        <w:t>'</w:t>
      </w:r>
      <w:r w:rsidRPr="00DE7904">
        <w:rPr>
          <w:rFonts w:ascii="Times New Roman" w:hAnsi="Times New Roman"/>
          <w:sz w:val="24"/>
        </w:rPr>
        <w:t>allegato V del presente regolamento di esecuzione</w:t>
      </w:r>
      <w:r w:rsidRPr="00DE7904">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DE7904" w14:paraId="4A310B7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A8945" w14:textId="77777777" w:rsidR="00C04D6C" w:rsidRPr="00DE7904" w:rsidRDefault="00C04D6C" w:rsidP="00D819DE">
            <w:pPr>
              <w:rPr>
                <w:rFonts w:ascii="Times New Roman" w:hAnsi="Times New Roman" w:cs="Times New Roman"/>
                <w:b/>
                <w:sz w:val="24"/>
              </w:rPr>
            </w:pPr>
            <w:r w:rsidRPr="00DE7904">
              <w:rPr>
                <w:rFonts w:ascii="Times New Roman" w:hAnsi="Times New Roman"/>
                <w:b/>
                <w:sz w:val="24"/>
              </w:rPr>
              <w:t>Riferimenti giuridici e istruzioni</w:t>
            </w:r>
          </w:p>
        </w:tc>
      </w:tr>
      <w:tr w:rsidR="00C04D6C" w:rsidRPr="00DE7904" w14:paraId="3B97ED6B" w14:textId="77777777" w:rsidTr="00D819DE">
        <w:trPr>
          <w:trHeight w:val="238"/>
        </w:trPr>
        <w:tc>
          <w:tcPr>
            <w:tcW w:w="1384" w:type="dxa"/>
            <w:tcBorders>
              <w:bottom w:val="single" w:sz="4" w:space="0" w:color="auto"/>
            </w:tcBorders>
            <w:shd w:val="clear" w:color="auto" w:fill="D9D9D9" w:themeFill="background1" w:themeFillShade="D9"/>
          </w:tcPr>
          <w:p w14:paraId="569271C8" w14:textId="5D4F8B1F" w:rsidR="00C04D6C" w:rsidRPr="00DE7904" w:rsidRDefault="00C04D6C" w:rsidP="00D819DE">
            <w:pPr>
              <w:autoSpaceDE w:val="0"/>
              <w:autoSpaceDN w:val="0"/>
              <w:adjustRightInd w:val="0"/>
              <w:rPr>
                <w:rFonts w:ascii="Times New Roman" w:hAnsi="Times New Roman" w:cs="Times New Roman"/>
                <w:b/>
                <w:sz w:val="24"/>
              </w:rPr>
            </w:pPr>
            <w:r w:rsidRPr="00DE7904">
              <w:rPr>
                <w:rFonts w:ascii="Times New Roman" w:hAnsi="Times New Roman"/>
                <w:b/>
                <w:sz w:val="24"/>
              </w:rPr>
              <w:t xml:space="preserve">Numero </w:t>
            </w:r>
            <w:r w:rsidR="002F74D1" w:rsidRPr="00DE7904">
              <w:rPr>
                <w:rFonts w:ascii="Times New Roman" w:hAnsi="Times New Roman"/>
                <w:b/>
                <w:sz w:val="24"/>
              </w:rPr>
              <w:br/>
            </w:r>
            <w:r w:rsidRPr="00DE7904">
              <w:rPr>
                <w:rFonts w:ascii="Times New Roman" w:hAnsi="Times New Roman"/>
                <w:b/>
                <w:sz w:val="24"/>
              </w:rPr>
              <w:t>di riga</w:t>
            </w:r>
          </w:p>
        </w:tc>
        <w:tc>
          <w:tcPr>
            <w:tcW w:w="7655" w:type="dxa"/>
            <w:tcBorders>
              <w:bottom w:val="single" w:sz="4" w:space="0" w:color="auto"/>
            </w:tcBorders>
            <w:shd w:val="clear" w:color="auto" w:fill="D9D9D9" w:themeFill="background1" w:themeFillShade="D9"/>
          </w:tcPr>
          <w:p w14:paraId="4B23E869" w14:textId="77777777" w:rsidR="00C04D6C" w:rsidRPr="00DE7904" w:rsidRDefault="00C04D6C" w:rsidP="00D819DE">
            <w:pPr>
              <w:autoSpaceDE w:val="0"/>
              <w:autoSpaceDN w:val="0"/>
              <w:adjustRightInd w:val="0"/>
              <w:rPr>
                <w:rFonts w:ascii="Times New Roman" w:hAnsi="Times New Roman" w:cs="Times New Roman"/>
                <w:color w:val="000000"/>
                <w:sz w:val="24"/>
              </w:rPr>
            </w:pPr>
            <w:r w:rsidRPr="00DE7904">
              <w:rPr>
                <w:rFonts w:ascii="Times New Roman" w:hAnsi="Times New Roman"/>
                <w:b/>
                <w:sz w:val="24"/>
              </w:rPr>
              <w:t>Spiegazione</w:t>
            </w:r>
          </w:p>
        </w:tc>
      </w:tr>
      <w:tr w:rsidR="00C04D6C" w:rsidRPr="00DE7904" w14:paraId="13ADFB4C" w14:textId="77777777" w:rsidTr="00D819DE">
        <w:trPr>
          <w:trHeight w:val="238"/>
        </w:trPr>
        <w:tc>
          <w:tcPr>
            <w:tcW w:w="1384" w:type="dxa"/>
            <w:tcBorders>
              <w:top w:val="nil"/>
              <w:bottom w:val="single" w:sz="4" w:space="0" w:color="auto"/>
            </w:tcBorders>
            <w:shd w:val="clear" w:color="auto" w:fill="FFFFFF" w:themeFill="background1"/>
            <w:vAlign w:val="center"/>
          </w:tcPr>
          <w:p w14:paraId="4E7C0394" w14:textId="77777777" w:rsidR="00C04D6C" w:rsidRPr="00DE7904" w:rsidRDefault="00C04D6C" w:rsidP="00D819DE">
            <w:pPr>
              <w:spacing w:before="60" w:after="120"/>
              <w:jc w:val="center"/>
              <w:rPr>
                <w:rFonts w:ascii="Times New Roman" w:hAnsi="Times New Roman" w:cs="Times New Roman"/>
                <w:sz w:val="24"/>
              </w:rPr>
            </w:pPr>
            <w:r w:rsidRPr="00DE7904">
              <w:rPr>
                <w:rFonts w:ascii="Times New Roman" w:hAnsi="Times New Roman"/>
                <w:sz w:val="24"/>
              </w:rPr>
              <w:t>a)</w:t>
            </w:r>
          </w:p>
        </w:tc>
        <w:tc>
          <w:tcPr>
            <w:tcW w:w="7655" w:type="dxa"/>
            <w:tcBorders>
              <w:top w:val="nil"/>
              <w:bottom w:val="single" w:sz="4" w:space="0" w:color="auto"/>
            </w:tcBorders>
            <w:shd w:val="clear" w:color="auto" w:fill="FFFFFF" w:themeFill="background1"/>
            <w:vAlign w:val="center"/>
          </w:tcPr>
          <w:p w14:paraId="06A21937" w14:textId="16E8E613" w:rsidR="00C04D6C" w:rsidRPr="00DE7904" w:rsidRDefault="00C04D6C" w:rsidP="00D819DE">
            <w:pPr>
              <w:spacing w:after="120"/>
              <w:jc w:val="both"/>
              <w:rPr>
                <w:rFonts w:ascii="Times New Roman" w:eastAsia="Times New Roman" w:hAnsi="Times New Roman" w:cs="Times New Roman"/>
                <w:sz w:val="24"/>
              </w:rPr>
            </w:pPr>
            <w:r w:rsidRPr="00DE7904">
              <w:rPr>
                <w:rFonts w:ascii="Times New Roman" w:hAnsi="Times New Roman"/>
                <w:sz w:val="24"/>
              </w:rPr>
              <w:t>Gli enti spiegano e quantificano le origini di eventuali differenze significative tra gli importi nelle colonne a) e b) del modello EU LI1, indipendentemente dal fatto che tali differenze derivino da regole di consolidamento diverse o dall</w:t>
            </w:r>
            <w:r w:rsidR="00B96C44" w:rsidRPr="00DE7904">
              <w:rPr>
                <w:rFonts w:ascii="Times New Roman" w:hAnsi="Times New Roman"/>
                <w:sz w:val="24"/>
              </w:rPr>
              <w:t>'</w:t>
            </w:r>
            <w:r w:rsidRPr="00DE7904">
              <w:rPr>
                <w:rFonts w:ascii="Times New Roman" w:hAnsi="Times New Roman"/>
                <w:sz w:val="24"/>
              </w:rPr>
              <w:t>utilizzo di principi contabili diversi tra il consolidamento contabile e quello regolamentare.</w:t>
            </w:r>
          </w:p>
        </w:tc>
      </w:tr>
      <w:tr w:rsidR="00C04D6C" w:rsidRPr="00DE7904" w14:paraId="10A315AD"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148E3B73" w14:textId="77777777" w:rsidR="00C04D6C" w:rsidRPr="00DE7904" w:rsidRDefault="00C04D6C" w:rsidP="00D819DE">
            <w:pPr>
              <w:spacing w:before="60" w:after="120"/>
              <w:jc w:val="center"/>
              <w:rPr>
                <w:rFonts w:ascii="Times New Roman" w:hAnsi="Times New Roman" w:cs="Times New Roman"/>
                <w:sz w:val="24"/>
              </w:rPr>
            </w:pPr>
            <w:r w:rsidRPr="00DE7904">
              <w:rPr>
                <w:rFonts w:ascii="Times New Roman" w:hAnsi="Times New Roman"/>
                <w:sz w:val="24"/>
              </w:rPr>
              <w:t>b)</w:t>
            </w:r>
          </w:p>
        </w:tc>
        <w:tc>
          <w:tcPr>
            <w:tcW w:w="7655" w:type="dxa"/>
            <w:tcBorders>
              <w:top w:val="single" w:sz="4" w:space="0" w:color="auto"/>
              <w:bottom w:val="single" w:sz="4" w:space="0" w:color="auto"/>
            </w:tcBorders>
            <w:shd w:val="clear" w:color="auto" w:fill="FFFFFF" w:themeFill="background1"/>
            <w:vAlign w:val="center"/>
          </w:tcPr>
          <w:p w14:paraId="2F8B5E08" w14:textId="509C752C" w:rsidR="00C04D6C" w:rsidRPr="00DE7904" w:rsidRDefault="00C04D6C" w:rsidP="00D819DE">
            <w:pPr>
              <w:spacing w:after="120"/>
              <w:jc w:val="both"/>
              <w:rPr>
                <w:rFonts w:ascii="Times New Roman" w:eastAsia="Times New Roman" w:hAnsi="Times New Roman" w:cs="Times New Roman"/>
                <w:sz w:val="24"/>
              </w:rPr>
            </w:pPr>
            <w:r w:rsidRPr="00DE7904">
              <w:rPr>
                <w:rFonts w:ascii="Times New Roman" w:hAnsi="Times New Roman"/>
                <w:sz w:val="24"/>
              </w:rPr>
              <w:t>Gli enti spiegano l</w:t>
            </w:r>
            <w:r w:rsidR="00B96C44" w:rsidRPr="00DE7904">
              <w:rPr>
                <w:rFonts w:ascii="Times New Roman" w:hAnsi="Times New Roman"/>
                <w:sz w:val="24"/>
              </w:rPr>
              <w:t>'</w:t>
            </w:r>
            <w:r w:rsidRPr="00DE7904">
              <w:rPr>
                <w:rFonts w:ascii="Times New Roman" w:hAnsi="Times New Roman"/>
                <w:sz w:val="24"/>
              </w:rPr>
              <w:t>origine delle differenze tra i valori contabili determinati nell</w:t>
            </w:r>
            <w:r w:rsidR="00B96C44" w:rsidRPr="00DE7904">
              <w:rPr>
                <w:rFonts w:ascii="Times New Roman" w:hAnsi="Times New Roman"/>
                <w:sz w:val="24"/>
              </w:rPr>
              <w:t>'</w:t>
            </w:r>
            <w:r w:rsidRPr="00DE7904">
              <w:rPr>
                <w:rFonts w:ascii="Times New Roman" w:hAnsi="Times New Roman"/>
                <w:sz w:val="24"/>
              </w:rPr>
              <w:t>ambito del consolidamento prudenziale e gli importi considerati ai fini regolamentari presentati nel modello EU LI2.</w:t>
            </w:r>
          </w:p>
        </w:tc>
      </w:tr>
    </w:tbl>
    <w:p w14:paraId="5B834D3C" w14:textId="77777777" w:rsidR="00C04D6C" w:rsidRPr="00DE7904" w:rsidRDefault="00C04D6C" w:rsidP="00C04D6C">
      <w:pPr>
        <w:ind w:left="360"/>
        <w:jc w:val="both"/>
        <w:rPr>
          <w:rFonts w:ascii="Times New Roman" w:hAnsi="Times New Roman" w:cs="Times New Roman"/>
          <w:sz w:val="24"/>
        </w:rPr>
      </w:pPr>
      <w:r w:rsidRPr="00DE7904">
        <w:rPr>
          <w:rFonts w:ascii="Times New Roman" w:hAnsi="Times New Roman"/>
          <w:sz w:val="24"/>
        </w:rPr>
        <w:t xml:space="preserve"> </w:t>
      </w:r>
    </w:p>
    <w:p w14:paraId="5736EA43" w14:textId="6C695841" w:rsidR="00C04D6C" w:rsidRPr="00DE7904" w:rsidRDefault="00C04D6C" w:rsidP="00C04D6C">
      <w:pPr>
        <w:spacing w:after="120"/>
        <w:rPr>
          <w:rFonts w:ascii="Times New Roman" w:hAnsi="Times New Roman" w:cs="Times New Roman"/>
          <w:sz w:val="24"/>
        </w:rPr>
      </w:pPr>
      <w:r w:rsidRPr="00DE7904">
        <w:rPr>
          <w:rFonts w:ascii="Times New Roman" w:hAnsi="Times New Roman"/>
          <w:b/>
          <w:sz w:val="24"/>
        </w:rPr>
        <w:t>Tabella EU LIB: altre informazioni qualitative sull</w:t>
      </w:r>
      <w:r w:rsidR="00B96C44" w:rsidRPr="00DE7904">
        <w:rPr>
          <w:rFonts w:ascii="Times New Roman" w:hAnsi="Times New Roman"/>
          <w:b/>
          <w:sz w:val="24"/>
        </w:rPr>
        <w:t>'</w:t>
      </w:r>
      <w:r w:rsidRPr="00DE7904">
        <w:rPr>
          <w:rFonts w:ascii="Times New Roman" w:hAnsi="Times New Roman"/>
          <w:b/>
          <w:sz w:val="24"/>
        </w:rPr>
        <w:t>ambito di applicazione</w:t>
      </w:r>
      <w:r w:rsidRPr="00DE7904">
        <w:rPr>
          <w:rFonts w:ascii="Times New Roman" w:hAnsi="Times New Roman"/>
          <w:sz w:val="24"/>
        </w:rPr>
        <w:t xml:space="preserve"> - Caselle di testo libero per informativa sugli elementi qualitativi</w:t>
      </w:r>
    </w:p>
    <w:p w14:paraId="70C5E2A8" w14:textId="625F4EBD" w:rsidR="00C04D6C" w:rsidRPr="00DE7904" w:rsidRDefault="00C04D6C" w:rsidP="00C04D6C">
      <w:pPr>
        <w:pStyle w:val="ListParagraph"/>
        <w:numPr>
          <w:ilvl w:val="0"/>
          <w:numId w:val="1"/>
        </w:numPr>
        <w:spacing w:before="120" w:after="120"/>
        <w:ind w:left="425" w:hanging="357"/>
        <w:jc w:val="both"/>
        <w:rPr>
          <w:rFonts w:ascii="Times New Roman" w:hAnsi="Times New Roman"/>
          <w:sz w:val="24"/>
        </w:rPr>
      </w:pPr>
      <w:r w:rsidRPr="00DE7904">
        <w:rPr>
          <w:rFonts w:ascii="Times New Roman" w:hAnsi="Times New Roman"/>
          <w:sz w:val="24"/>
        </w:rPr>
        <w:t>Gli enti pubblicano le informazioni di cui all</w:t>
      </w:r>
      <w:r w:rsidR="00B96C44" w:rsidRPr="00DE7904">
        <w:rPr>
          <w:rFonts w:ascii="Times New Roman" w:hAnsi="Times New Roman"/>
          <w:sz w:val="24"/>
        </w:rPr>
        <w:t>'</w:t>
      </w:r>
      <w:r w:rsidRPr="00DE7904">
        <w:rPr>
          <w:rFonts w:ascii="Times New Roman" w:hAnsi="Times New Roman"/>
          <w:sz w:val="24"/>
        </w:rPr>
        <w:t>articolo 436, lettere f), g) e h), del CRR seguendo le istruzioni fornite di seguito nel presente allegato per compilare la tabella EU LIB di cui all</w:t>
      </w:r>
      <w:r w:rsidR="00B96C44" w:rsidRPr="00DE7904">
        <w:rPr>
          <w:rFonts w:ascii="Times New Roman" w:hAnsi="Times New Roman"/>
          <w:sz w:val="24"/>
        </w:rPr>
        <w:t>'</w:t>
      </w:r>
      <w:r w:rsidRPr="00DE7904">
        <w:rPr>
          <w:rFonts w:ascii="Times New Roman" w:hAnsi="Times New Roman"/>
          <w:sz w:val="24"/>
        </w:rPr>
        <w:t>allegato V del presente regolamento di esecuzione.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DE7904" w14:paraId="5F8ACC3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52A75" w14:textId="77777777" w:rsidR="00C04D6C" w:rsidRPr="00DE7904" w:rsidRDefault="00C04D6C" w:rsidP="000223B3">
            <w:pPr>
              <w:keepNext/>
              <w:rPr>
                <w:rFonts w:ascii="Times New Roman" w:hAnsi="Times New Roman" w:cs="Times New Roman"/>
                <w:b/>
                <w:sz w:val="24"/>
              </w:rPr>
            </w:pPr>
            <w:r w:rsidRPr="00DE7904">
              <w:rPr>
                <w:rFonts w:ascii="Times New Roman" w:hAnsi="Times New Roman"/>
                <w:b/>
                <w:sz w:val="24"/>
              </w:rPr>
              <w:t>Riferimenti giuridici e istruzioni</w:t>
            </w:r>
          </w:p>
        </w:tc>
      </w:tr>
      <w:tr w:rsidR="00C04D6C" w:rsidRPr="00DE7904" w14:paraId="61AC473B" w14:textId="77777777" w:rsidTr="00D819DE">
        <w:trPr>
          <w:trHeight w:val="238"/>
        </w:trPr>
        <w:tc>
          <w:tcPr>
            <w:tcW w:w="1384" w:type="dxa"/>
            <w:shd w:val="clear" w:color="auto" w:fill="D9D9D9" w:themeFill="background1" w:themeFillShade="D9"/>
          </w:tcPr>
          <w:p w14:paraId="6AC8D0E9" w14:textId="4F991C72" w:rsidR="00C04D6C" w:rsidRPr="00DE7904" w:rsidRDefault="00C04D6C" w:rsidP="00D819DE">
            <w:pPr>
              <w:autoSpaceDE w:val="0"/>
              <w:autoSpaceDN w:val="0"/>
              <w:adjustRightInd w:val="0"/>
              <w:rPr>
                <w:rFonts w:ascii="Times New Roman" w:hAnsi="Times New Roman" w:cs="Times New Roman"/>
                <w:b/>
                <w:sz w:val="24"/>
              </w:rPr>
            </w:pPr>
            <w:r w:rsidRPr="00DE7904">
              <w:rPr>
                <w:rFonts w:ascii="Times New Roman" w:hAnsi="Times New Roman"/>
                <w:b/>
                <w:sz w:val="24"/>
              </w:rPr>
              <w:lastRenderedPageBreak/>
              <w:t xml:space="preserve">Numero </w:t>
            </w:r>
            <w:r w:rsidR="002F74D1" w:rsidRPr="00DE7904">
              <w:rPr>
                <w:rFonts w:ascii="Times New Roman" w:hAnsi="Times New Roman"/>
                <w:b/>
                <w:sz w:val="24"/>
              </w:rPr>
              <w:br/>
            </w:r>
            <w:r w:rsidRPr="00DE7904">
              <w:rPr>
                <w:rFonts w:ascii="Times New Roman" w:hAnsi="Times New Roman"/>
                <w:b/>
                <w:sz w:val="24"/>
              </w:rPr>
              <w:t>di riga</w:t>
            </w:r>
          </w:p>
        </w:tc>
        <w:tc>
          <w:tcPr>
            <w:tcW w:w="7655" w:type="dxa"/>
            <w:shd w:val="clear" w:color="auto" w:fill="D9D9D9" w:themeFill="background1" w:themeFillShade="D9"/>
          </w:tcPr>
          <w:p w14:paraId="35037BAC" w14:textId="77777777" w:rsidR="00C04D6C" w:rsidRPr="00DE7904" w:rsidRDefault="00C04D6C" w:rsidP="00D819DE">
            <w:pPr>
              <w:autoSpaceDE w:val="0"/>
              <w:autoSpaceDN w:val="0"/>
              <w:adjustRightInd w:val="0"/>
              <w:rPr>
                <w:rFonts w:ascii="Times New Roman" w:hAnsi="Times New Roman" w:cs="Times New Roman"/>
                <w:color w:val="000000"/>
                <w:sz w:val="24"/>
              </w:rPr>
            </w:pPr>
            <w:r w:rsidRPr="00DE7904">
              <w:rPr>
                <w:rFonts w:ascii="Times New Roman" w:hAnsi="Times New Roman"/>
                <w:b/>
                <w:sz w:val="24"/>
              </w:rPr>
              <w:t>Spiegazione</w:t>
            </w:r>
          </w:p>
        </w:tc>
      </w:tr>
      <w:tr w:rsidR="00C04D6C" w:rsidRPr="00DE7904" w14:paraId="3DBACA53" w14:textId="77777777" w:rsidTr="00D819DE">
        <w:trPr>
          <w:trHeight w:val="238"/>
        </w:trPr>
        <w:tc>
          <w:tcPr>
            <w:tcW w:w="1384" w:type="dxa"/>
            <w:shd w:val="clear" w:color="auto" w:fill="auto"/>
          </w:tcPr>
          <w:p w14:paraId="293582CB" w14:textId="77777777" w:rsidR="00C04D6C" w:rsidRPr="00DE7904" w:rsidRDefault="00C04D6C" w:rsidP="00D819DE">
            <w:pPr>
              <w:autoSpaceDE w:val="0"/>
              <w:autoSpaceDN w:val="0"/>
              <w:adjustRightInd w:val="0"/>
              <w:jc w:val="center"/>
              <w:rPr>
                <w:rFonts w:ascii="Times New Roman" w:hAnsi="Times New Roman" w:cs="Times New Roman"/>
                <w:b/>
                <w:sz w:val="24"/>
              </w:rPr>
            </w:pPr>
            <w:r w:rsidRPr="00DE7904">
              <w:rPr>
                <w:rFonts w:ascii="Times New Roman" w:hAnsi="Times New Roman"/>
                <w:sz w:val="24"/>
              </w:rPr>
              <w:t>a)</w:t>
            </w:r>
          </w:p>
        </w:tc>
        <w:tc>
          <w:tcPr>
            <w:tcW w:w="7655" w:type="dxa"/>
            <w:shd w:val="clear" w:color="auto" w:fill="auto"/>
          </w:tcPr>
          <w:p w14:paraId="04E76FDB" w14:textId="60E4BBB9" w:rsidR="00C04D6C" w:rsidRPr="00DE7904" w:rsidRDefault="00C04D6C" w:rsidP="00D819DE">
            <w:pPr>
              <w:autoSpaceDE w:val="0"/>
              <w:autoSpaceDN w:val="0"/>
              <w:adjustRightInd w:val="0"/>
              <w:spacing w:before="60" w:after="60"/>
              <w:jc w:val="both"/>
              <w:rPr>
                <w:rFonts w:ascii="Times New Roman" w:hAnsi="Times New Roman" w:cs="Times New Roman"/>
                <w:b/>
                <w:sz w:val="24"/>
              </w:rPr>
            </w:pPr>
            <w:r w:rsidRPr="00DE7904">
              <w:rPr>
                <w:rFonts w:ascii="Times New Roman" w:hAnsi="Times New Roman"/>
                <w:sz w:val="24"/>
              </w:rPr>
              <w:t>Gli enti indicano eventuali impedimenti di fatto o di diritto attuali o attesi che ostacolino il rapido trasferimento dei fondi propri o il rimborso di passività tra l</w:t>
            </w:r>
            <w:r w:rsidR="00B96C44" w:rsidRPr="00DE7904">
              <w:rPr>
                <w:rFonts w:ascii="Times New Roman" w:hAnsi="Times New Roman"/>
                <w:sz w:val="24"/>
              </w:rPr>
              <w:t>'</w:t>
            </w:r>
            <w:r w:rsidRPr="00DE7904">
              <w:rPr>
                <w:rFonts w:ascii="Times New Roman" w:hAnsi="Times New Roman"/>
                <w:sz w:val="24"/>
              </w:rPr>
              <w:t>impresa madre e le sue filiazioni.</w:t>
            </w:r>
          </w:p>
        </w:tc>
      </w:tr>
      <w:tr w:rsidR="00C04D6C" w:rsidRPr="00DE7904" w14:paraId="237826AC" w14:textId="77777777" w:rsidTr="00D819DE">
        <w:trPr>
          <w:trHeight w:val="238"/>
        </w:trPr>
        <w:tc>
          <w:tcPr>
            <w:tcW w:w="1384" w:type="dxa"/>
            <w:shd w:val="clear" w:color="auto" w:fill="auto"/>
          </w:tcPr>
          <w:p w14:paraId="41F09A9C" w14:textId="77777777" w:rsidR="00C04D6C" w:rsidRPr="00DE7904" w:rsidRDefault="00C04D6C" w:rsidP="00D819DE">
            <w:pPr>
              <w:autoSpaceDE w:val="0"/>
              <w:autoSpaceDN w:val="0"/>
              <w:adjustRightInd w:val="0"/>
              <w:jc w:val="center"/>
              <w:rPr>
                <w:rFonts w:ascii="Times New Roman" w:hAnsi="Times New Roman" w:cs="Times New Roman"/>
                <w:b/>
                <w:sz w:val="24"/>
              </w:rPr>
            </w:pPr>
            <w:r w:rsidRPr="00DE7904">
              <w:rPr>
                <w:rFonts w:ascii="Times New Roman" w:hAnsi="Times New Roman"/>
                <w:sz w:val="24"/>
              </w:rPr>
              <w:t>b)</w:t>
            </w:r>
          </w:p>
        </w:tc>
        <w:tc>
          <w:tcPr>
            <w:tcW w:w="7655" w:type="dxa"/>
            <w:shd w:val="clear" w:color="auto" w:fill="auto"/>
          </w:tcPr>
          <w:p w14:paraId="46681EF3" w14:textId="77777777" w:rsidR="00C04D6C" w:rsidRPr="00DE7904" w:rsidRDefault="00C04D6C" w:rsidP="00D819DE">
            <w:pPr>
              <w:autoSpaceDE w:val="0"/>
              <w:autoSpaceDN w:val="0"/>
              <w:adjustRightInd w:val="0"/>
              <w:spacing w:before="60" w:after="60"/>
              <w:jc w:val="both"/>
              <w:rPr>
                <w:rFonts w:ascii="Times New Roman" w:hAnsi="Times New Roman" w:cs="Times New Roman"/>
                <w:b/>
                <w:sz w:val="24"/>
              </w:rPr>
            </w:pPr>
            <w:r w:rsidRPr="00DE7904">
              <w:rPr>
                <w:rFonts w:ascii="Times New Roman" w:hAnsi="Times New Roman"/>
                <w:sz w:val="24"/>
              </w:rPr>
              <w:t>Se del caso, gli enti pubblicano le denominazioni delle filiazioni non incluse nel consolidamento.</w:t>
            </w:r>
          </w:p>
        </w:tc>
      </w:tr>
      <w:tr w:rsidR="00C04D6C" w:rsidRPr="00DE7904" w14:paraId="6F7114DB" w14:textId="77777777" w:rsidTr="00D819DE">
        <w:trPr>
          <w:trHeight w:val="238"/>
        </w:trPr>
        <w:tc>
          <w:tcPr>
            <w:tcW w:w="1384" w:type="dxa"/>
            <w:shd w:val="clear" w:color="auto" w:fill="auto"/>
          </w:tcPr>
          <w:p w14:paraId="53705885" w14:textId="77777777" w:rsidR="00C04D6C" w:rsidRPr="00DE7904" w:rsidRDefault="00C04D6C" w:rsidP="00D819DE">
            <w:pPr>
              <w:autoSpaceDE w:val="0"/>
              <w:autoSpaceDN w:val="0"/>
              <w:adjustRightInd w:val="0"/>
              <w:jc w:val="center"/>
              <w:rPr>
                <w:rFonts w:ascii="Times New Roman" w:hAnsi="Times New Roman" w:cs="Times New Roman"/>
                <w:b/>
                <w:sz w:val="24"/>
              </w:rPr>
            </w:pPr>
            <w:r w:rsidRPr="00DE7904">
              <w:rPr>
                <w:rFonts w:ascii="Times New Roman" w:hAnsi="Times New Roman"/>
                <w:sz w:val="24"/>
              </w:rPr>
              <w:t>c)</w:t>
            </w:r>
          </w:p>
        </w:tc>
        <w:tc>
          <w:tcPr>
            <w:tcW w:w="7655" w:type="dxa"/>
            <w:shd w:val="clear" w:color="auto" w:fill="auto"/>
          </w:tcPr>
          <w:p w14:paraId="1800BD76" w14:textId="30A4431C" w:rsidR="00C04D6C" w:rsidRPr="00DE7904" w:rsidRDefault="00C04D6C" w:rsidP="00D819DE">
            <w:pPr>
              <w:autoSpaceDE w:val="0"/>
              <w:autoSpaceDN w:val="0"/>
              <w:adjustRightInd w:val="0"/>
              <w:spacing w:before="60" w:after="60"/>
              <w:jc w:val="both"/>
              <w:rPr>
                <w:rFonts w:ascii="Times New Roman" w:hAnsi="Times New Roman" w:cs="Times New Roman"/>
                <w:b/>
                <w:sz w:val="24"/>
              </w:rPr>
            </w:pPr>
            <w:r w:rsidRPr="00DE7904">
              <w:rPr>
                <w:rFonts w:ascii="Times New Roman" w:hAnsi="Times New Roman"/>
                <w:sz w:val="24"/>
              </w:rPr>
              <w:t>Se del caso, gli enti indicano le circostanze in cui ricorrono alla deroga di cui all</w:t>
            </w:r>
            <w:r w:rsidR="00B96C44" w:rsidRPr="00DE7904">
              <w:rPr>
                <w:rFonts w:ascii="Times New Roman" w:hAnsi="Times New Roman"/>
                <w:sz w:val="24"/>
              </w:rPr>
              <w:t>'</w:t>
            </w:r>
            <w:r w:rsidRPr="00DE7904">
              <w:rPr>
                <w:rFonts w:ascii="Times New Roman" w:hAnsi="Times New Roman"/>
                <w:sz w:val="24"/>
              </w:rPr>
              <w:t>articolo 7 del CRR o al metodo di consolidamento individuale di cui all</w:t>
            </w:r>
            <w:r w:rsidR="00B96C44" w:rsidRPr="00DE7904">
              <w:rPr>
                <w:rFonts w:ascii="Times New Roman" w:hAnsi="Times New Roman"/>
                <w:sz w:val="24"/>
              </w:rPr>
              <w:t>'</w:t>
            </w:r>
            <w:r w:rsidRPr="00DE7904">
              <w:rPr>
                <w:rFonts w:ascii="Times New Roman" w:hAnsi="Times New Roman"/>
                <w:sz w:val="24"/>
              </w:rPr>
              <w:t>articolo 9 del CRR.</w:t>
            </w:r>
          </w:p>
        </w:tc>
      </w:tr>
      <w:tr w:rsidR="00C04D6C" w:rsidRPr="00DE7904" w14:paraId="70A5DDF0" w14:textId="77777777" w:rsidTr="00D819DE">
        <w:trPr>
          <w:trHeight w:val="238"/>
        </w:trPr>
        <w:tc>
          <w:tcPr>
            <w:tcW w:w="1384" w:type="dxa"/>
            <w:tcBorders>
              <w:bottom w:val="single" w:sz="4" w:space="0" w:color="auto"/>
            </w:tcBorders>
            <w:shd w:val="clear" w:color="auto" w:fill="auto"/>
          </w:tcPr>
          <w:p w14:paraId="603A1037" w14:textId="77777777" w:rsidR="00C04D6C" w:rsidRPr="00DE7904" w:rsidRDefault="00C04D6C" w:rsidP="00D819DE">
            <w:pPr>
              <w:autoSpaceDE w:val="0"/>
              <w:autoSpaceDN w:val="0"/>
              <w:adjustRightInd w:val="0"/>
              <w:jc w:val="center"/>
              <w:rPr>
                <w:rFonts w:ascii="Times New Roman" w:hAnsi="Times New Roman" w:cs="Times New Roman"/>
                <w:b/>
                <w:sz w:val="24"/>
              </w:rPr>
            </w:pPr>
            <w:r w:rsidRPr="00DE7904">
              <w:rPr>
                <w:rFonts w:ascii="Times New Roman" w:hAnsi="Times New Roman"/>
                <w:sz w:val="24"/>
              </w:rPr>
              <w:t>d)</w:t>
            </w:r>
          </w:p>
        </w:tc>
        <w:tc>
          <w:tcPr>
            <w:tcW w:w="7655" w:type="dxa"/>
            <w:tcBorders>
              <w:bottom w:val="single" w:sz="4" w:space="0" w:color="auto"/>
            </w:tcBorders>
            <w:shd w:val="clear" w:color="auto" w:fill="auto"/>
          </w:tcPr>
          <w:p w14:paraId="2E8CF528" w14:textId="69233688" w:rsidR="00C04D6C" w:rsidRPr="00DE7904" w:rsidRDefault="00C04D6C" w:rsidP="00D819DE">
            <w:pPr>
              <w:autoSpaceDE w:val="0"/>
              <w:autoSpaceDN w:val="0"/>
              <w:adjustRightInd w:val="0"/>
              <w:spacing w:before="60" w:after="60"/>
              <w:jc w:val="both"/>
              <w:rPr>
                <w:rFonts w:ascii="Times New Roman" w:hAnsi="Times New Roman" w:cs="Times New Roman"/>
                <w:b/>
                <w:sz w:val="24"/>
              </w:rPr>
            </w:pPr>
            <w:r w:rsidRPr="00DE7904">
              <w:rPr>
                <w:rFonts w:ascii="Times New Roman" w:hAnsi="Times New Roman"/>
                <w:sz w:val="24"/>
              </w:rPr>
              <w:t>Se del caso, gli enti pubblicano l</w:t>
            </w:r>
            <w:r w:rsidR="00B96C44" w:rsidRPr="00DE7904">
              <w:rPr>
                <w:rFonts w:ascii="Times New Roman" w:hAnsi="Times New Roman"/>
                <w:sz w:val="24"/>
              </w:rPr>
              <w:t>'</w:t>
            </w:r>
            <w:r w:rsidRPr="00DE7904">
              <w:rPr>
                <w:rFonts w:ascii="Times New Roman" w:hAnsi="Times New Roman"/>
                <w:sz w:val="24"/>
              </w:rPr>
              <w:t>importo aggregato del quale i fondi propri effettivi sono inferiori a quanto richiesto in tutte le filiazioni non incluse nel consolidamento e le denominazioni di tali filiazioni.</w:t>
            </w:r>
          </w:p>
        </w:tc>
      </w:tr>
    </w:tbl>
    <w:p w14:paraId="26403B4C" w14:textId="77777777" w:rsidR="00C04D6C" w:rsidRPr="00DE7904" w:rsidRDefault="00C04D6C" w:rsidP="000223B3">
      <w:pPr>
        <w:spacing w:before="120" w:after="120"/>
        <w:rPr>
          <w:rFonts w:ascii="Times New Roman" w:hAnsi="Times New Roman" w:cs="Times New Roman"/>
          <w:sz w:val="24"/>
        </w:rPr>
      </w:pPr>
    </w:p>
    <w:p w14:paraId="092F96DF" w14:textId="77777777" w:rsidR="00C04D6C" w:rsidRPr="00DE7904" w:rsidRDefault="00C04D6C" w:rsidP="00C04D6C">
      <w:pPr>
        <w:spacing w:after="120"/>
        <w:jc w:val="both"/>
        <w:rPr>
          <w:rFonts w:ascii="Times New Roman" w:hAnsi="Times New Roman" w:cs="Times New Roman"/>
          <w:sz w:val="24"/>
        </w:rPr>
      </w:pPr>
      <w:r w:rsidRPr="00DE7904">
        <w:rPr>
          <w:rFonts w:ascii="Times New Roman" w:hAnsi="Times New Roman"/>
          <w:b/>
          <w:sz w:val="24"/>
        </w:rPr>
        <w:t xml:space="preserve">Modello EU PV1: aggiustamenti per la valutazione prudente (PVA) </w:t>
      </w:r>
      <w:r w:rsidRPr="00DE7904">
        <w:rPr>
          <w:rFonts w:ascii="Times New Roman" w:hAnsi="Times New Roman"/>
          <w:sz w:val="24"/>
        </w:rPr>
        <w:t>- Formato fisso</w:t>
      </w:r>
    </w:p>
    <w:p w14:paraId="01BBAEB3" w14:textId="1AB46692" w:rsidR="00C04D6C" w:rsidRPr="00DE7904" w:rsidRDefault="00C04D6C" w:rsidP="00C04D6C">
      <w:pPr>
        <w:pStyle w:val="ListParagraph"/>
        <w:numPr>
          <w:ilvl w:val="0"/>
          <w:numId w:val="1"/>
        </w:numPr>
        <w:spacing w:before="60" w:after="120"/>
        <w:jc w:val="both"/>
        <w:rPr>
          <w:rFonts w:ascii="Times New Roman" w:hAnsi="Times New Roman"/>
          <w:sz w:val="24"/>
        </w:rPr>
      </w:pPr>
      <w:r w:rsidRPr="00DE7904">
        <w:rPr>
          <w:rFonts w:ascii="Times New Roman" w:hAnsi="Times New Roman"/>
          <w:sz w:val="24"/>
        </w:rPr>
        <w:t>Gli enti che applicano il metodo di base per la determinazione dell</w:t>
      </w:r>
      <w:r w:rsidR="00B96C44" w:rsidRPr="00DE7904">
        <w:rPr>
          <w:rFonts w:ascii="Times New Roman" w:hAnsi="Times New Roman"/>
          <w:sz w:val="24"/>
        </w:rPr>
        <w:t>'</w:t>
      </w:r>
      <w:r w:rsidRPr="00DE7904">
        <w:rPr>
          <w:rFonts w:ascii="Times New Roman" w:hAnsi="Times New Roman"/>
          <w:sz w:val="24"/>
        </w:rPr>
        <w:t>aggiustamento di valutazione supplementare per la valutazione prudente conformemente al capo III del regolamento delegato (UE) 2016/101 della Commissione</w:t>
      </w:r>
      <w:r w:rsidRPr="00DE7904">
        <w:rPr>
          <w:rStyle w:val="FootnoteReference"/>
          <w:rFonts w:ascii="Times New Roman" w:hAnsi="Times New Roman"/>
          <w:bCs/>
          <w:sz w:val="24"/>
          <w:szCs w:val="24"/>
        </w:rPr>
        <w:footnoteReference w:id="6"/>
      </w:r>
      <w:r w:rsidRPr="00DE7904">
        <w:rPr>
          <w:rFonts w:ascii="Times New Roman" w:hAnsi="Times New Roman"/>
          <w:sz w:val="24"/>
        </w:rPr>
        <w:t xml:space="preserve"> pubblicano le informazioni di cui all</w:t>
      </w:r>
      <w:r w:rsidR="00B96C44" w:rsidRPr="00DE7904">
        <w:rPr>
          <w:rFonts w:ascii="Times New Roman" w:hAnsi="Times New Roman"/>
          <w:sz w:val="24"/>
        </w:rPr>
        <w:t>'</w:t>
      </w:r>
      <w:r w:rsidRPr="00DE7904">
        <w:rPr>
          <w:rFonts w:ascii="Times New Roman" w:hAnsi="Times New Roman"/>
          <w:sz w:val="24"/>
        </w:rPr>
        <w:t>articolo 436, lettera e), del CRR seguendo le istruzioni fornite di seguito nel presente allegato per la compilazione del modello EU PV1 di cui all</w:t>
      </w:r>
      <w:r w:rsidR="00B96C44" w:rsidRPr="00DE7904">
        <w:rPr>
          <w:rFonts w:ascii="Times New Roman" w:hAnsi="Times New Roman"/>
          <w:sz w:val="24"/>
        </w:rPr>
        <w:t>'</w:t>
      </w:r>
      <w:r w:rsidRPr="00DE7904">
        <w:rPr>
          <w:rFonts w:ascii="Times New Roman" w:hAnsi="Times New Roman"/>
          <w:sz w:val="24"/>
        </w:rPr>
        <w:t>allegato V del presente regolamento di esecuzione.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DE7904" w14:paraId="13C4377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9B9A9" w14:textId="77777777" w:rsidR="00C04D6C" w:rsidRPr="00DE7904" w:rsidRDefault="00C04D6C" w:rsidP="00D819DE">
            <w:pPr>
              <w:rPr>
                <w:rFonts w:ascii="Times New Roman" w:hAnsi="Times New Roman" w:cs="Times New Roman"/>
                <w:b/>
                <w:sz w:val="24"/>
              </w:rPr>
            </w:pPr>
            <w:r w:rsidRPr="00DE7904">
              <w:rPr>
                <w:rFonts w:ascii="Times New Roman" w:hAnsi="Times New Roman"/>
                <w:b/>
                <w:sz w:val="24"/>
              </w:rPr>
              <w:t>Riferimenti giuridici e istruzioni</w:t>
            </w:r>
          </w:p>
        </w:tc>
      </w:tr>
      <w:tr w:rsidR="00C04D6C" w:rsidRPr="00DE7904" w14:paraId="50701F6D" w14:textId="77777777" w:rsidTr="00D819DE">
        <w:trPr>
          <w:trHeight w:val="238"/>
        </w:trPr>
        <w:tc>
          <w:tcPr>
            <w:tcW w:w="1384" w:type="dxa"/>
            <w:shd w:val="clear" w:color="auto" w:fill="D9D9D9" w:themeFill="background1" w:themeFillShade="D9"/>
          </w:tcPr>
          <w:p w14:paraId="69902A51" w14:textId="3FE528BE" w:rsidR="00C04D6C" w:rsidRPr="00DE7904" w:rsidRDefault="00C04D6C" w:rsidP="00D819DE">
            <w:pPr>
              <w:autoSpaceDE w:val="0"/>
              <w:autoSpaceDN w:val="0"/>
              <w:adjustRightInd w:val="0"/>
              <w:rPr>
                <w:rFonts w:ascii="Times New Roman" w:hAnsi="Times New Roman" w:cs="Times New Roman"/>
                <w:b/>
                <w:sz w:val="24"/>
              </w:rPr>
            </w:pPr>
            <w:r w:rsidRPr="00DE7904">
              <w:rPr>
                <w:rFonts w:ascii="Times New Roman" w:hAnsi="Times New Roman"/>
                <w:b/>
                <w:sz w:val="24"/>
              </w:rPr>
              <w:t xml:space="preserve">Numero </w:t>
            </w:r>
            <w:r w:rsidR="002F74D1" w:rsidRPr="00DE7904">
              <w:rPr>
                <w:rFonts w:ascii="Times New Roman" w:hAnsi="Times New Roman"/>
                <w:b/>
                <w:sz w:val="24"/>
              </w:rPr>
              <w:br/>
            </w:r>
            <w:r w:rsidRPr="00DE7904">
              <w:rPr>
                <w:rFonts w:ascii="Times New Roman" w:hAnsi="Times New Roman"/>
                <w:b/>
                <w:sz w:val="24"/>
              </w:rPr>
              <w:t>di riga</w:t>
            </w:r>
          </w:p>
        </w:tc>
        <w:tc>
          <w:tcPr>
            <w:tcW w:w="7655" w:type="dxa"/>
            <w:shd w:val="clear" w:color="auto" w:fill="D9D9D9" w:themeFill="background1" w:themeFillShade="D9"/>
          </w:tcPr>
          <w:p w14:paraId="5AB442B6" w14:textId="77777777" w:rsidR="00C04D6C" w:rsidRPr="00DE7904" w:rsidRDefault="00C04D6C" w:rsidP="00D819DE">
            <w:pPr>
              <w:autoSpaceDE w:val="0"/>
              <w:autoSpaceDN w:val="0"/>
              <w:adjustRightInd w:val="0"/>
              <w:rPr>
                <w:rFonts w:ascii="Times New Roman" w:hAnsi="Times New Roman" w:cs="Times New Roman"/>
                <w:color w:val="000000"/>
                <w:sz w:val="24"/>
              </w:rPr>
            </w:pPr>
            <w:r w:rsidRPr="00DE7904">
              <w:rPr>
                <w:rFonts w:ascii="Times New Roman" w:hAnsi="Times New Roman"/>
                <w:b/>
                <w:sz w:val="24"/>
              </w:rPr>
              <w:t>Spiegazione</w:t>
            </w:r>
          </w:p>
        </w:tc>
      </w:tr>
      <w:tr w:rsidR="00C04D6C" w:rsidRPr="00DE7904" w14:paraId="036FD0C7"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2743B" w14:textId="77777777" w:rsidR="00C04D6C" w:rsidRPr="00DE7904" w:rsidRDefault="00C04D6C" w:rsidP="00D819DE">
            <w:pPr>
              <w:autoSpaceDE w:val="0"/>
              <w:autoSpaceDN w:val="0"/>
              <w:adjustRightInd w:val="0"/>
              <w:jc w:val="center"/>
              <w:rPr>
                <w:rFonts w:ascii="Times New Roman" w:hAnsi="Times New Roman" w:cs="Times New Roman"/>
                <w:sz w:val="24"/>
              </w:rPr>
            </w:pPr>
            <w:r w:rsidRPr="00DE7904">
              <w:rPr>
                <w:rFonts w:ascii="Times New Roman" w:hAnsi="Times New Roman"/>
                <w:sz w:val="24"/>
              </w:rPr>
              <w:t>Righe da 1 a 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9E20141" w14:textId="77777777" w:rsidR="00C04D6C" w:rsidRPr="00DE7904" w:rsidRDefault="00C04D6C" w:rsidP="00D819DE">
            <w:pPr>
              <w:spacing w:beforeLines="60" w:before="144" w:afterLines="60" w:after="144"/>
              <w:rPr>
                <w:rStyle w:val="InstructionsTabelleberschrift"/>
                <w:rFonts w:ascii="Times New Roman" w:hAnsi="Times New Roman"/>
                <w:sz w:val="24"/>
              </w:rPr>
            </w:pPr>
            <w:r w:rsidRPr="00DE7904">
              <w:rPr>
                <w:rStyle w:val="InstructionsTabelleberschrift"/>
                <w:rFonts w:ascii="Times New Roman" w:hAnsi="Times New Roman"/>
                <w:sz w:val="24"/>
              </w:rPr>
              <w:t>AVA a livello di categoria</w:t>
            </w:r>
          </w:p>
          <w:p w14:paraId="4E570456" w14:textId="5E34FE9A" w:rsidR="00C04D6C" w:rsidRPr="00DE7904" w:rsidRDefault="00C04D6C" w:rsidP="00D819DE">
            <w:pPr>
              <w:spacing w:beforeLines="60" w:before="144" w:afterLines="60" w:after="144"/>
              <w:jc w:val="both"/>
              <w:rPr>
                <w:rFonts w:ascii="Times New Roman" w:hAnsi="Times New Roman" w:cs="Times New Roman"/>
                <w:sz w:val="24"/>
              </w:rPr>
            </w:pPr>
            <w:r w:rsidRPr="00DE7904">
              <w:rPr>
                <w:rFonts w:ascii="Times New Roman" w:hAnsi="Times New Roman"/>
                <w:sz w:val="24"/>
              </w:rPr>
              <w:t>Gli AVA a livello di categoria per l</w:t>
            </w:r>
            <w:r w:rsidR="00B96C44" w:rsidRPr="00DE7904">
              <w:rPr>
                <w:rFonts w:ascii="Times New Roman" w:hAnsi="Times New Roman"/>
                <w:sz w:val="24"/>
              </w:rPr>
              <w:t>'</w:t>
            </w:r>
            <w:r w:rsidRPr="00DE7904">
              <w:rPr>
                <w:rFonts w:ascii="Times New Roman" w:hAnsi="Times New Roman"/>
                <w:sz w:val="24"/>
              </w:rPr>
              <w:t>incertezza delle quotazioni di mercato, i costi di chiusura, i rischi del modello, le posizioni concentrate, i costi amministrativi futuri, la chiusura anticipata delle posizioni e il rischio operativo sono determinati rispettivamente a norma degli articoli da 9 a 11 e da 14 a 17 del regolamento delegato (UE) 2016/101 della Commissione.</w:t>
            </w:r>
          </w:p>
          <w:p w14:paraId="7B4E3C64" w14:textId="083ABC18" w:rsidR="00C04D6C" w:rsidRPr="00DE7904" w:rsidRDefault="00C04D6C" w:rsidP="00D819DE">
            <w:pPr>
              <w:spacing w:beforeLines="60" w:before="144" w:afterLines="60" w:after="144"/>
              <w:jc w:val="both"/>
              <w:rPr>
                <w:rFonts w:ascii="Times New Roman" w:hAnsi="Times New Roman" w:cs="Times New Roman"/>
                <w:sz w:val="24"/>
              </w:rPr>
            </w:pPr>
            <w:r w:rsidRPr="00DE7904">
              <w:rPr>
                <w:rFonts w:ascii="Times New Roman" w:hAnsi="Times New Roman"/>
                <w:sz w:val="24"/>
              </w:rPr>
              <w:t>Per le categorie dell</w:t>
            </w:r>
            <w:r w:rsidR="00B96C44" w:rsidRPr="00DE7904">
              <w:rPr>
                <w:rFonts w:ascii="Times New Roman" w:hAnsi="Times New Roman"/>
                <w:sz w:val="24"/>
              </w:rPr>
              <w:t>'</w:t>
            </w:r>
            <w:r w:rsidRPr="00DE7904">
              <w:rPr>
                <w:rFonts w:ascii="Times New Roman" w:hAnsi="Times New Roman"/>
                <w:sz w:val="24"/>
              </w:rPr>
              <w:t>incertezza delle quotazioni di mercato, dei costi di chiusura e</w:t>
            </w:r>
            <w:r w:rsidR="00B96C44" w:rsidRPr="00DE7904">
              <w:rPr>
                <w:rFonts w:ascii="Times New Roman" w:hAnsi="Times New Roman"/>
                <w:sz w:val="24"/>
              </w:rPr>
              <w:t xml:space="preserve"> </w:t>
            </w:r>
            <w:r w:rsidRPr="00DE7904">
              <w:rPr>
                <w:rFonts w:ascii="Times New Roman" w:hAnsi="Times New Roman"/>
                <w:sz w:val="24"/>
              </w:rPr>
              <w:t>dei rischi del modello, che sono soggette al beneficio della diversificazione di cui rispettivamente all</w:t>
            </w:r>
            <w:r w:rsidR="00B96C44" w:rsidRPr="00DE7904">
              <w:rPr>
                <w:rFonts w:ascii="Times New Roman" w:hAnsi="Times New Roman"/>
                <w:sz w:val="24"/>
              </w:rPr>
              <w:t>'</w:t>
            </w:r>
            <w:r w:rsidRPr="00DE7904">
              <w:rPr>
                <w:rFonts w:ascii="Times New Roman" w:hAnsi="Times New Roman"/>
                <w:sz w:val="24"/>
              </w:rPr>
              <w:t>articolo</w:t>
            </w:r>
            <w:r w:rsidR="002F74D1" w:rsidRPr="00DE7904">
              <w:rPr>
                <w:rFonts w:ascii="Times New Roman" w:hAnsi="Times New Roman"/>
                <w:sz w:val="24"/>
              </w:rPr>
              <w:t> </w:t>
            </w:r>
            <w:r w:rsidRPr="00DE7904">
              <w:rPr>
                <w:rFonts w:ascii="Times New Roman" w:hAnsi="Times New Roman"/>
                <w:sz w:val="24"/>
              </w:rPr>
              <w:t>9, paragrafo</w:t>
            </w:r>
            <w:r w:rsidR="002F74D1" w:rsidRPr="00DE7904">
              <w:rPr>
                <w:rFonts w:ascii="Times New Roman" w:hAnsi="Times New Roman"/>
                <w:sz w:val="24"/>
              </w:rPr>
              <w:t> </w:t>
            </w:r>
            <w:r w:rsidRPr="00DE7904">
              <w:rPr>
                <w:rFonts w:ascii="Times New Roman" w:hAnsi="Times New Roman"/>
                <w:sz w:val="24"/>
              </w:rPr>
              <w:t>6, all</w:t>
            </w:r>
            <w:r w:rsidR="00B96C44" w:rsidRPr="00DE7904">
              <w:rPr>
                <w:rFonts w:ascii="Times New Roman" w:hAnsi="Times New Roman"/>
                <w:sz w:val="24"/>
              </w:rPr>
              <w:t>'</w:t>
            </w:r>
            <w:r w:rsidRPr="00DE7904">
              <w:rPr>
                <w:rFonts w:ascii="Times New Roman" w:hAnsi="Times New Roman"/>
                <w:sz w:val="24"/>
              </w:rPr>
              <w:t>articolo</w:t>
            </w:r>
            <w:r w:rsidR="002F74D1" w:rsidRPr="00DE7904">
              <w:rPr>
                <w:rFonts w:ascii="Times New Roman" w:hAnsi="Times New Roman"/>
                <w:sz w:val="24"/>
              </w:rPr>
              <w:t> </w:t>
            </w:r>
            <w:r w:rsidRPr="00DE7904">
              <w:rPr>
                <w:rFonts w:ascii="Times New Roman" w:hAnsi="Times New Roman"/>
                <w:sz w:val="24"/>
              </w:rPr>
              <w:t>10, paragrafo</w:t>
            </w:r>
            <w:r w:rsidR="002F74D1" w:rsidRPr="00DE7904">
              <w:rPr>
                <w:rFonts w:ascii="Times New Roman" w:hAnsi="Times New Roman"/>
                <w:sz w:val="24"/>
              </w:rPr>
              <w:t> </w:t>
            </w:r>
            <w:r w:rsidRPr="00DE7904">
              <w:rPr>
                <w:rFonts w:ascii="Times New Roman" w:hAnsi="Times New Roman"/>
                <w:sz w:val="24"/>
              </w:rPr>
              <w:t>7, e all</w:t>
            </w:r>
            <w:r w:rsidR="00B96C44" w:rsidRPr="00DE7904">
              <w:rPr>
                <w:rFonts w:ascii="Times New Roman" w:hAnsi="Times New Roman"/>
                <w:sz w:val="24"/>
              </w:rPr>
              <w:t>'</w:t>
            </w:r>
            <w:r w:rsidRPr="00DE7904">
              <w:rPr>
                <w:rFonts w:ascii="Times New Roman" w:hAnsi="Times New Roman"/>
                <w:sz w:val="24"/>
              </w:rPr>
              <w:t>articolo</w:t>
            </w:r>
            <w:r w:rsidR="002F74D1" w:rsidRPr="00DE7904">
              <w:rPr>
                <w:rFonts w:ascii="Times New Roman" w:hAnsi="Times New Roman"/>
                <w:sz w:val="24"/>
              </w:rPr>
              <w:t> </w:t>
            </w:r>
            <w:r w:rsidRPr="00DE7904">
              <w:rPr>
                <w:rFonts w:ascii="Times New Roman" w:hAnsi="Times New Roman"/>
                <w:sz w:val="24"/>
              </w:rPr>
              <w:t>11, paragrafo</w:t>
            </w:r>
            <w:r w:rsidR="002F74D1" w:rsidRPr="00DE7904">
              <w:rPr>
                <w:rFonts w:ascii="Times New Roman" w:hAnsi="Times New Roman"/>
                <w:sz w:val="24"/>
              </w:rPr>
              <w:t> </w:t>
            </w:r>
            <w:r w:rsidRPr="00DE7904">
              <w:rPr>
                <w:rFonts w:ascii="Times New Roman" w:hAnsi="Times New Roman"/>
                <w:sz w:val="24"/>
              </w:rPr>
              <w:t>7, del regolamento delegato (UE) 2016/101, gli AVA a livello di categoria sono indicati nelle colonne da a a EU e2 di questo modello come somma diretta dei singoli AVA prima del beneficio della diversificazione. I benefici di diversificazione conformemente all</w:t>
            </w:r>
            <w:r w:rsidR="00B96C44" w:rsidRPr="00DE7904">
              <w:rPr>
                <w:rFonts w:ascii="Times New Roman" w:hAnsi="Times New Roman"/>
                <w:sz w:val="24"/>
              </w:rPr>
              <w:t>'</w:t>
            </w:r>
            <w:r w:rsidRPr="00DE7904">
              <w:rPr>
                <w:rFonts w:ascii="Times New Roman" w:hAnsi="Times New Roman"/>
                <w:sz w:val="24"/>
              </w:rPr>
              <w:t>articolo</w:t>
            </w:r>
            <w:r w:rsidR="002F74D1" w:rsidRPr="00DE7904">
              <w:rPr>
                <w:rFonts w:ascii="Times New Roman" w:hAnsi="Times New Roman"/>
                <w:sz w:val="24"/>
              </w:rPr>
              <w:t> </w:t>
            </w:r>
            <w:r w:rsidRPr="00DE7904">
              <w:rPr>
                <w:rFonts w:ascii="Times New Roman" w:hAnsi="Times New Roman"/>
                <w:sz w:val="24"/>
              </w:rPr>
              <w:t>9, paragrafo</w:t>
            </w:r>
            <w:r w:rsidR="002F74D1" w:rsidRPr="00DE7904">
              <w:rPr>
                <w:rFonts w:ascii="Times New Roman" w:hAnsi="Times New Roman"/>
                <w:sz w:val="24"/>
              </w:rPr>
              <w:t> </w:t>
            </w:r>
            <w:r w:rsidRPr="00DE7904">
              <w:rPr>
                <w:rFonts w:ascii="Times New Roman" w:hAnsi="Times New Roman"/>
                <w:sz w:val="24"/>
              </w:rPr>
              <w:t>6, all</w:t>
            </w:r>
            <w:r w:rsidR="00B96C44" w:rsidRPr="00DE7904">
              <w:rPr>
                <w:rFonts w:ascii="Times New Roman" w:hAnsi="Times New Roman"/>
                <w:sz w:val="24"/>
              </w:rPr>
              <w:t>'</w:t>
            </w:r>
            <w:r w:rsidRPr="00DE7904">
              <w:rPr>
                <w:rFonts w:ascii="Times New Roman" w:hAnsi="Times New Roman"/>
                <w:sz w:val="24"/>
              </w:rPr>
              <w:t>articolo</w:t>
            </w:r>
            <w:r w:rsidR="002F74D1" w:rsidRPr="00DE7904">
              <w:rPr>
                <w:rFonts w:ascii="Times New Roman" w:hAnsi="Times New Roman"/>
                <w:sz w:val="24"/>
              </w:rPr>
              <w:t> </w:t>
            </w:r>
            <w:r w:rsidRPr="00DE7904">
              <w:rPr>
                <w:rFonts w:ascii="Times New Roman" w:hAnsi="Times New Roman"/>
                <w:sz w:val="24"/>
              </w:rPr>
              <w:t>10, paragrafo</w:t>
            </w:r>
            <w:r w:rsidR="002F74D1" w:rsidRPr="00DE7904">
              <w:rPr>
                <w:rFonts w:ascii="Times New Roman" w:hAnsi="Times New Roman"/>
                <w:sz w:val="24"/>
              </w:rPr>
              <w:t> </w:t>
            </w:r>
            <w:r w:rsidRPr="00DE7904">
              <w:rPr>
                <w:rFonts w:ascii="Times New Roman" w:hAnsi="Times New Roman"/>
                <w:sz w:val="24"/>
              </w:rPr>
              <w:t>7, e all</w:t>
            </w:r>
            <w:r w:rsidR="00B96C44" w:rsidRPr="00DE7904">
              <w:rPr>
                <w:rFonts w:ascii="Times New Roman" w:hAnsi="Times New Roman"/>
                <w:sz w:val="24"/>
              </w:rPr>
              <w:t>'</w:t>
            </w:r>
            <w:r w:rsidRPr="00DE7904">
              <w:rPr>
                <w:rFonts w:ascii="Times New Roman" w:hAnsi="Times New Roman"/>
                <w:sz w:val="24"/>
              </w:rPr>
              <w:t>articolo</w:t>
            </w:r>
            <w:r w:rsidR="002F74D1" w:rsidRPr="00DE7904">
              <w:rPr>
                <w:rFonts w:ascii="Times New Roman" w:hAnsi="Times New Roman"/>
                <w:sz w:val="24"/>
              </w:rPr>
              <w:t> </w:t>
            </w:r>
            <w:r w:rsidRPr="00DE7904">
              <w:rPr>
                <w:rFonts w:ascii="Times New Roman" w:hAnsi="Times New Roman"/>
                <w:sz w:val="24"/>
              </w:rPr>
              <w:t>11, paragrafo</w:t>
            </w:r>
            <w:r w:rsidR="002F74D1" w:rsidRPr="00DE7904">
              <w:rPr>
                <w:rFonts w:ascii="Times New Roman" w:hAnsi="Times New Roman"/>
                <w:sz w:val="24"/>
              </w:rPr>
              <w:t> </w:t>
            </w:r>
            <w:r w:rsidRPr="00DE7904">
              <w:rPr>
                <w:rFonts w:ascii="Times New Roman" w:hAnsi="Times New Roman"/>
                <w:sz w:val="24"/>
              </w:rPr>
              <w:t>7, del regolamento delegato (UE) 2016/101 della Commissione sono inclusi nella colonna f) di questo modello.</w:t>
            </w:r>
          </w:p>
        </w:tc>
      </w:tr>
      <w:tr w:rsidR="00C04D6C" w:rsidRPr="00DE7904" w14:paraId="1A1E11FE"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A90CED" w14:textId="77777777" w:rsidR="00C04D6C" w:rsidRPr="00DE7904" w:rsidRDefault="00C04D6C" w:rsidP="00D819DE">
            <w:pPr>
              <w:autoSpaceDE w:val="0"/>
              <w:autoSpaceDN w:val="0"/>
              <w:adjustRightInd w:val="0"/>
              <w:jc w:val="both"/>
              <w:rPr>
                <w:rFonts w:ascii="Times New Roman" w:hAnsi="Times New Roman" w:cs="Times New Roman"/>
                <w:sz w:val="24"/>
              </w:rPr>
            </w:pPr>
            <w:r w:rsidRPr="00DE7904">
              <w:rPr>
                <w:rFonts w:ascii="Times New Roman" w:hAnsi="Times New Roman"/>
                <w:sz w:val="24"/>
              </w:rPr>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761C780" w14:textId="77777777" w:rsidR="00C04D6C" w:rsidRPr="00DE7904" w:rsidRDefault="00C04D6C" w:rsidP="00D819DE">
            <w:pPr>
              <w:spacing w:beforeLines="60" w:before="144" w:afterLines="60" w:after="144"/>
              <w:jc w:val="both"/>
              <w:rPr>
                <w:rStyle w:val="InstructionsTabelleberschrift"/>
                <w:rFonts w:ascii="Times New Roman" w:hAnsi="Times New Roman"/>
                <w:sz w:val="24"/>
              </w:rPr>
            </w:pPr>
            <w:r w:rsidRPr="00DE7904">
              <w:rPr>
                <w:rStyle w:val="InstructionsTabelleberschrift"/>
                <w:rFonts w:ascii="Times New Roman" w:hAnsi="Times New Roman"/>
                <w:sz w:val="24"/>
              </w:rPr>
              <w:t>Incertezza delle quotazioni di mercato</w:t>
            </w:r>
          </w:p>
          <w:p w14:paraId="3D2F4674" w14:textId="77777777" w:rsidR="00C04D6C" w:rsidRPr="00DE7904" w:rsidRDefault="00C04D6C" w:rsidP="00D819DE">
            <w:pPr>
              <w:spacing w:beforeLines="60" w:before="144" w:afterLines="60" w:after="144"/>
              <w:jc w:val="both"/>
              <w:rPr>
                <w:rFonts w:ascii="Times New Roman" w:hAnsi="Times New Roman" w:cs="Times New Roman"/>
                <w:sz w:val="24"/>
              </w:rPr>
            </w:pPr>
            <w:r w:rsidRPr="00DE7904">
              <w:rPr>
                <w:rFonts w:ascii="Times New Roman" w:hAnsi="Times New Roman"/>
                <w:sz w:val="24"/>
              </w:rPr>
              <w:lastRenderedPageBreak/>
              <w:t>Articolo 105, paragrafo 10, del CRR.</w:t>
            </w:r>
          </w:p>
          <w:p w14:paraId="59AE9885" w14:textId="6A0D8A6F" w:rsidR="00C04D6C" w:rsidRPr="00DE7904" w:rsidRDefault="00C04D6C" w:rsidP="00D819DE">
            <w:pPr>
              <w:autoSpaceDE w:val="0"/>
              <w:autoSpaceDN w:val="0"/>
              <w:adjustRightInd w:val="0"/>
              <w:spacing w:after="120"/>
              <w:jc w:val="both"/>
              <w:rPr>
                <w:rFonts w:ascii="Times New Roman" w:hAnsi="Times New Roman" w:cs="Times New Roman"/>
                <w:sz w:val="24"/>
              </w:rPr>
            </w:pPr>
            <w:r w:rsidRPr="00DE7904">
              <w:rPr>
                <w:rFonts w:ascii="Times New Roman" w:hAnsi="Times New Roman"/>
                <w:sz w:val="24"/>
              </w:rPr>
              <w:t>Gli AVA per l</w:t>
            </w:r>
            <w:r w:rsidR="00B96C44" w:rsidRPr="00DE7904">
              <w:rPr>
                <w:rFonts w:ascii="Times New Roman" w:hAnsi="Times New Roman"/>
                <w:sz w:val="24"/>
              </w:rPr>
              <w:t>'</w:t>
            </w:r>
            <w:r w:rsidRPr="00DE7904">
              <w:rPr>
                <w:rFonts w:ascii="Times New Roman" w:hAnsi="Times New Roman"/>
                <w:sz w:val="24"/>
              </w:rPr>
              <w:t>incertezza delle quotazioni di mercato sono calcolati conformemente all</w:t>
            </w:r>
            <w:r w:rsidR="00B96C44" w:rsidRPr="00DE7904">
              <w:rPr>
                <w:rFonts w:ascii="Times New Roman" w:hAnsi="Times New Roman"/>
                <w:sz w:val="24"/>
              </w:rPr>
              <w:t>'</w:t>
            </w:r>
            <w:r w:rsidRPr="00DE7904">
              <w:rPr>
                <w:rFonts w:ascii="Times New Roman" w:hAnsi="Times New Roman"/>
                <w:sz w:val="24"/>
              </w:rPr>
              <w:t>articolo 9 del regolamento delegato (UE) 2016/101 della Commissione.</w:t>
            </w:r>
          </w:p>
        </w:tc>
      </w:tr>
      <w:tr w:rsidR="00C04D6C" w:rsidRPr="00DE7904" w14:paraId="5ACD0CA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EA4F16D" w14:textId="77777777" w:rsidR="00C04D6C" w:rsidRPr="00DE7904" w:rsidRDefault="00C04D6C" w:rsidP="00D819DE">
            <w:pPr>
              <w:autoSpaceDE w:val="0"/>
              <w:autoSpaceDN w:val="0"/>
              <w:adjustRightInd w:val="0"/>
              <w:jc w:val="both"/>
              <w:rPr>
                <w:rFonts w:ascii="Times New Roman" w:hAnsi="Times New Roman" w:cs="Times New Roman"/>
                <w:sz w:val="24"/>
              </w:rPr>
            </w:pPr>
            <w:r w:rsidRPr="00DE7904">
              <w:rPr>
                <w:rFonts w:ascii="Times New Roman" w:hAnsi="Times New Roman"/>
                <w:sz w:val="24"/>
              </w:rPr>
              <w:lastRenderedPageBreak/>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8CEA641" w14:textId="77777777" w:rsidR="00C04D6C" w:rsidRPr="00DE7904" w:rsidRDefault="00C04D6C" w:rsidP="00D819DE">
            <w:pPr>
              <w:autoSpaceDE w:val="0"/>
              <w:autoSpaceDN w:val="0"/>
              <w:adjustRightInd w:val="0"/>
              <w:spacing w:before="60" w:after="120"/>
              <w:jc w:val="both"/>
              <w:rPr>
                <w:rFonts w:ascii="Times New Roman" w:hAnsi="Times New Roman" w:cs="Times New Roman"/>
                <w:b/>
                <w:sz w:val="24"/>
              </w:rPr>
            </w:pPr>
            <w:r w:rsidRPr="00DE7904">
              <w:rPr>
                <w:rStyle w:val="InstructionsTabelleberschrift"/>
                <w:rFonts w:ascii="Times New Roman" w:hAnsi="Times New Roman"/>
                <w:sz w:val="24"/>
              </w:rPr>
              <w:t>Non applicabile</w:t>
            </w:r>
          </w:p>
        </w:tc>
      </w:tr>
      <w:tr w:rsidR="00C04D6C" w:rsidRPr="00DE7904" w14:paraId="3750419D"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76AC12E" w14:textId="77777777" w:rsidR="00C04D6C" w:rsidRPr="00DE7904" w:rsidRDefault="00C04D6C" w:rsidP="00D819DE">
            <w:pPr>
              <w:autoSpaceDE w:val="0"/>
              <w:autoSpaceDN w:val="0"/>
              <w:adjustRightInd w:val="0"/>
              <w:jc w:val="both"/>
              <w:rPr>
                <w:rFonts w:ascii="Times New Roman" w:hAnsi="Times New Roman" w:cs="Times New Roman"/>
                <w:sz w:val="24"/>
              </w:rPr>
            </w:pPr>
            <w:r w:rsidRPr="00DE7904">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81ADC5" w14:textId="77777777" w:rsidR="00C04D6C" w:rsidRPr="00DE7904" w:rsidRDefault="00C04D6C" w:rsidP="00D819DE">
            <w:pPr>
              <w:spacing w:beforeLines="60" w:before="144" w:afterLines="60" w:after="144"/>
              <w:jc w:val="both"/>
              <w:rPr>
                <w:rStyle w:val="InstructionsTabelleberschrift"/>
                <w:rFonts w:ascii="Times New Roman" w:hAnsi="Times New Roman"/>
                <w:sz w:val="24"/>
              </w:rPr>
            </w:pPr>
            <w:r w:rsidRPr="00DE7904">
              <w:rPr>
                <w:rStyle w:val="InstructionsTabelleberschrift"/>
                <w:rFonts w:ascii="Times New Roman" w:hAnsi="Times New Roman"/>
                <w:sz w:val="24"/>
              </w:rPr>
              <w:t>Costi di chiusura</w:t>
            </w:r>
          </w:p>
          <w:p w14:paraId="7AF430E9" w14:textId="77777777" w:rsidR="00C04D6C" w:rsidRPr="00DE7904" w:rsidRDefault="00C04D6C" w:rsidP="00D819DE">
            <w:pPr>
              <w:spacing w:beforeLines="60" w:before="144" w:afterLines="60" w:after="144"/>
              <w:jc w:val="both"/>
              <w:rPr>
                <w:rFonts w:ascii="Times New Roman" w:hAnsi="Times New Roman" w:cs="Times New Roman"/>
                <w:sz w:val="24"/>
              </w:rPr>
            </w:pPr>
            <w:r w:rsidRPr="00DE7904">
              <w:rPr>
                <w:rFonts w:ascii="Times New Roman" w:hAnsi="Times New Roman"/>
                <w:sz w:val="24"/>
              </w:rPr>
              <w:t>Articolo 105, paragrafo 10, del CRR.</w:t>
            </w:r>
          </w:p>
          <w:p w14:paraId="05054C64" w14:textId="73D814D2" w:rsidR="00C04D6C" w:rsidRPr="00DE7904" w:rsidRDefault="00C04D6C" w:rsidP="00D819DE">
            <w:pPr>
              <w:autoSpaceDE w:val="0"/>
              <w:autoSpaceDN w:val="0"/>
              <w:adjustRightInd w:val="0"/>
              <w:spacing w:before="60" w:after="120"/>
              <w:jc w:val="both"/>
              <w:rPr>
                <w:rFonts w:ascii="Times New Roman" w:hAnsi="Times New Roman" w:cs="Times New Roman"/>
                <w:sz w:val="24"/>
              </w:rPr>
            </w:pPr>
            <w:r w:rsidRPr="00DE7904">
              <w:rPr>
                <w:rFonts w:ascii="Times New Roman" w:hAnsi="Times New Roman"/>
                <w:sz w:val="24"/>
              </w:rPr>
              <w:t>Gli AVA per i costi di chiusura sono calcolati conformemente all</w:t>
            </w:r>
            <w:r w:rsidR="00B96C44" w:rsidRPr="00DE7904">
              <w:rPr>
                <w:rFonts w:ascii="Times New Roman" w:hAnsi="Times New Roman"/>
                <w:sz w:val="24"/>
              </w:rPr>
              <w:t>'</w:t>
            </w:r>
            <w:r w:rsidRPr="00DE7904">
              <w:rPr>
                <w:rFonts w:ascii="Times New Roman" w:hAnsi="Times New Roman"/>
                <w:sz w:val="24"/>
              </w:rPr>
              <w:t>articolo</w:t>
            </w:r>
            <w:r w:rsidR="002F74D1" w:rsidRPr="00DE7904">
              <w:rPr>
                <w:rFonts w:ascii="Times New Roman" w:hAnsi="Times New Roman"/>
                <w:sz w:val="24"/>
              </w:rPr>
              <w:t> </w:t>
            </w:r>
            <w:r w:rsidRPr="00DE7904">
              <w:rPr>
                <w:rFonts w:ascii="Times New Roman" w:hAnsi="Times New Roman"/>
                <w:sz w:val="24"/>
              </w:rPr>
              <w:t>10 del regolamento delegato (UE) 2016/101 della Commissione.</w:t>
            </w:r>
          </w:p>
        </w:tc>
      </w:tr>
      <w:tr w:rsidR="00C04D6C" w:rsidRPr="00DE7904" w14:paraId="680DDF7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F20119" w14:textId="77777777" w:rsidR="00C04D6C" w:rsidRPr="00DE7904" w:rsidRDefault="00C04D6C" w:rsidP="00D819DE">
            <w:pPr>
              <w:autoSpaceDE w:val="0"/>
              <w:autoSpaceDN w:val="0"/>
              <w:adjustRightInd w:val="0"/>
              <w:jc w:val="both"/>
              <w:rPr>
                <w:rFonts w:ascii="Times New Roman" w:hAnsi="Times New Roman" w:cs="Times New Roman"/>
                <w:sz w:val="24"/>
              </w:rPr>
            </w:pPr>
            <w:r w:rsidRPr="00DE7904">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B20E67D" w14:textId="77777777" w:rsidR="00C04D6C" w:rsidRPr="00DE7904" w:rsidRDefault="00C04D6C" w:rsidP="00D819DE">
            <w:pPr>
              <w:spacing w:beforeLines="60" w:before="144" w:afterLines="60" w:after="144"/>
              <w:jc w:val="both"/>
              <w:rPr>
                <w:rStyle w:val="InstructionsTabelleberschrift"/>
                <w:rFonts w:ascii="Times New Roman" w:hAnsi="Times New Roman"/>
                <w:sz w:val="24"/>
              </w:rPr>
            </w:pPr>
            <w:r w:rsidRPr="00DE7904">
              <w:rPr>
                <w:rStyle w:val="InstructionsTabelleberschrift"/>
                <w:rFonts w:ascii="Times New Roman" w:hAnsi="Times New Roman"/>
                <w:sz w:val="24"/>
              </w:rPr>
              <w:t>Posizioni concentrate</w:t>
            </w:r>
          </w:p>
          <w:p w14:paraId="08370B0D" w14:textId="77777777" w:rsidR="00C04D6C" w:rsidRPr="00DE7904" w:rsidRDefault="00C04D6C" w:rsidP="00D819DE">
            <w:pPr>
              <w:spacing w:beforeLines="60" w:before="144" w:afterLines="60" w:after="144"/>
              <w:jc w:val="both"/>
              <w:rPr>
                <w:rFonts w:ascii="Times New Roman" w:hAnsi="Times New Roman" w:cs="Times New Roman"/>
                <w:sz w:val="24"/>
              </w:rPr>
            </w:pPr>
            <w:r w:rsidRPr="00DE7904">
              <w:rPr>
                <w:rFonts w:ascii="Times New Roman" w:hAnsi="Times New Roman"/>
                <w:sz w:val="24"/>
              </w:rPr>
              <w:t>Articolo 105, paragrafo 11, del CRR.</w:t>
            </w:r>
          </w:p>
          <w:p w14:paraId="42AFA9B2" w14:textId="2F810C9E" w:rsidR="00C04D6C" w:rsidRPr="00DE7904" w:rsidRDefault="00C04D6C" w:rsidP="00D819DE">
            <w:pPr>
              <w:pStyle w:val="Default"/>
              <w:spacing w:after="120"/>
              <w:jc w:val="both"/>
              <w:rPr>
                <w:rFonts w:ascii="Times New Roman" w:hAnsi="Times New Roman" w:cs="Times New Roman"/>
              </w:rPr>
            </w:pPr>
            <w:r w:rsidRPr="00DE7904">
              <w:rPr>
                <w:rFonts w:ascii="Times New Roman" w:hAnsi="Times New Roman"/>
              </w:rPr>
              <w:t>Gli AVA per le posizioni concentrate sono calcolati a norma dell</w:t>
            </w:r>
            <w:r w:rsidR="00B96C44" w:rsidRPr="00DE7904">
              <w:rPr>
                <w:rFonts w:ascii="Times New Roman" w:hAnsi="Times New Roman"/>
              </w:rPr>
              <w:t>'</w:t>
            </w:r>
            <w:r w:rsidRPr="00DE7904">
              <w:rPr>
                <w:rFonts w:ascii="Times New Roman" w:hAnsi="Times New Roman"/>
              </w:rPr>
              <w:t>articolo 14 del regolamento delegato (UE) 2016/101 della Commissione.</w:t>
            </w:r>
          </w:p>
        </w:tc>
      </w:tr>
      <w:tr w:rsidR="00C04D6C" w:rsidRPr="00DE7904" w14:paraId="358FA37F"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41BA5B" w14:textId="77777777" w:rsidR="00C04D6C" w:rsidRPr="00DE7904" w:rsidRDefault="00C04D6C" w:rsidP="00D819DE">
            <w:pPr>
              <w:autoSpaceDE w:val="0"/>
              <w:autoSpaceDN w:val="0"/>
              <w:adjustRightInd w:val="0"/>
              <w:jc w:val="both"/>
              <w:rPr>
                <w:rFonts w:ascii="Times New Roman" w:hAnsi="Times New Roman" w:cs="Times New Roman"/>
                <w:sz w:val="24"/>
              </w:rPr>
            </w:pPr>
            <w:r w:rsidRPr="00DE7904">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9719C3" w14:textId="77777777" w:rsidR="00C04D6C" w:rsidRPr="00DE7904" w:rsidRDefault="00C04D6C" w:rsidP="00D819DE">
            <w:pPr>
              <w:spacing w:beforeLines="60" w:before="144" w:afterLines="60" w:after="144"/>
              <w:jc w:val="both"/>
              <w:rPr>
                <w:rStyle w:val="InstructionsTabelleberschrift"/>
                <w:rFonts w:ascii="Times New Roman" w:hAnsi="Times New Roman"/>
                <w:sz w:val="24"/>
              </w:rPr>
            </w:pPr>
            <w:r w:rsidRPr="00DE7904">
              <w:rPr>
                <w:rStyle w:val="InstructionsTabelleberschrift"/>
                <w:rFonts w:ascii="Times New Roman" w:hAnsi="Times New Roman"/>
                <w:sz w:val="24"/>
              </w:rPr>
              <w:t>Chiusura anticipate delle posizioni</w:t>
            </w:r>
          </w:p>
          <w:p w14:paraId="52C42C79" w14:textId="77777777" w:rsidR="00C04D6C" w:rsidRPr="00DE7904" w:rsidRDefault="00C04D6C" w:rsidP="00D819DE">
            <w:pPr>
              <w:spacing w:beforeLines="60" w:before="144" w:afterLines="60" w:after="144"/>
              <w:jc w:val="both"/>
              <w:rPr>
                <w:rFonts w:ascii="Times New Roman" w:hAnsi="Times New Roman" w:cs="Times New Roman"/>
                <w:sz w:val="24"/>
              </w:rPr>
            </w:pPr>
            <w:r w:rsidRPr="00DE7904">
              <w:rPr>
                <w:rFonts w:ascii="Times New Roman" w:hAnsi="Times New Roman"/>
                <w:sz w:val="24"/>
              </w:rPr>
              <w:t>Articolo 105, paragrafo 10, del CRR.</w:t>
            </w:r>
          </w:p>
          <w:p w14:paraId="4AEB079B" w14:textId="7CA55261" w:rsidR="00C04D6C" w:rsidRPr="00DE7904" w:rsidRDefault="00C04D6C" w:rsidP="00D819DE">
            <w:pPr>
              <w:pStyle w:val="Default"/>
              <w:spacing w:before="60" w:after="120"/>
              <w:jc w:val="both"/>
              <w:rPr>
                <w:rFonts w:ascii="Times New Roman" w:hAnsi="Times New Roman" w:cs="Times New Roman"/>
              </w:rPr>
            </w:pPr>
            <w:r w:rsidRPr="00DE7904">
              <w:rPr>
                <w:rFonts w:ascii="Times New Roman" w:hAnsi="Times New Roman"/>
              </w:rPr>
              <w:t>Gli AVA per le chiusure anticipate delle posizioni sono calcolati conformemente all</w:t>
            </w:r>
            <w:r w:rsidR="00B96C44" w:rsidRPr="00DE7904">
              <w:rPr>
                <w:rFonts w:ascii="Times New Roman" w:hAnsi="Times New Roman"/>
              </w:rPr>
              <w:t>'</w:t>
            </w:r>
            <w:r w:rsidRPr="00DE7904">
              <w:rPr>
                <w:rFonts w:ascii="Times New Roman" w:hAnsi="Times New Roman"/>
              </w:rPr>
              <w:t>articolo</w:t>
            </w:r>
            <w:r w:rsidR="002F74D1" w:rsidRPr="00DE7904">
              <w:rPr>
                <w:rFonts w:ascii="Times New Roman" w:hAnsi="Times New Roman"/>
              </w:rPr>
              <w:t> </w:t>
            </w:r>
            <w:r w:rsidRPr="00DE7904">
              <w:rPr>
                <w:rFonts w:ascii="Times New Roman" w:hAnsi="Times New Roman"/>
              </w:rPr>
              <w:t>16 del regolamento delegato (UE) 2016/101 della Commissione.</w:t>
            </w:r>
          </w:p>
        </w:tc>
      </w:tr>
      <w:tr w:rsidR="00C04D6C" w:rsidRPr="00DE7904" w14:paraId="25315BC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27FFEF9" w14:textId="77777777" w:rsidR="00C04D6C" w:rsidRPr="00DE7904" w:rsidRDefault="00C04D6C" w:rsidP="00D819DE">
            <w:pPr>
              <w:autoSpaceDE w:val="0"/>
              <w:autoSpaceDN w:val="0"/>
              <w:adjustRightInd w:val="0"/>
              <w:jc w:val="both"/>
              <w:rPr>
                <w:rFonts w:ascii="Times New Roman" w:hAnsi="Times New Roman" w:cs="Times New Roman"/>
                <w:sz w:val="24"/>
              </w:rPr>
            </w:pPr>
            <w:r w:rsidRPr="00DE7904">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658D5E" w14:textId="77777777" w:rsidR="00C04D6C" w:rsidRPr="00DE7904" w:rsidRDefault="00C04D6C" w:rsidP="00D819DE">
            <w:pPr>
              <w:spacing w:beforeLines="60" w:before="144" w:afterLines="60" w:after="144"/>
              <w:jc w:val="both"/>
              <w:rPr>
                <w:rStyle w:val="InstructionsTabelleberschrift"/>
                <w:rFonts w:ascii="Times New Roman" w:hAnsi="Times New Roman"/>
                <w:sz w:val="24"/>
              </w:rPr>
            </w:pPr>
            <w:r w:rsidRPr="00DE7904">
              <w:rPr>
                <w:rStyle w:val="InstructionsTabelleberschrift"/>
                <w:rFonts w:ascii="Times New Roman" w:hAnsi="Times New Roman"/>
                <w:sz w:val="24"/>
              </w:rPr>
              <w:t>Rischio del modello</w:t>
            </w:r>
          </w:p>
          <w:p w14:paraId="49ED331A" w14:textId="77777777" w:rsidR="00C04D6C" w:rsidRPr="00DE7904" w:rsidRDefault="00C04D6C" w:rsidP="00D819DE">
            <w:pPr>
              <w:spacing w:beforeLines="60" w:before="144" w:afterLines="60" w:after="144"/>
              <w:jc w:val="both"/>
              <w:rPr>
                <w:rFonts w:ascii="Times New Roman" w:hAnsi="Times New Roman" w:cs="Times New Roman"/>
                <w:sz w:val="24"/>
              </w:rPr>
            </w:pPr>
            <w:r w:rsidRPr="00DE7904">
              <w:rPr>
                <w:rFonts w:ascii="Times New Roman" w:hAnsi="Times New Roman"/>
                <w:sz w:val="24"/>
              </w:rPr>
              <w:t>Articolo 105, paragrafo 10, del CRR.</w:t>
            </w:r>
          </w:p>
          <w:p w14:paraId="2BCE5220" w14:textId="3B32F9C8" w:rsidR="00C04D6C" w:rsidRPr="00DE7904" w:rsidRDefault="00C04D6C" w:rsidP="00D819DE">
            <w:pPr>
              <w:pStyle w:val="Default"/>
              <w:spacing w:before="60" w:after="120"/>
              <w:jc w:val="both"/>
              <w:rPr>
                <w:rFonts w:ascii="Times New Roman" w:hAnsi="Times New Roman" w:cs="Times New Roman"/>
              </w:rPr>
            </w:pPr>
            <w:r w:rsidRPr="00DE7904">
              <w:rPr>
                <w:rFonts w:ascii="Times New Roman" w:hAnsi="Times New Roman"/>
              </w:rPr>
              <w:t>Gli AVA per i rischi del modello sono calcolati conformemente all</w:t>
            </w:r>
            <w:r w:rsidR="00B96C44" w:rsidRPr="00DE7904">
              <w:rPr>
                <w:rFonts w:ascii="Times New Roman" w:hAnsi="Times New Roman"/>
              </w:rPr>
              <w:t>'</w:t>
            </w:r>
            <w:r w:rsidRPr="00DE7904">
              <w:rPr>
                <w:rFonts w:ascii="Times New Roman" w:hAnsi="Times New Roman"/>
              </w:rPr>
              <w:t xml:space="preserve">articolo 11 del regolamento delegato (UE) 2016/101 della Commissione. </w:t>
            </w:r>
          </w:p>
        </w:tc>
      </w:tr>
      <w:tr w:rsidR="00C04D6C" w:rsidRPr="00DE7904" w14:paraId="0F5BA19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99FBEA" w14:textId="77777777" w:rsidR="00C04D6C" w:rsidRPr="00DE7904" w:rsidRDefault="00C04D6C" w:rsidP="00D819DE">
            <w:pPr>
              <w:autoSpaceDE w:val="0"/>
              <w:autoSpaceDN w:val="0"/>
              <w:adjustRightInd w:val="0"/>
              <w:jc w:val="both"/>
              <w:rPr>
                <w:rFonts w:ascii="Times New Roman" w:hAnsi="Times New Roman" w:cs="Times New Roman"/>
                <w:sz w:val="24"/>
              </w:rPr>
            </w:pPr>
            <w:r w:rsidRPr="00DE7904">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622310" w14:textId="77777777" w:rsidR="00C04D6C" w:rsidRPr="00DE7904" w:rsidRDefault="00C04D6C" w:rsidP="00D819DE">
            <w:pPr>
              <w:spacing w:beforeLines="60" w:before="144" w:afterLines="60" w:after="144"/>
              <w:jc w:val="both"/>
              <w:rPr>
                <w:rStyle w:val="InstructionsTabelleberschrift"/>
                <w:rFonts w:ascii="Times New Roman" w:hAnsi="Times New Roman"/>
                <w:sz w:val="24"/>
              </w:rPr>
            </w:pPr>
            <w:r w:rsidRPr="00DE7904">
              <w:rPr>
                <w:rStyle w:val="InstructionsTabelleberschrift"/>
                <w:rFonts w:ascii="Times New Roman" w:hAnsi="Times New Roman"/>
                <w:sz w:val="24"/>
              </w:rPr>
              <w:t>Rischio operativo</w:t>
            </w:r>
          </w:p>
          <w:p w14:paraId="3EE7FBBF" w14:textId="77777777" w:rsidR="00C04D6C" w:rsidRPr="00DE7904" w:rsidRDefault="00C04D6C" w:rsidP="00D819DE">
            <w:pPr>
              <w:spacing w:beforeLines="60" w:before="144" w:afterLines="60" w:after="144"/>
              <w:jc w:val="both"/>
              <w:rPr>
                <w:rFonts w:ascii="Times New Roman" w:hAnsi="Times New Roman" w:cs="Times New Roman"/>
                <w:sz w:val="24"/>
              </w:rPr>
            </w:pPr>
            <w:r w:rsidRPr="00DE7904">
              <w:rPr>
                <w:rFonts w:ascii="Times New Roman" w:hAnsi="Times New Roman"/>
                <w:sz w:val="24"/>
              </w:rPr>
              <w:t>Articolo 105, paragrafo 10, del CRR.</w:t>
            </w:r>
          </w:p>
          <w:p w14:paraId="64B1AD8B" w14:textId="3980BBA1" w:rsidR="00C04D6C" w:rsidRPr="00DE7904" w:rsidRDefault="00C04D6C" w:rsidP="00D819DE">
            <w:pPr>
              <w:pStyle w:val="Default"/>
              <w:spacing w:before="60" w:after="120"/>
              <w:jc w:val="both"/>
              <w:rPr>
                <w:rFonts w:ascii="Times New Roman" w:hAnsi="Times New Roman" w:cs="Times New Roman"/>
                <w:i/>
              </w:rPr>
            </w:pPr>
            <w:r w:rsidRPr="00DE7904">
              <w:rPr>
                <w:rFonts w:ascii="Times New Roman" w:hAnsi="Times New Roman"/>
              </w:rPr>
              <w:t>Gli AVA per il rischio operativo sono calcolati conformemente all</w:t>
            </w:r>
            <w:r w:rsidR="00B96C44" w:rsidRPr="00DE7904">
              <w:rPr>
                <w:rFonts w:ascii="Times New Roman" w:hAnsi="Times New Roman"/>
              </w:rPr>
              <w:t>'</w:t>
            </w:r>
            <w:r w:rsidRPr="00DE7904">
              <w:rPr>
                <w:rFonts w:ascii="Times New Roman" w:hAnsi="Times New Roman"/>
              </w:rPr>
              <w:t>articolo 17 del regolamento delegato (UE) 2016/101 della Commissione.</w:t>
            </w:r>
          </w:p>
        </w:tc>
      </w:tr>
      <w:tr w:rsidR="00C04D6C" w:rsidRPr="00DE7904" w14:paraId="3AE9B7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51D2A6" w14:textId="77777777" w:rsidR="00C04D6C" w:rsidRPr="00DE7904" w:rsidRDefault="00C04D6C" w:rsidP="00D819DE">
            <w:pPr>
              <w:autoSpaceDE w:val="0"/>
              <w:autoSpaceDN w:val="0"/>
              <w:adjustRightInd w:val="0"/>
              <w:jc w:val="both"/>
              <w:rPr>
                <w:rFonts w:ascii="Times New Roman" w:hAnsi="Times New Roman" w:cs="Times New Roman"/>
                <w:sz w:val="24"/>
              </w:rPr>
            </w:pPr>
            <w:r w:rsidRPr="00DE7904">
              <w:rPr>
                <w:rFonts w:ascii="Times New Roman" w:hAnsi="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B1321" w14:textId="77777777" w:rsidR="00C04D6C" w:rsidRPr="00DE7904" w:rsidRDefault="00C04D6C" w:rsidP="00D819DE">
            <w:pPr>
              <w:pStyle w:val="Default"/>
              <w:spacing w:after="120"/>
              <w:jc w:val="both"/>
              <w:rPr>
                <w:rFonts w:ascii="Times New Roman" w:hAnsi="Times New Roman" w:cs="Times New Roman"/>
              </w:rPr>
            </w:pPr>
            <w:r w:rsidRPr="00DE7904">
              <w:rPr>
                <w:rStyle w:val="InstructionsTabelleberschrift"/>
                <w:rFonts w:ascii="Times New Roman" w:hAnsi="Times New Roman"/>
              </w:rPr>
              <w:t>Non applicabile</w:t>
            </w:r>
          </w:p>
        </w:tc>
      </w:tr>
      <w:tr w:rsidR="00C04D6C" w:rsidRPr="00DE7904" w14:paraId="27C5D5B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27D90F" w14:textId="77777777" w:rsidR="00C04D6C" w:rsidRPr="00DE7904" w:rsidRDefault="00C04D6C" w:rsidP="00D819DE">
            <w:pPr>
              <w:autoSpaceDE w:val="0"/>
              <w:autoSpaceDN w:val="0"/>
              <w:adjustRightInd w:val="0"/>
              <w:jc w:val="both"/>
              <w:rPr>
                <w:rFonts w:ascii="Times New Roman" w:hAnsi="Times New Roman" w:cs="Times New Roman"/>
                <w:sz w:val="24"/>
              </w:rPr>
            </w:pPr>
            <w:r w:rsidRPr="00DE7904">
              <w:rPr>
                <w:rFonts w:ascii="Times New Roman" w:hAnsi="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BEE0E1" w14:textId="77777777" w:rsidR="00C04D6C" w:rsidRPr="00DE7904" w:rsidRDefault="00C04D6C" w:rsidP="00D819DE">
            <w:pPr>
              <w:pStyle w:val="Default"/>
              <w:spacing w:after="120"/>
              <w:jc w:val="both"/>
              <w:rPr>
                <w:rFonts w:ascii="Times New Roman" w:hAnsi="Times New Roman" w:cs="Times New Roman"/>
              </w:rPr>
            </w:pPr>
            <w:r w:rsidRPr="00DE7904">
              <w:rPr>
                <w:rStyle w:val="InstructionsTabelleberschrift"/>
                <w:rFonts w:ascii="Times New Roman" w:hAnsi="Times New Roman"/>
              </w:rPr>
              <w:t>Non applicabile</w:t>
            </w:r>
          </w:p>
        </w:tc>
      </w:tr>
      <w:tr w:rsidR="00C04D6C" w:rsidRPr="00DE7904" w14:paraId="0D4A7BB8"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A43C8B" w14:textId="77777777" w:rsidR="00C04D6C" w:rsidRPr="00DE7904" w:rsidRDefault="00C04D6C" w:rsidP="002F74D1">
            <w:pPr>
              <w:keepNext/>
              <w:autoSpaceDE w:val="0"/>
              <w:autoSpaceDN w:val="0"/>
              <w:adjustRightInd w:val="0"/>
              <w:jc w:val="both"/>
              <w:rPr>
                <w:rFonts w:ascii="Times New Roman" w:hAnsi="Times New Roman" w:cs="Times New Roman"/>
                <w:sz w:val="24"/>
              </w:rPr>
            </w:pPr>
            <w:r w:rsidRPr="00DE7904">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6B39EC1" w14:textId="77777777" w:rsidR="00C04D6C" w:rsidRPr="00DE7904" w:rsidRDefault="00C04D6C" w:rsidP="002F74D1">
            <w:pPr>
              <w:keepNext/>
              <w:spacing w:beforeLines="60" w:before="144" w:afterLines="60" w:after="144"/>
              <w:jc w:val="both"/>
              <w:rPr>
                <w:rStyle w:val="InstructionsTabelleberschrift"/>
                <w:rFonts w:ascii="Times New Roman" w:hAnsi="Times New Roman"/>
                <w:sz w:val="24"/>
              </w:rPr>
            </w:pPr>
            <w:r w:rsidRPr="00DE7904">
              <w:rPr>
                <w:rStyle w:val="InstructionsTabelleberschrift"/>
                <w:rFonts w:ascii="Times New Roman" w:hAnsi="Times New Roman"/>
                <w:sz w:val="24"/>
              </w:rPr>
              <w:t>Costi amministrativi futuri</w:t>
            </w:r>
          </w:p>
          <w:p w14:paraId="03DE0824" w14:textId="77777777" w:rsidR="00C04D6C" w:rsidRPr="00DE7904" w:rsidRDefault="00C04D6C" w:rsidP="002F74D1">
            <w:pPr>
              <w:keepNext/>
              <w:spacing w:beforeLines="60" w:before="144" w:afterLines="60" w:after="144"/>
              <w:jc w:val="both"/>
              <w:rPr>
                <w:rFonts w:ascii="Times New Roman" w:hAnsi="Times New Roman" w:cs="Times New Roman"/>
                <w:sz w:val="24"/>
              </w:rPr>
            </w:pPr>
            <w:r w:rsidRPr="00DE7904">
              <w:rPr>
                <w:rFonts w:ascii="Times New Roman" w:hAnsi="Times New Roman"/>
                <w:sz w:val="24"/>
              </w:rPr>
              <w:t>Articolo 105, paragrafo 10, del CRR.</w:t>
            </w:r>
          </w:p>
          <w:p w14:paraId="77EAFF21" w14:textId="261A177B" w:rsidR="00C04D6C" w:rsidRPr="00DE7904" w:rsidRDefault="00C04D6C" w:rsidP="002F74D1">
            <w:pPr>
              <w:pStyle w:val="Default"/>
              <w:keepNext/>
              <w:spacing w:after="120"/>
              <w:jc w:val="both"/>
              <w:rPr>
                <w:rFonts w:ascii="Times New Roman" w:hAnsi="Times New Roman" w:cs="Times New Roman"/>
              </w:rPr>
            </w:pPr>
            <w:r w:rsidRPr="00DE7904">
              <w:rPr>
                <w:rFonts w:ascii="Times New Roman" w:hAnsi="Times New Roman"/>
              </w:rPr>
              <w:t>Gli AVA per i costi amministrativi futuri sono calcolati conformemente all</w:t>
            </w:r>
            <w:r w:rsidR="00B96C44" w:rsidRPr="00DE7904">
              <w:rPr>
                <w:rFonts w:ascii="Times New Roman" w:hAnsi="Times New Roman"/>
              </w:rPr>
              <w:t>'</w:t>
            </w:r>
            <w:r w:rsidRPr="00DE7904">
              <w:rPr>
                <w:rFonts w:ascii="Times New Roman" w:hAnsi="Times New Roman"/>
              </w:rPr>
              <w:t>articolo 15 del regolamento delegato (UE) 2016/101 della Commissione.</w:t>
            </w:r>
          </w:p>
        </w:tc>
      </w:tr>
      <w:tr w:rsidR="00C04D6C" w:rsidRPr="00DE7904" w14:paraId="2D7F52A9"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78F684" w14:textId="77777777" w:rsidR="00C04D6C" w:rsidRPr="00DE7904" w:rsidRDefault="00C04D6C" w:rsidP="00D819DE">
            <w:pPr>
              <w:autoSpaceDE w:val="0"/>
              <w:autoSpaceDN w:val="0"/>
              <w:adjustRightInd w:val="0"/>
              <w:jc w:val="both"/>
              <w:rPr>
                <w:rFonts w:ascii="Times New Roman" w:hAnsi="Times New Roman" w:cs="Times New Roman"/>
                <w:sz w:val="24"/>
              </w:rPr>
            </w:pPr>
            <w:r w:rsidRPr="00DE7904">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961A65" w14:textId="77777777" w:rsidR="00C04D6C" w:rsidRPr="00DE7904" w:rsidRDefault="00C04D6C" w:rsidP="00D819DE">
            <w:pPr>
              <w:pStyle w:val="Default"/>
              <w:spacing w:after="120"/>
              <w:jc w:val="both"/>
              <w:rPr>
                <w:rFonts w:ascii="Times New Roman" w:hAnsi="Times New Roman" w:cs="Times New Roman"/>
              </w:rPr>
            </w:pPr>
            <w:r w:rsidRPr="00DE7904">
              <w:rPr>
                <w:rFonts w:ascii="Times New Roman" w:hAnsi="Times New Roman"/>
              </w:rPr>
              <w:t>Non applicabile</w:t>
            </w:r>
          </w:p>
        </w:tc>
      </w:tr>
      <w:tr w:rsidR="00C04D6C" w:rsidRPr="00DE7904" w14:paraId="1996F9F1"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92D931" w14:textId="77777777" w:rsidR="00C04D6C" w:rsidRPr="00DE7904" w:rsidRDefault="00C04D6C" w:rsidP="00D819DE">
            <w:pPr>
              <w:autoSpaceDE w:val="0"/>
              <w:autoSpaceDN w:val="0"/>
              <w:adjustRightInd w:val="0"/>
              <w:jc w:val="both"/>
              <w:rPr>
                <w:rFonts w:ascii="Times New Roman" w:hAnsi="Times New Roman" w:cs="Times New Roman"/>
                <w:sz w:val="24"/>
              </w:rPr>
            </w:pPr>
            <w:r w:rsidRPr="00DE7904">
              <w:rPr>
                <w:rFonts w:ascii="Times New Roman" w:hAnsi="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4A2DE55" w14:textId="77777777" w:rsidR="00C04D6C" w:rsidRPr="00DE7904" w:rsidRDefault="00C04D6C" w:rsidP="00D819DE">
            <w:pPr>
              <w:spacing w:beforeLines="60" w:before="144" w:afterLines="60" w:after="144"/>
              <w:jc w:val="both"/>
              <w:rPr>
                <w:rStyle w:val="InstructionsTabelleberschrift"/>
                <w:rFonts w:ascii="Times New Roman" w:hAnsi="Times New Roman"/>
                <w:sz w:val="24"/>
              </w:rPr>
            </w:pPr>
            <w:r w:rsidRPr="00DE7904">
              <w:rPr>
                <w:rStyle w:val="InstructionsTabelleberschrift"/>
                <w:rFonts w:ascii="Times New Roman" w:hAnsi="Times New Roman"/>
                <w:sz w:val="24"/>
              </w:rPr>
              <w:t>Totale degli aggiustamenti di valutazione supplementari</w:t>
            </w:r>
          </w:p>
          <w:p w14:paraId="773818D3" w14:textId="0C402CFB" w:rsidR="00C04D6C" w:rsidRPr="00DE7904" w:rsidRDefault="00C04D6C" w:rsidP="00D819DE">
            <w:pPr>
              <w:pStyle w:val="Default"/>
              <w:spacing w:after="120"/>
              <w:jc w:val="both"/>
              <w:rPr>
                <w:rFonts w:ascii="Times New Roman" w:hAnsi="Times New Roman" w:cs="Times New Roman"/>
                <w:color w:val="auto"/>
              </w:rPr>
            </w:pPr>
            <w:r w:rsidRPr="00DE7904">
              <w:rPr>
                <w:rFonts w:ascii="Times New Roman" w:hAnsi="Times New Roman"/>
                <w:color w:val="auto"/>
              </w:rPr>
              <w:t>L</w:t>
            </w:r>
            <w:r w:rsidR="00B96C44" w:rsidRPr="00DE7904">
              <w:rPr>
                <w:rFonts w:ascii="Times New Roman" w:hAnsi="Times New Roman"/>
                <w:color w:val="auto"/>
              </w:rPr>
              <w:t>'</w:t>
            </w:r>
            <w:r w:rsidRPr="00DE7904">
              <w:rPr>
                <w:rFonts w:ascii="Times New Roman" w:hAnsi="Times New Roman"/>
                <w:color w:val="auto"/>
              </w:rPr>
              <w:t xml:space="preserve">AVA totale da dedurre dai fondi propri a norma degli articoli 34 e 105 del CRR </w:t>
            </w:r>
            <w:proofErr w:type="gramStart"/>
            <w:r w:rsidRPr="00DE7904">
              <w:rPr>
                <w:rFonts w:ascii="Times New Roman" w:hAnsi="Times New Roman"/>
                <w:color w:val="auto"/>
              </w:rPr>
              <w:t>è indicato</w:t>
            </w:r>
            <w:proofErr w:type="gramEnd"/>
            <w:r w:rsidRPr="00DE7904">
              <w:rPr>
                <w:rFonts w:ascii="Times New Roman" w:hAnsi="Times New Roman"/>
                <w:color w:val="auto"/>
              </w:rPr>
              <w:t xml:space="preserve"> nella riga 12, colonna f)</w:t>
            </w:r>
            <w:r w:rsidRPr="00DE7904">
              <w:rPr>
                <w:rFonts w:ascii="Times New Roman" w:hAnsi="Times New Roman"/>
              </w:rPr>
              <w:t>, di questo modello</w:t>
            </w:r>
            <w:r w:rsidRPr="00DE7904">
              <w:rPr>
                <w:rFonts w:ascii="Times New Roman" w:hAnsi="Times New Roman"/>
                <w:color w:val="auto"/>
              </w:rPr>
              <w:t>. Tale importo è coerente con l</w:t>
            </w:r>
            <w:r w:rsidR="00B96C44" w:rsidRPr="00DE7904">
              <w:rPr>
                <w:rFonts w:ascii="Times New Roman" w:hAnsi="Times New Roman"/>
                <w:color w:val="auto"/>
              </w:rPr>
              <w:t>'</w:t>
            </w:r>
            <w:r w:rsidRPr="00DE7904">
              <w:rPr>
                <w:rFonts w:ascii="Times New Roman" w:hAnsi="Times New Roman"/>
                <w:color w:val="auto"/>
              </w:rPr>
              <w:t>importo della riga 7 del modello EU CC1 e con l</w:t>
            </w:r>
            <w:r w:rsidR="00B96C44" w:rsidRPr="00DE7904">
              <w:rPr>
                <w:rFonts w:ascii="Times New Roman" w:hAnsi="Times New Roman"/>
                <w:color w:val="auto"/>
              </w:rPr>
              <w:t>'</w:t>
            </w:r>
            <w:r w:rsidRPr="00DE7904">
              <w:rPr>
                <w:rFonts w:ascii="Times New Roman" w:hAnsi="Times New Roman"/>
                <w:color w:val="auto"/>
              </w:rPr>
              <w:t xml:space="preserve">importo della riga 5, colonna a), del modello EU LI2. </w:t>
            </w:r>
          </w:p>
          <w:p w14:paraId="3E1D4E77" w14:textId="11570123" w:rsidR="00C04D6C" w:rsidRPr="00DE7904" w:rsidRDefault="00C04D6C" w:rsidP="00D819DE">
            <w:pPr>
              <w:pStyle w:val="Default"/>
              <w:spacing w:after="120"/>
              <w:jc w:val="both"/>
              <w:rPr>
                <w:rFonts w:ascii="Times New Roman" w:hAnsi="Times New Roman" w:cs="Times New Roman"/>
                <w:color w:val="auto"/>
              </w:rPr>
            </w:pPr>
            <w:r w:rsidRPr="00DE7904">
              <w:rPr>
                <w:rFonts w:ascii="Times New Roman" w:hAnsi="Times New Roman"/>
                <w:color w:val="auto"/>
              </w:rPr>
              <w:t>Per i portafogli soggetti al metodo di base di cui al capo III del regolamento delegato (UE) 2016/101 sulla valutazione prudente, l</w:t>
            </w:r>
            <w:r w:rsidR="00B96C44" w:rsidRPr="00DE7904">
              <w:rPr>
                <w:rFonts w:ascii="Times New Roman" w:hAnsi="Times New Roman"/>
                <w:color w:val="auto"/>
              </w:rPr>
              <w:t>'</w:t>
            </w:r>
            <w:r w:rsidRPr="00DE7904">
              <w:rPr>
                <w:rFonts w:ascii="Times New Roman" w:hAnsi="Times New Roman"/>
                <w:color w:val="auto"/>
              </w:rPr>
              <w:t>AVA totale è pari alla somma degli importi delle righe da 1 a 10 di questo modello e degli importi calcolati conformemente all</w:t>
            </w:r>
            <w:r w:rsidR="00B96C44" w:rsidRPr="00DE7904">
              <w:rPr>
                <w:rFonts w:ascii="Times New Roman" w:hAnsi="Times New Roman"/>
                <w:color w:val="auto"/>
              </w:rPr>
              <w:t>'</w:t>
            </w:r>
            <w:r w:rsidRPr="00DE7904">
              <w:rPr>
                <w:rFonts w:ascii="Times New Roman" w:hAnsi="Times New Roman"/>
                <w:color w:val="auto"/>
              </w:rPr>
              <w:t>articolo 7, paragrafo 2, lettera b), punti i), ii) e iii), del regolamento delegato (UE) 2016/101 per i portafogli soggetti all</w:t>
            </w:r>
            <w:r w:rsidR="00B96C44" w:rsidRPr="00DE7904">
              <w:rPr>
                <w:rFonts w:ascii="Times New Roman" w:hAnsi="Times New Roman"/>
                <w:color w:val="auto"/>
              </w:rPr>
              <w:t>'</w:t>
            </w:r>
            <w:r w:rsidRPr="00DE7904">
              <w:rPr>
                <w:rFonts w:ascii="Times New Roman" w:hAnsi="Times New Roman"/>
                <w:color w:val="auto"/>
              </w:rPr>
              <w:t xml:space="preserve">approccio alternativo, se del caso. </w:t>
            </w:r>
          </w:p>
          <w:p w14:paraId="0557EFCB" w14:textId="7C5D7555" w:rsidR="00C04D6C" w:rsidRPr="00DE7904" w:rsidRDefault="00C04D6C" w:rsidP="00D819DE">
            <w:pPr>
              <w:pStyle w:val="Default"/>
              <w:spacing w:after="120"/>
              <w:jc w:val="both"/>
              <w:rPr>
                <w:rFonts w:ascii="Times New Roman" w:hAnsi="Times New Roman" w:cs="Times New Roman"/>
              </w:rPr>
            </w:pPr>
            <w:r w:rsidRPr="00DE7904">
              <w:rPr>
                <w:rFonts w:ascii="Times New Roman" w:hAnsi="Times New Roman"/>
                <w:color w:val="auto"/>
              </w:rPr>
              <w:t>Per i portafogli soggetti al metodo semplificato di cui al capo II del regolamento delegato (UE) 2016/101 sulla valutazione prudente, l</w:t>
            </w:r>
            <w:r w:rsidR="00B96C44" w:rsidRPr="00DE7904">
              <w:rPr>
                <w:rFonts w:ascii="Times New Roman" w:hAnsi="Times New Roman"/>
                <w:color w:val="auto"/>
              </w:rPr>
              <w:t>'</w:t>
            </w:r>
            <w:r w:rsidRPr="00DE7904">
              <w:rPr>
                <w:rFonts w:ascii="Times New Roman" w:hAnsi="Times New Roman"/>
                <w:color w:val="auto"/>
              </w:rPr>
              <w:t>AVA totale nella colonna f) di questo modello è l</w:t>
            </w:r>
            <w:r w:rsidR="00B96C44" w:rsidRPr="00DE7904">
              <w:rPr>
                <w:rFonts w:ascii="Times New Roman" w:hAnsi="Times New Roman"/>
                <w:color w:val="auto"/>
              </w:rPr>
              <w:t>'</w:t>
            </w:r>
            <w:r w:rsidRPr="00DE7904">
              <w:rPr>
                <w:rFonts w:ascii="Times New Roman" w:hAnsi="Times New Roman"/>
                <w:color w:val="auto"/>
              </w:rPr>
              <w:t>importo calcolato conformemente all</w:t>
            </w:r>
            <w:r w:rsidR="00B96C44" w:rsidRPr="00DE7904">
              <w:rPr>
                <w:rFonts w:ascii="Times New Roman" w:hAnsi="Times New Roman"/>
                <w:color w:val="auto"/>
              </w:rPr>
              <w:t>'</w:t>
            </w:r>
            <w:r w:rsidRPr="00DE7904">
              <w:rPr>
                <w:rFonts w:ascii="Times New Roman" w:hAnsi="Times New Roman"/>
                <w:color w:val="auto"/>
              </w:rPr>
              <w:t>articolo 5 del suddetto capo.</w:t>
            </w:r>
          </w:p>
        </w:tc>
      </w:tr>
      <w:tr w:rsidR="00C04D6C" w:rsidRPr="00DE7904" w14:paraId="680BC399" w14:textId="77777777" w:rsidTr="00D819D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FF590F" w14:textId="77777777" w:rsidR="00C04D6C" w:rsidRPr="00DE7904" w:rsidRDefault="00C04D6C" w:rsidP="00D819DE">
            <w:pPr>
              <w:pStyle w:val="Applicationdirecte"/>
              <w:spacing w:before="0"/>
              <w:rPr>
                <w:b/>
              </w:rPr>
            </w:pPr>
            <w:r w:rsidRPr="00DE7904">
              <w:rPr>
                <w:b/>
              </w:rPr>
              <w:lastRenderedPageBreak/>
              <w:t>Lettera della colonna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086B5F" w14:textId="77777777" w:rsidR="00C04D6C" w:rsidRPr="00DE7904" w:rsidRDefault="00C04D6C" w:rsidP="00D819DE">
            <w:pPr>
              <w:pStyle w:val="TableMainHeading"/>
              <w:spacing w:before="60"/>
              <w:jc w:val="both"/>
              <w:rPr>
                <w:rFonts w:ascii="Times New Roman" w:hAnsi="Times New Roman"/>
                <w:b/>
                <w:sz w:val="24"/>
                <w:szCs w:val="24"/>
              </w:rPr>
            </w:pPr>
            <w:r w:rsidRPr="00DE7904">
              <w:rPr>
                <w:rFonts w:ascii="Times New Roman" w:hAnsi="Times New Roman"/>
                <w:b/>
                <w:sz w:val="24"/>
              </w:rPr>
              <w:t>Spiegazione</w:t>
            </w:r>
          </w:p>
        </w:tc>
      </w:tr>
      <w:tr w:rsidR="00C04D6C" w:rsidRPr="00DE7904" w14:paraId="4C8AA77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65BA53E" w14:textId="77777777" w:rsidR="00C04D6C" w:rsidRPr="00DE7904" w:rsidRDefault="00C04D6C" w:rsidP="00D819DE">
            <w:pPr>
              <w:autoSpaceDE w:val="0"/>
              <w:autoSpaceDN w:val="0"/>
              <w:adjustRightInd w:val="0"/>
              <w:jc w:val="both"/>
              <w:rPr>
                <w:rFonts w:ascii="Times New Roman" w:hAnsi="Times New Roman" w:cs="Times New Roman"/>
                <w:sz w:val="24"/>
              </w:rPr>
            </w:pPr>
            <w:r w:rsidRPr="00DE7904">
              <w:rPr>
                <w:rFonts w:ascii="Times New Roman" w:hAnsi="Times New Roman"/>
                <w:sz w:val="24"/>
              </w:rPr>
              <w:t>Da a a 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DEFB24" w14:textId="77777777" w:rsidR="00C04D6C" w:rsidRPr="00DE7904" w:rsidRDefault="00C04D6C" w:rsidP="00D819DE">
            <w:pPr>
              <w:autoSpaceDE w:val="0"/>
              <w:autoSpaceDN w:val="0"/>
              <w:adjustRightInd w:val="0"/>
              <w:spacing w:before="60" w:after="120"/>
              <w:jc w:val="both"/>
              <w:rPr>
                <w:rFonts w:ascii="Times New Roman" w:hAnsi="Times New Roman" w:cs="Times New Roman"/>
                <w:b/>
                <w:sz w:val="24"/>
                <w:u w:val="single"/>
              </w:rPr>
            </w:pPr>
            <w:r w:rsidRPr="00DE7904">
              <w:rPr>
                <w:rFonts w:ascii="Times New Roman" w:hAnsi="Times New Roman"/>
                <w:b/>
                <w:sz w:val="24"/>
                <w:u w:val="single"/>
              </w:rPr>
              <w:t>Ripartizione per CATEGORIA DI RISCHIO</w:t>
            </w:r>
          </w:p>
          <w:p w14:paraId="19554FB9" w14:textId="537BB543" w:rsidR="00C04D6C" w:rsidRPr="00DE7904" w:rsidRDefault="00C04D6C" w:rsidP="00D819DE">
            <w:pPr>
              <w:spacing w:beforeLines="60" w:before="144" w:afterLines="60" w:after="144"/>
              <w:jc w:val="both"/>
              <w:rPr>
                <w:rFonts w:ascii="Times New Roman" w:hAnsi="Times New Roman" w:cs="Times New Roman"/>
                <w:sz w:val="24"/>
              </w:rPr>
            </w:pPr>
            <w:r w:rsidRPr="00DE7904">
              <w:rPr>
                <w:rFonts w:ascii="Times New Roman" w:hAnsi="Times New Roman"/>
                <w:sz w:val="24"/>
              </w:rPr>
              <w:t>Gli enti attribuiscono le loro attività e passività valutate al valore equo incluse nel calcolo della soglia a norma dell</w:t>
            </w:r>
            <w:r w:rsidR="00B96C44" w:rsidRPr="00DE7904">
              <w:rPr>
                <w:rFonts w:ascii="Times New Roman" w:hAnsi="Times New Roman"/>
                <w:sz w:val="24"/>
              </w:rPr>
              <w:t>'</w:t>
            </w:r>
            <w:r w:rsidRPr="00DE7904">
              <w:rPr>
                <w:rFonts w:ascii="Times New Roman" w:hAnsi="Times New Roman"/>
                <w:sz w:val="24"/>
              </w:rPr>
              <w:t>articolo 4, paragrafo 1, del regolamento delegato (UE) 2016/101 (all</w:t>
            </w:r>
            <w:r w:rsidR="00B96C44" w:rsidRPr="00DE7904">
              <w:rPr>
                <w:rFonts w:ascii="Times New Roman" w:hAnsi="Times New Roman"/>
                <w:sz w:val="24"/>
              </w:rPr>
              <w:t>'</w:t>
            </w:r>
            <w:r w:rsidRPr="00DE7904">
              <w:rPr>
                <w:rFonts w:ascii="Times New Roman" w:hAnsi="Times New Roman"/>
                <w:sz w:val="24"/>
              </w:rPr>
              <w:t>interno e all</w:t>
            </w:r>
            <w:r w:rsidR="00B96C44" w:rsidRPr="00DE7904">
              <w:rPr>
                <w:rFonts w:ascii="Times New Roman" w:hAnsi="Times New Roman"/>
                <w:sz w:val="24"/>
              </w:rPr>
              <w:t>'</w:t>
            </w:r>
            <w:r w:rsidRPr="00DE7904">
              <w:rPr>
                <w:rFonts w:ascii="Times New Roman" w:hAnsi="Times New Roman"/>
                <w:sz w:val="24"/>
              </w:rPr>
              <w:t xml:space="preserve">esterno del portafoglio di negoziazione) in base alle categorie di rischio seguenti: tassi di interesse, cambio, credito, strumenti di capitale e merci. </w:t>
            </w:r>
          </w:p>
          <w:p w14:paraId="78E03628" w14:textId="77777777" w:rsidR="00C04D6C" w:rsidRPr="00DE7904" w:rsidRDefault="00C04D6C" w:rsidP="00D819DE">
            <w:pPr>
              <w:spacing w:beforeLines="60" w:before="144" w:afterLines="60" w:after="144"/>
              <w:jc w:val="both"/>
              <w:rPr>
                <w:rFonts w:ascii="Times New Roman" w:hAnsi="Times New Roman" w:cs="Times New Roman"/>
                <w:b/>
                <w:sz w:val="24"/>
                <w:u w:val="single"/>
              </w:rPr>
            </w:pPr>
            <w:r w:rsidRPr="00DE7904">
              <w:rPr>
                <w:rFonts w:ascii="Times New Roman" w:hAnsi="Times New Roman"/>
                <w:sz w:val="24"/>
              </w:rPr>
              <w:t>La ripartizione in queste colonne non comprende gli AVA calcolati a norma degli articoli 12 e 13 del regolamento delegato (UE) 2016/101 della Commissione che sono indicati nelle colonne EU e1 ed EU e2 di questo modello.</w:t>
            </w:r>
          </w:p>
        </w:tc>
      </w:tr>
      <w:tr w:rsidR="00C04D6C" w:rsidRPr="00DE7904" w14:paraId="5626241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46B79F" w14:textId="77777777" w:rsidR="00C04D6C" w:rsidRPr="00DE7904" w:rsidRDefault="00C04D6C" w:rsidP="00D819DE">
            <w:pPr>
              <w:autoSpaceDE w:val="0"/>
              <w:autoSpaceDN w:val="0"/>
              <w:adjustRightInd w:val="0"/>
              <w:jc w:val="both"/>
              <w:rPr>
                <w:rFonts w:ascii="Times New Roman" w:hAnsi="Times New Roman" w:cs="Times New Roman"/>
                <w:sz w:val="24"/>
              </w:rPr>
            </w:pPr>
          </w:p>
          <w:p w14:paraId="79FF4E96" w14:textId="77777777" w:rsidR="00C04D6C" w:rsidRPr="00DE7904" w:rsidRDefault="00C04D6C" w:rsidP="00D819DE">
            <w:pPr>
              <w:jc w:val="both"/>
              <w:rPr>
                <w:rFonts w:ascii="Times New Roman" w:hAnsi="Times New Roman" w:cs="Times New Roman"/>
                <w:color w:val="000000"/>
                <w:sz w:val="24"/>
              </w:rPr>
            </w:pPr>
            <w:r w:rsidRPr="00DE7904">
              <w:rPr>
                <w:rFonts w:ascii="Times New Roman" w:hAnsi="Times New Roman"/>
                <w:color w:val="000000"/>
                <w:sz w:val="24"/>
              </w:rPr>
              <w:t>EU e1</w:t>
            </w:r>
          </w:p>
          <w:p w14:paraId="5276CC33" w14:textId="77777777" w:rsidR="00C04D6C" w:rsidRPr="00DE7904"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284962C" w14:textId="77777777" w:rsidR="00C04D6C" w:rsidRPr="00DE7904" w:rsidRDefault="00C04D6C" w:rsidP="00D819DE">
            <w:pPr>
              <w:autoSpaceDE w:val="0"/>
              <w:autoSpaceDN w:val="0"/>
              <w:adjustRightInd w:val="0"/>
              <w:spacing w:before="60" w:after="120"/>
              <w:jc w:val="both"/>
              <w:rPr>
                <w:rFonts w:ascii="Times New Roman" w:hAnsi="Times New Roman" w:cs="Times New Roman"/>
                <w:b/>
                <w:sz w:val="24"/>
                <w:u w:val="single"/>
              </w:rPr>
            </w:pPr>
            <w:r w:rsidRPr="00DE7904">
              <w:rPr>
                <w:rFonts w:ascii="Times New Roman" w:hAnsi="Times New Roman"/>
                <w:b/>
                <w:sz w:val="24"/>
                <w:u w:val="single"/>
              </w:rPr>
              <w:t>AVA a livello di categoria - Incertezza della valutazione: AVA per differenziali creditizi non realizzati</w:t>
            </w:r>
          </w:p>
          <w:p w14:paraId="2381E111" w14:textId="77777777" w:rsidR="00C04D6C" w:rsidRPr="00DE7904" w:rsidRDefault="00C04D6C" w:rsidP="00D819DE">
            <w:pPr>
              <w:spacing w:beforeLines="60" w:before="144" w:afterLines="60" w:after="144"/>
              <w:rPr>
                <w:rFonts w:ascii="Times New Roman" w:hAnsi="Times New Roman" w:cs="Times New Roman"/>
                <w:sz w:val="24"/>
              </w:rPr>
            </w:pPr>
            <w:r w:rsidRPr="00DE7904">
              <w:rPr>
                <w:rFonts w:ascii="Times New Roman" w:hAnsi="Times New Roman"/>
                <w:sz w:val="24"/>
              </w:rPr>
              <w:t xml:space="preserve">Articolo 105, paragrafo 10, del CRR, e articolo 12 del regolamento delegato (UE) 2016/101 della Commissione. </w:t>
            </w:r>
          </w:p>
          <w:p w14:paraId="48A3FCCD" w14:textId="2C1B962C" w:rsidR="00C04D6C" w:rsidRPr="00DE7904" w:rsidRDefault="00C04D6C" w:rsidP="00D819DE">
            <w:pPr>
              <w:spacing w:beforeLines="60" w:before="144" w:afterLines="60" w:after="144"/>
              <w:jc w:val="both"/>
              <w:rPr>
                <w:rFonts w:ascii="Times New Roman" w:hAnsi="Times New Roman" w:cs="Times New Roman"/>
                <w:b/>
                <w:sz w:val="24"/>
                <w:u w:val="single"/>
              </w:rPr>
            </w:pPr>
            <w:r w:rsidRPr="00DE7904">
              <w:rPr>
                <w:rFonts w:ascii="Times New Roman" w:hAnsi="Times New Roman"/>
                <w:sz w:val="24"/>
              </w:rPr>
              <w:t>L</w:t>
            </w:r>
            <w:r w:rsidR="00B96C44" w:rsidRPr="00DE7904">
              <w:rPr>
                <w:rFonts w:ascii="Times New Roman" w:hAnsi="Times New Roman"/>
                <w:sz w:val="24"/>
              </w:rPr>
              <w:t>'</w:t>
            </w:r>
            <w:r w:rsidRPr="00DE7904">
              <w:rPr>
                <w:rFonts w:ascii="Times New Roman" w:hAnsi="Times New Roman"/>
                <w:sz w:val="24"/>
              </w:rPr>
              <w:t>AVA totale calcolato per i differenziali creditizi non realizzati (</w:t>
            </w:r>
            <w:r w:rsidR="00B96C44" w:rsidRPr="00DE7904">
              <w:rPr>
                <w:rFonts w:ascii="Times New Roman" w:hAnsi="Times New Roman"/>
                <w:sz w:val="24"/>
              </w:rPr>
              <w:t>"</w:t>
            </w:r>
            <w:r w:rsidRPr="00DE7904">
              <w:rPr>
                <w:rFonts w:ascii="Times New Roman" w:hAnsi="Times New Roman"/>
                <w:sz w:val="24"/>
              </w:rPr>
              <w:t>AVA su CVA</w:t>
            </w:r>
            <w:r w:rsidR="00B96C44" w:rsidRPr="00DE7904">
              <w:rPr>
                <w:rFonts w:ascii="Times New Roman" w:hAnsi="Times New Roman"/>
                <w:sz w:val="24"/>
              </w:rPr>
              <w:t>"</w:t>
            </w:r>
            <w:r w:rsidRPr="00DE7904">
              <w:rPr>
                <w:rFonts w:ascii="Times New Roman" w:hAnsi="Times New Roman"/>
                <w:sz w:val="24"/>
              </w:rPr>
              <w:t>) e la sua attribuzione agli AVA per l</w:t>
            </w:r>
            <w:r w:rsidR="00B96C44" w:rsidRPr="00DE7904">
              <w:rPr>
                <w:rFonts w:ascii="Times New Roman" w:hAnsi="Times New Roman"/>
                <w:sz w:val="24"/>
              </w:rPr>
              <w:t>'</w:t>
            </w:r>
            <w:r w:rsidRPr="00DE7904">
              <w:rPr>
                <w:rFonts w:ascii="Times New Roman" w:hAnsi="Times New Roman"/>
                <w:sz w:val="24"/>
              </w:rPr>
              <w:t>incertezza delle quotazioni di mercato, agli AVA per i costi di chiusura o agli AVA per i rischi del modello sono determinati a norma dell</w:t>
            </w:r>
            <w:r w:rsidR="00B96C44" w:rsidRPr="00DE7904">
              <w:rPr>
                <w:rFonts w:ascii="Times New Roman" w:hAnsi="Times New Roman"/>
                <w:sz w:val="24"/>
              </w:rPr>
              <w:t>'</w:t>
            </w:r>
            <w:r w:rsidRPr="00DE7904">
              <w:rPr>
                <w:rFonts w:ascii="Times New Roman" w:hAnsi="Times New Roman"/>
                <w:sz w:val="24"/>
              </w:rPr>
              <w:t>articolo</w:t>
            </w:r>
            <w:r w:rsidR="000223B3" w:rsidRPr="00DE7904">
              <w:rPr>
                <w:rFonts w:ascii="Times New Roman" w:hAnsi="Times New Roman"/>
                <w:sz w:val="24"/>
              </w:rPr>
              <w:t> </w:t>
            </w:r>
            <w:r w:rsidRPr="00DE7904">
              <w:rPr>
                <w:rFonts w:ascii="Times New Roman" w:hAnsi="Times New Roman"/>
                <w:sz w:val="24"/>
              </w:rPr>
              <w:t>12 del regolamento delegato (UE) 2016/101 della Commissione.</w:t>
            </w:r>
          </w:p>
        </w:tc>
      </w:tr>
      <w:tr w:rsidR="00C04D6C" w:rsidRPr="00DE7904" w14:paraId="3D6EAD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430AC8" w14:textId="77777777" w:rsidR="00C04D6C" w:rsidRPr="00DE7904" w:rsidRDefault="00C04D6C" w:rsidP="00D819DE">
            <w:pPr>
              <w:autoSpaceDE w:val="0"/>
              <w:autoSpaceDN w:val="0"/>
              <w:adjustRightInd w:val="0"/>
              <w:jc w:val="both"/>
              <w:rPr>
                <w:rFonts w:ascii="Times New Roman" w:hAnsi="Times New Roman" w:cs="Times New Roman"/>
                <w:sz w:val="24"/>
              </w:rPr>
            </w:pPr>
          </w:p>
          <w:p w14:paraId="77014344" w14:textId="77777777" w:rsidR="00C04D6C" w:rsidRPr="00DE7904" w:rsidRDefault="00C04D6C" w:rsidP="00D819DE">
            <w:pPr>
              <w:jc w:val="both"/>
              <w:rPr>
                <w:rFonts w:ascii="Times New Roman" w:hAnsi="Times New Roman" w:cs="Times New Roman"/>
                <w:color w:val="000000"/>
                <w:sz w:val="24"/>
              </w:rPr>
            </w:pPr>
            <w:r w:rsidRPr="00DE7904">
              <w:rPr>
                <w:rFonts w:ascii="Times New Roman" w:hAnsi="Times New Roman"/>
                <w:color w:val="000000"/>
                <w:sz w:val="24"/>
              </w:rPr>
              <w:t>EU e2</w:t>
            </w:r>
          </w:p>
          <w:p w14:paraId="067E72C8" w14:textId="77777777" w:rsidR="00C04D6C" w:rsidRPr="00DE7904"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060580" w14:textId="77777777" w:rsidR="00C04D6C" w:rsidRPr="00DE7904" w:rsidRDefault="00C04D6C" w:rsidP="00D819DE">
            <w:pPr>
              <w:autoSpaceDE w:val="0"/>
              <w:autoSpaceDN w:val="0"/>
              <w:adjustRightInd w:val="0"/>
              <w:spacing w:before="60" w:after="120"/>
              <w:jc w:val="both"/>
              <w:rPr>
                <w:rFonts w:ascii="Times New Roman" w:hAnsi="Times New Roman" w:cs="Times New Roman"/>
                <w:b/>
                <w:sz w:val="24"/>
                <w:u w:val="single"/>
              </w:rPr>
            </w:pPr>
            <w:r w:rsidRPr="00DE7904">
              <w:rPr>
                <w:rFonts w:ascii="Times New Roman" w:hAnsi="Times New Roman"/>
                <w:b/>
                <w:sz w:val="24"/>
                <w:u w:val="single"/>
              </w:rPr>
              <w:t>AVA a livello di categoria - AVA per costi di investimento e di finanziamento</w:t>
            </w:r>
          </w:p>
          <w:p w14:paraId="4E0DC4BC" w14:textId="77777777" w:rsidR="00C04D6C" w:rsidRPr="00DE7904" w:rsidRDefault="00C04D6C" w:rsidP="00D819DE">
            <w:pPr>
              <w:spacing w:beforeLines="60" w:before="144" w:afterLines="60" w:after="144"/>
              <w:rPr>
                <w:rFonts w:ascii="Times New Roman" w:hAnsi="Times New Roman" w:cs="Times New Roman"/>
                <w:caps/>
                <w:sz w:val="24"/>
                <w:u w:val="single"/>
              </w:rPr>
            </w:pPr>
            <w:r w:rsidRPr="00DE7904">
              <w:rPr>
                <w:rFonts w:ascii="Times New Roman" w:hAnsi="Times New Roman"/>
                <w:sz w:val="24"/>
              </w:rPr>
              <w:t>Articolo 105, paragrafo 10, del CRR e articolo 13 del regolamento delegato (UE) 2016/101 della Commissione.</w:t>
            </w:r>
          </w:p>
          <w:p w14:paraId="014133D9" w14:textId="3969F15D" w:rsidR="00C04D6C" w:rsidRPr="00DE7904" w:rsidRDefault="00C04D6C" w:rsidP="00D819DE">
            <w:pPr>
              <w:spacing w:beforeLines="60" w:before="144" w:afterLines="60" w:after="144"/>
              <w:jc w:val="both"/>
              <w:rPr>
                <w:rFonts w:ascii="Times New Roman" w:hAnsi="Times New Roman" w:cs="Times New Roman"/>
                <w:b/>
                <w:sz w:val="24"/>
                <w:u w:val="single"/>
              </w:rPr>
            </w:pPr>
            <w:r w:rsidRPr="00DE7904">
              <w:rPr>
                <w:rFonts w:ascii="Times New Roman" w:hAnsi="Times New Roman"/>
                <w:sz w:val="24"/>
              </w:rPr>
              <w:t>L</w:t>
            </w:r>
            <w:r w:rsidR="00B96C44" w:rsidRPr="00DE7904">
              <w:rPr>
                <w:rFonts w:ascii="Times New Roman" w:hAnsi="Times New Roman"/>
                <w:sz w:val="24"/>
              </w:rPr>
              <w:t>'</w:t>
            </w:r>
            <w:r w:rsidRPr="00DE7904">
              <w:rPr>
                <w:rFonts w:ascii="Times New Roman" w:hAnsi="Times New Roman"/>
                <w:sz w:val="24"/>
              </w:rPr>
              <w:t>AVA totale calcolato per i costi di investimento e di finanziamento e la sua attribuzione agli AVA per l</w:t>
            </w:r>
            <w:r w:rsidR="00B96C44" w:rsidRPr="00DE7904">
              <w:rPr>
                <w:rFonts w:ascii="Times New Roman" w:hAnsi="Times New Roman"/>
                <w:sz w:val="24"/>
              </w:rPr>
              <w:t>'</w:t>
            </w:r>
            <w:r w:rsidRPr="00DE7904">
              <w:rPr>
                <w:rFonts w:ascii="Times New Roman" w:hAnsi="Times New Roman"/>
                <w:sz w:val="24"/>
              </w:rPr>
              <w:t xml:space="preserve">incertezza delle quotazioni di mercato, agli AVA per i costi di chiusura o agli AVA per i rischi del modello sono determinati a </w:t>
            </w:r>
            <w:r w:rsidRPr="00DE7904">
              <w:rPr>
                <w:rFonts w:ascii="Times New Roman" w:hAnsi="Times New Roman"/>
                <w:sz w:val="24"/>
              </w:rPr>
              <w:lastRenderedPageBreak/>
              <w:t>norma dell</w:t>
            </w:r>
            <w:r w:rsidR="00B96C44" w:rsidRPr="00DE7904">
              <w:rPr>
                <w:rFonts w:ascii="Times New Roman" w:hAnsi="Times New Roman"/>
                <w:sz w:val="24"/>
              </w:rPr>
              <w:t>'</w:t>
            </w:r>
            <w:r w:rsidRPr="00DE7904">
              <w:rPr>
                <w:rFonts w:ascii="Times New Roman" w:hAnsi="Times New Roman"/>
                <w:sz w:val="24"/>
              </w:rPr>
              <w:t>articolo</w:t>
            </w:r>
            <w:r w:rsidR="000223B3" w:rsidRPr="00DE7904">
              <w:rPr>
                <w:rFonts w:ascii="Times New Roman" w:hAnsi="Times New Roman"/>
                <w:sz w:val="24"/>
              </w:rPr>
              <w:t> </w:t>
            </w:r>
            <w:r w:rsidRPr="00DE7904">
              <w:rPr>
                <w:rFonts w:ascii="Times New Roman" w:hAnsi="Times New Roman"/>
                <w:sz w:val="24"/>
              </w:rPr>
              <w:t>13 del regolamento delegato (UE) 2016/101 della Commissione.</w:t>
            </w:r>
          </w:p>
        </w:tc>
      </w:tr>
      <w:tr w:rsidR="00C04D6C" w:rsidRPr="00DE7904" w14:paraId="7AF131EB"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94A8A" w14:textId="77777777" w:rsidR="00C04D6C" w:rsidRPr="00DE7904" w:rsidRDefault="00C04D6C" w:rsidP="00D819DE">
            <w:pPr>
              <w:jc w:val="both"/>
              <w:rPr>
                <w:rFonts w:ascii="Times New Roman" w:hAnsi="Times New Roman" w:cs="Times New Roman"/>
                <w:color w:val="000000"/>
                <w:sz w:val="24"/>
              </w:rPr>
            </w:pPr>
            <w:r w:rsidRPr="00DE7904">
              <w:rPr>
                <w:rFonts w:ascii="Times New Roman" w:hAnsi="Times New Roman"/>
                <w:color w:val="000000"/>
                <w:sz w:val="24"/>
              </w:rPr>
              <w:lastRenderedPageBreak/>
              <w:t>f</w:t>
            </w:r>
          </w:p>
          <w:p w14:paraId="4BAD70B7" w14:textId="77777777" w:rsidR="00C04D6C" w:rsidRPr="00DE7904"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C9FB7D" w14:textId="77777777" w:rsidR="00C04D6C" w:rsidRPr="00DE7904" w:rsidRDefault="00C04D6C" w:rsidP="00D819DE">
            <w:pPr>
              <w:autoSpaceDE w:val="0"/>
              <w:autoSpaceDN w:val="0"/>
              <w:adjustRightInd w:val="0"/>
              <w:spacing w:before="60" w:after="120"/>
              <w:jc w:val="both"/>
              <w:rPr>
                <w:rFonts w:ascii="Times New Roman" w:hAnsi="Times New Roman" w:cs="Times New Roman"/>
                <w:b/>
                <w:sz w:val="24"/>
                <w:u w:val="single"/>
              </w:rPr>
            </w:pPr>
            <w:r w:rsidRPr="00DE7904">
              <w:rPr>
                <w:rFonts w:ascii="Times New Roman" w:hAnsi="Times New Roman"/>
                <w:b/>
                <w:sz w:val="24"/>
                <w:u w:val="single"/>
              </w:rPr>
              <w:t>Totale a livello di categoria post-diversificazione</w:t>
            </w:r>
          </w:p>
          <w:p w14:paraId="7AC1D089" w14:textId="1EB9E4A7" w:rsidR="00C04D6C" w:rsidRPr="00DE7904" w:rsidRDefault="00C04D6C" w:rsidP="00D819DE">
            <w:pPr>
              <w:autoSpaceDE w:val="0"/>
              <w:autoSpaceDN w:val="0"/>
              <w:adjustRightInd w:val="0"/>
              <w:spacing w:before="60" w:after="120"/>
              <w:jc w:val="both"/>
              <w:rPr>
                <w:rFonts w:ascii="Times New Roman" w:hAnsi="Times New Roman" w:cs="Times New Roman"/>
                <w:sz w:val="24"/>
              </w:rPr>
            </w:pPr>
            <w:r w:rsidRPr="00DE7904">
              <w:rPr>
                <w:rFonts w:ascii="Times New Roman" w:hAnsi="Times New Roman"/>
                <w:sz w:val="24"/>
              </w:rPr>
              <w:t>Per i portafogli soggetti al metodo di base di cui al capo III del regolamento delegato (UE) 2016/101 della Commissione, il totale a livello di categoria post-diversificazione comprende il totale degli AVA calcolati secondo il metodo di base per le attività e le passività valutate al valore equo incluse nel calcolo della soglia a norma dell</w:t>
            </w:r>
            <w:r w:rsidR="00B96C44" w:rsidRPr="00DE7904">
              <w:rPr>
                <w:rFonts w:ascii="Times New Roman" w:hAnsi="Times New Roman"/>
                <w:sz w:val="24"/>
              </w:rPr>
              <w:t>'</w:t>
            </w:r>
            <w:r w:rsidRPr="00DE7904">
              <w:rPr>
                <w:rFonts w:ascii="Times New Roman" w:hAnsi="Times New Roman"/>
                <w:sz w:val="24"/>
              </w:rPr>
              <w:t>articolo</w:t>
            </w:r>
            <w:r w:rsidR="000223B3" w:rsidRPr="00DE7904">
              <w:rPr>
                <w:rFonts w:ascii="Times New Roman" w:hAnsi="Times New Roman"/>
                <w:sz w:val="24"/>
              </w:rPr>
              <w:t> </w:t>
            </w:r>
            <w:r w:rsidRPr="00DE7904">
              <w:rPr>
                <w:rFonts w:ascii="Times New Roman" w:hAnsi="Times New Roman"/>
                <w:sz w:val="24"/>
              </w:rPr>
              <w:t>4, paragrafo</w:t>
            </w:r>
            <w:r w:rsidR="000223B3" w:rsidRPr="00DE7904">
              <w:rPr>
                <w:rFonts w:ascii="Times New Roman" w:hAnsi="Times New Roman"/>
                <w:sz w:val="24"/>
              </w:rPr>
              <w:t> </w:t>
            </w:r>
            <w:r w:rsidRPr="00DE7904">
              <w:rPr>
                <w:rFonts w:ascii="Times New Roman" w:hAnsi="Times New Roman"/>
                <w:sz w:val="24"/>
              </w:rPr>
              <w:t>1, del regolamento delegato (UE) 2016/101 della Commissione. Sono inclusi i benefici della diversificazione definiti a norma dell</w:t>
            </w:r>
            <w:r w:rsidR="00B96C44" w:rsidRPr="00DE7904">
              <w:rPr>
                <w:rFonts w:ascii="Times New Roman" w:hAnsi="Times New Roman"/>
                <w:sz w:val="24"/>
              </w:rPr>
              <w:t>'</w:t>
            </w:r>
            <w:r w:rsidRPr="00DE7904">
              <w:rPr>
                <w:rFonts w:ascii="Times New Roman" w:hAnsi="Times New Roman"/>
                <w:sz w:val="24"/>
              </w:rPr>
              <w:t>articolo 9, paragrafo 6, dell</w:t>
            </w:r>
            <w:r w:rsidR="00B96C44" w:rsidRPr="00DE7904">
              <w:rPr>
                <w:rFonts w:ascii="Times New Roman" w:hAnsi="Times New Roman"/>
                <w:sz w:val="24"/>
              </w:rPr>
              <w:t>'</w:t>
            </w:r>
            <w:r w:rsidRPr="00DE7904">
              <w:rPr>
                <w:rFonts w:ascii="Times New Roman" w:hAnsi="Times New Roman"/>
                <w:sz w:val="24"/>
              </w:rPr>
              <w:t>articolo 10, paragrafo 7, e dell</w:t>
            </w:r>
            <w:r w:rsidR="00B96C44" w:rsidRPr="00DE7904">
              <w:rPr>
                <w:rFonts w:ascii="Times New Roman" w:hAnsi="Times New Roman"/>
                <w:sz w:val="24"/>
              </w:rPr>
              <w:t>'</w:t>
            </w:r>
            <w:r w:rsidRPr="00DE7904">
              <w:rPr>
                <w:rFonts w:ascii="Times New Roman" w:hAnsi="Times New Roman"/>
                <w:sz w:val="24"/>
              </w:rPr>
              <w:t>articolo 11, paragrafo 7, del regolamento delegato (UE) 2016/101.</w:t>
            </w:r>
          </w:p>
          <w:p w14:paraId="786A07B6" w14:textId="288D5D75" w:rsidR="00C04D6C" w:rsidRPr="00DE7904" w:rsidRDefault="00C04D6C" w:rsidP="00D819DE">
            <w:pPr>
              <w:autoSpaceDE w:val="0"/>
              <w:autoSpaceDN w:val="0"/>
              <w:adjustRightInd w:val="0"/>
              <w:spacing w:before="60" w:after="120"/>
              <w:jc w:val="both"/>
              <w:rPr>
                <w:rFonts w:ascii="Times New Roman" w:hAnsi="Times New Roman" w:cs="Times New Roman"/>
                <w:sz w:val="24"/>
              </w:rPr>
            </w:pPr>
            <w:r w:rsidRPr="00DE7904">
              <w:rPr>
                <w:rFonts w:ascii="Times New Roman" w:hAnsi="Times New Roman"/>
                <w:sz w:val="24"/>
              </w:rPr>
              <w:t>L</w:t>
            </w:r>
            <w:r w:rsidR="00B96C44" w:rsidRPr="00DE7904">
              <w:rPr>
                <w:rFonts w:ascii="Times New Roman" w:hAnsi="Times New Roman"/>
                <w:sz w:val="24"/>
              </w:rPr>
              <w:t>'</w:t>
            </w:r>
            <w:r w:rsidRPr="00DE7904">
              <w:rPr>
                <w:rFonts w:ascii="Times New Roman" w:hAnsi="Times New Roman"/>
                <w:sz w:val="24"/>
              </w:rPr>
              <w:t>AVA totale nella riga</w:t>
            </w:r>
            <w:r w:rsidR="000223B3" w:rsidRPr="00DE7904">
              <w:rPr>
                <w:rFonts w:ascii="Times New Roman" w:hAnsi="Times New Roman"/>
                <w:sz w:val="24"/>
              </w:rPr>
              <w:t> </w:t>
            </w:r>
            <w:r w:rsidRPr="00DE7904">
              <w:rPr>
                <w:rFonts w:ascii="Times New Roman" w:hAnsi="Times New Roman"/>
                <w:sz w:val="24"/>
              </w:rPr>
              <w:t>12, colonna</w:t>
            </w:r>
            <w:r w:rsidR="000223B3" w:rsidRPr="00DE7904">
              <w:rPr>
                <w:rFonts w:ascii="Times New Roman" w:hAnsi="Times New Roman"/>
                <w:sz w:val="24"/>
              </w:rPr>
              <w:t> </w:t>
            </w:r>
            <w:r w:rsidRPr="00DE7904">
              <w:rPr>
                <w:rFonts w:ascii="Times New Roman" w:hAnsi="Times New Roman"/>
                <w:sz w:val="24"/>
              </w:rPr>
              <w:t>f), di questo modello comprende gli importi calcolati conformemente all</w:t>
            </w:r>
            <w:r w:rsidR="00B96C44" w:rsidRPr="00DE7904">
              <w:rPr>
                <w:rFonts w:ascii="Times New Roman" w:hAnsi="Times New Roman"/>
                <w:sz w:val="24"/>
              </w:rPr>
              <w:t>'</w:t>
            </w:r>
            <w:r w:rsidRPr="00DE7904">
              <w:rPr>
                <w:rFonts w:ascii="Times New Roman" w:hAnsi="Times New Roman"/>
                <w:sz w:val="24"/>
              </w:rPr>
              <w:t>articolo 7, paragrafo 2, lettera b), punti i), ii) e iii), del regolamento delegato (UE) 2016/101, per i portafogli soggetti all</w:t>
            </w:r>
            <w:r w:rsidR="00B96C44" w:rsidRPr="00DE7904">
              <w:rPr>
                <w:rFonts w:ascii="Times New Roman" w:hAnsi="Times New Roman"/>
                <w:sz w:val="24"/>
              </w:rPr>
              <w:t>'</w:t>
            </w:r>
            <w:r w:rsidRPr="00DE7904">
              <w:rPr>
                <w:rFonts w:ascii="Times New Roman" w:hAnsi="Times New Roman"/>
                <w:sz w:val="24"/>
              </w:rPr>
              <w:t>approccio alternativo, se del caso.</w:t>
            </w:r>
          </w:p>
          <w:p w14:paraId="16B6B958" w14:textId="0F56A0A5" w:rsidR="00C04D6C" w:rsidRPr="00DE7904" w:rsidRDefault="00C04D6C" w:rsidP="00D819DE">
            <w:pPr>
              <w:autoSpaceDE w:val="0"/>
              <w:autoSpaceDN w:val="0"/>
              <w:adjustRightInd w:val="0"/>
              <w:spacing w:before="60" w:after="120"/>
              <w:jc w:val="both"/>
              <w:rPr>
                <w:rFonts w:ascii="Times New Roman" w:hAnsi="Times New Roman" w:cs="Times New Roman"/>
                <w:i/>
                <w:sz w:val="24"/>
              </w:rPr>
            </w:pPr>
            <w:r w:rsidRPr="00DE7904">
              <w:rPr>
                <w:rFonts w:ascii="Times New Roman" w:hAnsi="Times New Roman"/>
                <w:sz w:val="24"/>
              </w:rPr>
              <w:t>Per i portafogli soggetti al metodo semplificato di cui al capo II del regolamento delegato (UE) 2016/101 sulla valutazione prudente, l</w:t>
            </w:r>
            <w:r w:rsidR="00B96C44" w:rsidRPr="00DE7904">
              <w:rPr>
                <w:rFonts w:ascii="Times New Roman" w:hAnsi="Times New Roman"/>
                <w:sz w:val="24"/>
              </w:rPr>
              <w:t>'</w:t>
            </w:r>
            <w:r w:rsidRPr="00DE7904">
              <w:rPr>
                <w:rFonts w:ascii="Times New Roman" w:hAnsi="Times New Roman"/>
                <w:sz w:val="24"/>
              </w:rPr>
              <w:t>AVA totale nella riga</w:t>
            </w:r>
            <w:r w:rsidR="000223B3" w:rsidRPr="00DE7904">
              <w:rPr>
                <w:rFonts w:ascii="Times New Roman" w:hAnsi="Times New Roman"/>
                <w:sz w:val="24"/>
              </w:rPr>
              <w:t> </w:t>
            </w:r>
            <w:r w:rsidRPr="00DE7904">
              <w:rPr>
                <w:rFonts w:ascii="Times New Roman" w:hAnsi="Times New Roman"/>
                <w:sz w:val="24"/>
              </w:rPr>
              <w:t>12 di questo modello è l</w:t>
            </w:r>
            <w:r w:rsidR="00B96C44" w:rsidRPr="00DE7904">
              <w:rPr>
                <w:rFonts w:ascii="Times New Roman" w:hAnsi="Times New Roman"/>
                <w:sz w:val="24"/>
              </w:rPr>
              <w:t>'</w:t>
            </w:r>
            <w:r w:rsidRPr="00DE7904">
              <w:rPr>
                <w:rFonts w:ascii="Times New Roman" w:hAnsi="Times New Roman"/>
                <w:sz w:val="24"/>
              </w:rPr>
              <w:t>importo calcolato conformemente all</w:t>
            </w:r>
            <w:r w:rsidR="00B96C44" w:rsidRPr="00DE7904">
              <w:rPr>
                <w:rFonts w:ascii="Times New Roman" w:hAnsi="Times New Roman"/>
                <w:sz w:val="24"/>
              </w:rPr>
              <w:t>'</w:t>
            </w:r>
            <w:r w:rsidRPr="00DE7904">
              <w:rPr>
                <w:rFonts w:ascii="Times New Roman" w:hAnsi="Times New Roman"/>
                <w:sz w:val="24"/>
              </w:rPr>
              <w:t>articolo 5 del suddetto capo.</w:t>
            </w:r>
          </w:p>
        </w:tc>
      </w:tr>
      <w:tr w:rsidR="00C04D6C" w:rsidRPr="00DE7904" w14:paraId="7A68CB3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14F31E" w14:textId="77777777" w:rsidR="00C04D6C" w:rsidRPr="00DE7904" w:rsidRDefault="00C04D6C" w:rsidP="00D819DE">
            <w:pPr>
              <w:autoSpaceDE w:val="0"/>
              <w:autoSpaceDN w:val="0"/>
              <w:adjustRightInd w:val="0"/>
              <w:jc w:val="both"/>
              <w:rPr>
                <w:rFonts w:ascii="Times New Roman" w:hAnsi="Times New Roman" w:cs="Times New Roman"/>
                <w:sz w:val="24"/>
              </w:rPr>
            </w:pPr>
            <w:r w:rsidRPr="00DE7904">
              <w:rPr>
                <w:rFonts w:ascii="Times New Roman" w:hAnsi="Times New Roman"/>
                <w:sz w:val="24"/>
              </w:rP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8BF8B5B" w14:textId="77777777" w:rsidR="00C04D6C" w:rsidRPr="00DE7904" w:rsidRDefault="00C04D6C" w:rsidP="00D819DE">
            <w:pPr>
              <w:autoSpaceDE w:val="0"/>
              <w:autoSpaceDN w:val="0"/>
              <w:adjustRightInd w:val="0"/>
              <w:spacing w:before="60" w:after="120"/>
              <w:jc w:val="both"/>
              <w:rPr>
                <w:rFonts w:ascii="Times New Roman" w:hAnsi="Times New Roman" w:cs="Times New Roman"/>
                <w:b/>
                <w:sz w:val="24"/>
                <w:u w:val="single"/>
              </w:rPr>
            </w:pPr>
            <w:r w:rsidRPr="00DE7904">
              <w:rPr>
                <w:rFonts w:ascii="Times New Roman" w:hAnsi="Times New Roman"/>
                <w:b/>
                <w:sz w:val="24"/>
                <w:u w:val="single"/>
              </w:rPr>
              <w:t>Di cui metodo di base totale nel portafoglio di negoziazione</w:t>
            </w:r>
          </w:p>
          <w:p w14:paraId="77520A81" w14:textId="3DC0105A" w:rsidR="00C04D6C" w:rsidRPr="00DE7904" w:rsidRDefault="00C04D6C" w:rsidP="00D819DE">
            <w:pPr>
              <w:autoSpaceDE w:val="0"/>
              <w:autoSpaceDN w:val="0"/>
              <w:adjustRightInd w:val="0"/>
              <w:spacing w:before="60" w:after="120"/>
              <w:jc w:val="both"/>
              <w:rPr>
                <w:rFonts w:ascii="Times New Roman" w:hAnsi="Times New Roman" w:cs="Times New Roman"/>
                <w:sz w:val="24"/>
              </w:rPr>
            </w:pPr>
            <w:r w:rsidRPr="00DE7904">
              <w:rPr>
                <w:rFonts w:ascii="Times New Roman" w:hAnsi="Times New Roman"/>
                <w:sz w:val="24"/>
              </w:rPr>
              <w:t xml:space="preserve">Per ciascuna categoria pertinente di AVA, per i portafogli soggetti al metodo di base di cui al capo III, del regolamento delegato (UE) 2016/101 della Commissione, le quote di AVA derivanti da posizioni detenute nel </w:t>
            </w:r>
            <w:r w:rsidR="00B96C44" w:rsidRPr="00DE7904">
              <w:rPr>
                <w:rFonts w:ascii="Times New Roman" w:hAnsi="Times New Roman"/>
                <w:sz w:val="24"/>
              </w:rPr>
              <w:t>"</w:t>
            </w:r>
            <w:r w:rsidRPr="00DE7904">
              <w:rPr>
                <w:rFonts w:ascii="Times New Roman" w:hAnsi="Times New Roman"/>
                <w:sz w:val="24"/>
              </w:rPr>
              <w:t>portafoglio di negoziazione</w:t>
            </w:r>
            <w:r w:rsidR="00B96C44" w:rsidRPr="00DE7904">
              <w:rPr>
                <w:rFonts w:ascii="Times New Roman" w:hAnsi="Times New Roman"/>
                <w:sz w:val="24"/>
              </w:rPr>
              <w:t>"</w:t>
            </w:r>
            <w:r w:rsidRPr="00DE7904">
              <w:rPr>
                <w:rFonts w:ascii="Times New Roman" w:hAnsi="Times New Roman"/>
                <w:sz w:val="24"/>
              </w:rPr>
              <w:t>: l</w:t>
            </w:r>
            <w:r w:rsidR="00B96C44" w:rsidRPr="00DE7904">
              <w:rPr>
                <w:rFonts w:ascii="Times New Roman" w:hAnsi="Times New Roman"/>
                <w:sz w:val="24"/>
              </w:rPr>
              <w:t>'</w:t>
            </w:r>
            <w:r w:rsidRPr="00DE7904">
              <w:rPr>
                <w:rFonts w:ascii="Times New Roman" w:hAnsi="Times New Roman"/>
                <w:sz w:val="24"/>
              </w:rPr>
              <w:t>insieme delle posizioni in strumenti finanziari e su merci detenute da un ente a fini di negoziazione o per coprire posizioni detenute a fini di negoziazione in conformità dell</w:t>
            </w:r>
            <w:r w:rsidR="00B96C44" w:rsidRPr="00DE7904">
              <w:rPr>
                <w:rFonts w:ascii="Times New Roman" w:hAnsi="Times New Roman"/>
                <w:sz w:val="24"/>
              </w:rPr>
              <w:t>'</w:t>
            </w:r>
            <w:r w:rsidRPr="00DE7904">
              <w:rPr>
                <w:rFonts w:ascii="Times New Roman" w:hAnsi="Times New Roman"/>
                <w:sz w:val="24"/>
              </w:rPr>
              <w:t xml:space="preserve">articolo 104 del CRR. </w:t>
            </w:r>
          </w:p>
          <w:p w14:paraId="2169FF03" w14:textId="64F5D451" w:rsidR="00C04D6C" w:rsidRPr="00DE7904" w:rsidRDefault="00C04D6C" w:rsidP="00D819DE">
            <w:pPr>
              <w:autoSpaceDE w:val="0"/>
              <w:autoSpaceDN w:val="0"/>
              <w:adjustRightInd w:val="0"/>
              <w:spacing w:before="60" w:after="120"/>
              <w:jc w:val="both"/>
              <w:rPr>
                <w:rFonts w:ascii="Times New Roman" w:hAnsi="Times New Roman" w:cs="Times New Roman"/>
                <w:b/>
                <w:sz w:val="24"/>
                <w:u w:val="single"/>
              </w:rPr>
            </w:pPr>
            <w:r w:rsidRPr="00DE7904">
              <w:rPr>
                <w:rFonts w:ascii="Times New Roman" w:hAnsi="Times New Roman"/>
                <w:sz w:val="24"/>
              </w:rPr>
              <w:t>I valori pubblicati includono i benefici della diversificazione definiti a norma dell</w:t>
            </w:r>
            <w:r w:rsidR="00B96C44" w:rsidRPr="00DE7904">
              <w:rPr>
                <w:rFonts w:ascii="Times New Roman" w:hAnsi="Times New Roman"/>
                <w:sz w:val="24"/>
              </w:rPr>
              <w:t>'</w:t>
            </w:r>
            <w:r w:rsidRPr="00DE7904">
              <w:rPr>
                <w:rFonts w:ascii="Times New Roman" w:hAnsi="Times New Roman"/>
                <w:sz w:val="24"/>
              </w:rPr>
              <w:t>articolo 9, paragrafo 6, dell</w:t>
            </w:r>
            <w:r w:rsidR="00B96C44" w:rsidRPr="00DE7904">
              <w:rPr>
                <w:rFonts w:ascii="Times New Roman" w:hAnsi="Times New Roman"/>
                <w:sz w:val="24"/>
              </w:rPr>
              <w:t>'</w:t>
            </w:r>
            <w:r w:rsidRPr="00DE7904">
              <w:rPr>
                <w:rFonts w:ascii="Times New Roman" w:hAnsi="Times New Roman"/>
                <w:sz w:val="24"/>
              </w:rPr>
              <w:t>articolo 10, paragrafo 7, e dell</w:t>
            </w:r>
            <w:r w:rsidR="00B96C44" w:rsidRPr="00DE7904">
              <w:rPr>
                <w:rFonts w:ascii="Times New Roman" w:hAnsi="Times New Roman"/>
                <w:sz w:val="24"/>
              </w:rPr>
              <w:t>'</w:t>
            </w:r>
            <w:r w:rsidRPr="00DE7904">
              <w:rPr>
                <w:rFonts w:ascii="Times New Roman" w:hAnsi="Times New Roman"/>
                <w:sz w:val="24"/>
              </w:rPr>
              <w:t>articolo</w:t>
            </w:r>
            <w:r w:rsidR="000223B3" w:rsidRPr="00DE7904">
              <w:rPr>
                <w:rFonts w:ascii="Times New Roman" w:hAnsi="Times New Roman"/>
                <w:sz w:val="24"/>
              </w:rPr>
              <w:t> </w:t>
            </w:r>
            <w:r w:rsidRPr="00DE7904">
              <w:rPr>
                <w:rFonts w:ascii="Times New Roman" w:hAnsi="Times New Roman"/>
                <w:sz w:val="24"/>
              </w:rPr>
              <w:t>11, paragrafo 7, del regolamento delegato (UE) 2016/101.</w:t>
            </w:r>
          </w:p>
        </w:tc>
      </w:tr>
      <w:tr w:rsidR="00C04D6C" w:rsidRPr="00DE7904" w14:paraId="2EBCD7A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48CE81" w14:textId="77777777" w:rsidR="00C04D6C" w:rsidRPr="00DE7904" w:rsidRDefault="00C04D6C" w:rsidP="00D819DE">
            <w:pPr>
              <w:autoSpaceDE w:val="0"/>
              <w:autoSpaceDN w:val="0"/>
              <w:adjustRightInd w:val="0"/>
              <w:jc w:val="both"/>
              <w:rPr>
                <w:rFonts w:ascii="Times New Roman" w:hAnsi="Times New Roman" w:cs="Times New Roman"/>
                <w:sz w:val="24"/>
              </w:rPr>
            </w:pPr>
            <w:r w:rsidRPr="00DE7904">
              <w:rPr>
                <w:rFonts w:ascii="Times New Roman" w:hAnsi="Times New Roman"/>
                <w:sz w:val="24"/>
              </w:rP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26F652" w14:textId="77777777" w:rsidR="00C04D6C" w:rsidRPr="00DE7904" w:rsidRDefault="00C04D6C" w:rsidP="00D819DE">
            <w:pPr>
              <w:autoSpaceDE w:val="0"/>
              <w:autoSpaceDN w:val="0"/>
              <w:adjustRightInd w:val="0"/>
              <w:spacing w:before="60" w:after="120"/>
              <w:jc w:val="both"/>
              <w:rPr>
                <w:rFonts w:ascii="Times New Roman" w:hAnsi="Times New Roman" w:cs="Times New Roman"/>
                <w:b/>
                <w:sz w:val="24"/>
                <w:u w:val="single"/>
              </w:rPr>
            </w:pPr>
            <w:r w:rsidRPr="00DE7904">
              <w:rPr>
                <w:rFonts w:ascii="Times New Roman" w:hAnsi="Times New Roman"/>
                <w:b/>
                <w:sz w:val="24"/>
                <w:u w:val="single"/>
              </w:rPr>
              <w:t>Di cui metodo di base totale nel portafoglio bancario</w:t>
            </w:r>
          </w:p>
          <w:p w14:paraId="4EC457E4" w14:textId="77777777" w:rsidR="00C04D6C" w:rsidRPr="00DE7904" w:rsidRDefault="00C04D6C" w:rsidP="00D819DE">
            <w:pPr>
              <w:autoSpaceDE w:val="0"/>
              <w:autoSpaceDN w:val="0"/>
              <w:adjustRightInd w:val="0"/>
              <w:spacing w:before="60" w:after="120"/>
              <w:jc w:val="both"/>
              <w:rPr>
                <w:rFonts w:ascii="Times New Roman" w:hAnsi="Times New Roman" w:cs="Times New Roman"/>
                <w:color w:val="000000"/>
                <w:sz w:val="24"/>
              </w:rPr>
            </w:pPr>
            <w:r w:rsidRPr="00DE7904">
              <w:rPr>
                <w:rFonts w:ascii="Times New Roman" w:hAnsi="Times New Roman"/>
                <w:sz w:val="24"/>
              </w:rPr>
              <w:t xml:space="preserve">Per ciascuna categoria pertinente di AVA, per i portafogli soggetti al metodo di base di cui al capo III, del regolamento delegato (UE) 2016/101 della Commissione, le quote di AVA derivanti da </w:t>
            </w:r>
            <w:r w:rsidRPr="00DE7904">
              <w:rPr>
                <w:rFonts w:ascii="Times New Roman" w:hAnsi="Times New Roman"/>
                <w:color w:val="000000"/>
                <w:sz w:val="24"/>
              </w:rPr>
              <w:t>posizioni valutate al valore equo</w:t>
            </w:r>
            <w:r w:rsidRPr="00DE7904">
              <w:rPr>
                <w:rFonts w:ascii="Times New Roman" w:hAnsi="Times New Roman"/>
                <w:sz w:val="24"/>
              </w:rPr>
              <w:t xml:space="preserve"> in strumenti finanziari e merci </w:t>
            </w:r>
            <w:r w:rsidRPr="00DE7904">
              <w:rPr>
                <w:rFonts w:ascii="Times New Roman" w:hAnsi="Times New Roman"/>
                <w:color w:val="000000"/>
                <w:sz w:val="24"/>
              </w:rPr>
              <w:t>non detenute nel portafoglio di negoziazione.</w:t>
            </w:r>
          </w:p>
          <w:p w14:paraId="5D6CB732" w14:textId="4275BD64" w:rsidR="00C04D6C" w:rsidRPr="00DE7904" w:rsidRDefault="00C04D6C" w:rsidP="00D819DE">
            <w:pPr>
              <w:autoSpaceDE w:val="0"/>
              <w:autoSpaceDN w:val="0"/>
              <w:adjustRightInd w:val="0"/>
              <w:spacing w:before="60" w:after="120"/>
              <w:jc w:val="both"/>
              <w:rPr>
                <w:rFonts w:ascii="Times New Roman" w:hAnsi="Times New Roman" w:cs="Times New Roman"/>
                <w:sz w:val="24"/>
              </w:rPr>
            </w:pPr>
            <w:r w:rsidRPr="00DE7904">
              <w:rPr>
                <w:rFonts w:ascii="Times New Roman" w:hAnsi="Times New Roman"/>
                <w:sz w:val="24"/>
              </w:rPr>
              <w:t>I valori pubblicati includono i benefici della diversificazione determinati a norma dell</w:t>
            </w:r>
            <w:r w:rsidR="00B96C44" w:rsidRPr="00DE7904">
              <w:rPr>
                <w:rFonts w:ascii="Times New Roman" w:hAnsi="Times New Roman"/>
                <w:sz w:val="24"/>
              </w:rPr>
              <w:t>'</w:t>
            </w:r>
            <w:r w:rsidRPr="00DE7904">
              <w:rPr>
                <w:rFonts w:ascii="Times New Roman" w:hAnsi="Times New Roman"/>
                <w:sz w:val="24"/>
              </w:rPr>
              <w:t>articolo</w:t>
            </w:r>
            <w:r w:rsidR="000223B3" w:rsidRPr="00DE7904">
              <w:rPr>
                <w:rFonts w:ascii="Times New Roman" w:hAnsi="Times New Roman"/>
                <w:sz w:val="24"/>
              </w:rPr>
              <w:t> </w:t>
            </w:r>
            <w:r w:rsidRPr="00DE7904">
              <w:rPr>
                <w:rFonts w:ascii="Times New Roman" w:hAnsi="Times New Roman"/>
                <w:sz w:val="24"/>
              </w:rPr>
              <w:t>9, paragrafo</w:t>
            </w:r>
            <w:r w:rsidR="000223B3" w:rsidRPr="00DE7904">
              <w:rPr>
                <w:rFonts w:ascii="Times New Roman" w:hAnsi="Times New Roman"/>
                <w:sz w:val="24"/>
              </w:rPr>
              <w:t> </w:t>
            </w:r>
            <w:r w:rsidRPr="00DE7904">
              <w:rPr>
                <w:rFonts w:ascii="Times New Roman" w:hAnsi="Times New Roman"/>
                <w:sz w:val="24"/>
              </w:rPr>
              <w:t>6, dell</w:t>
            </w:r>
            <w:r w:rsidR="00B96C44" w:rsidRPr="00DE7904">
              <w:rPr>
                <w:rFonts w:ascii="Times New Roman" w:hAnsi="Times New Roman"/>
                <w:sz w:val="24"/>
              </w:rPr>
              <w:t>'</w:t>
            </w:r>
            <w:r w:rsidRPr="00DE7904">
              <w:rPr>
                <w:rFonts w:ascii="Times New Roman" w:hAnsi="Times New Roman"/>
                <w:sz w:val="24"/>
              </w:rPr>
              <w:t>articolo</w:t>
            </w:r>
            <w:r w:rsidR="000223B3" w:rsidRPr="00DE7904">
              <w:rPr>
                <w:rFonts w:ascii="Times New Roman" w:hAnsi="Times New Roman"/>
                <w:sz w:val="24"/>
              </w:rPr>
              <w:t> </w:t>
            </w:r>
            <w:r w:rsidRPr="00DE7904">
              <w:rPr>
                <w:rFonts w:ascii="Times New Roman" w:hAnsi="Times New Roman"/>
                <w:sz w:val="24"/>
              </w:rPr>
              <w:t>10, paragrafo</w:t>
            </w:r>
            <w:r w:rsidR="000223B3" w:rsidRPr="00DE7904">
              <w:rPr>
                <w:rFonts w:ascii="Times New Roman" w:hAnsi="Times New Roman"/>
                <w:sz w:val="24"/>
              </w:rPr>
              <w:t> </w:t>
            </w:r>
            <w:r w:rsidRPr="00DE7904">
              <w:rPr>
                <w:rFonts w:ascii="Times New Roman" w:hAnsi="Times New Roman"/>
                <w:sz w:val="24"/>
              </w:rPr>
              <w:t>7, e dell</w:t>
            </w:r>
            <w:r w:rsidR="00B96C44" w:rsidRPr="00DE7904">
              <w:rPr>
                <w:rFonts w:ascii="Times New Roman" w:hAnsi="Times New Roman"/>
                <w:sz w:val="24"/>
              </w:rPr>
              <w:t>'</w:t>
            </w:r>
            <w:r w:rsidRPr="00DE7904">
              <w:rPr>
                <w:rFonts w:ascii="Times New Roman" w:hAnsi="Times New Roman"/>
                <w:sz w:val="24"/>
              </w:rPr>
              <w:t>articolo</w:t>
            </w:r>
            <w:r w:rsidR="000223B3" w:rsidRPr="00DE7904">
              <w:rPr>
                <w:rFonts w:ascii="Times New Roman" w:hAnsi="Times New Roman"/>
                <w:sz w:val="24"/>
              </w:rPr>
              <w:t> </w:t>
            </w:r>
            <w:r w:rsidRPr="00DE7904">
              <w:rPr>
                <w:rFonts w:ascii="Times New Roman" w:hAnsi="Times New Roman"/>
                <w:sz w:val="24"/>
              </w:rPr>
              <w:t>11, paragrafo 7, del regolamento delegato (UE) 2016/101 della Commissione.</w:t>
            </w:r>
          </w:p>
        </w:tc>
      </w:tr>
    </w:tbl>
    <w:p w14:paraId="1DA9D705" w14:textId="77777777" w:rsidR="004E3F4D" w:rsidRPr="00DE7904" w:rsidRDefault="004E3F4D" w:rsidP="00C04D6C"/>
    <w:sectPr w:rsidR="004E3F4D" w:rsidRPr="00DE7904">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6ACB9" w14:textId="77777777" w:rsidR="00ED3B2B" w:rsidRDefault="00ED3B2B" w:rsidP="00C04D6C">
      <w:r>
        <w:separator/>
      </w:r>
    </w:p>
  </w:endnote>
  <w:endnote w:type="continuationSeparator" w:id="0">
    <w:p w14:paraId="595845DA" w14:textId="77777777" w:rsidR="00ED3B2B" w:rsidRDefault="00ED3B2B" w:rsidP="00C04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1644917"/>
      <w:docPartObj>
        <w:docPartGallery w:val="Page Numbers (Bottom of Page)"/>
        <w:docPartUnique/>
      </w:docPartObj>
    </w:sdtPr>
    <w:sdtEndPr>
      <w:rPr>
        <w:noProof/>
      </w:rPr>
    </w:sdtEndPr>
    <w:sdtContent>
      <w:p w14:paraId="0A357631" w14:textId="77777777" w:rsidR="002C7922" w:rsidRDefault="002C7922">
        <w:pPr>
          <w:pStyle w:val="Footer"/>
          <w:jc w:val="right"/>
        </w:pPr>
        <w:r>
          <w:fldChar w:fldCharType="begin"/>
        </w:r>
        <w:r>
          <w:instrText xml:space="preserve"> PAGE   \* MERGEFORMAT </w:instrText>
        </w:r>
        <w:r>
          <w:fldChar w:fldCharType="separate"/>
        </w:r>
        <w:r>
          <w:t>4</w:t>
        </w:r>
        <w:r>
          <w:fldChar w:fldCharType="end"/>
        </w:r>
      </w:p>
    </w:sdtContent>
  </w:sdt>
  <w:p w14:paraId="4003F916" w14:textId="77777777" w:rsidR="002C7922" w:rsidRDefault="002C79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48F32" w14:textId="77777777" w:rsidR="00ED3B2B" w:rsidRDefault="00ED3B2B" w:rsidP="00C04D6C">
      <w:r>
        <w:separator/>
      </w:r>
    </w:p>
  </w:footnote>
  <w:footnote w:type="continuationSeparator" w:id="0">
    <w:p w14:paraId="01923D22" w14:textId="77777777" w:rsidR="00ED3B2B" w:rsidRDefault="00ED3B2B" w:rsidP="00C04D6C">
      <w:r>
        <w:continuationSeparator/>
      </w:r>
    </w:p>
  </w:footnote>
  <w:footnote w:id="1">
    <w:p w14:paraId="75EB5CC5" w14:textId="63915B84" w:rsidR="00C04D6C" w:rsidRPr="00DE7904" w:rsidRDefault="00C04D6C" w:rsidP="00C04D6C">
      <w:pPr>
        <w:pStyle w:val="FootnoteText"/>
        <w:rPr>
          <w:rFonts w:eastAsia="Calibri" w:cstheme="minorHAnsi"/>
        </w:rPr>
      </w:pPr>
      <w:r w:rsidRPr="00DE7904">
        <w:rPr>
          <w:rStyle w:val="FootnoteReference"/>
          <w:rFonts w:cstheme="minorHAnsi"/>
          <w:lang w:val="en-GB"/>
        </w:rPr>
        <w:footnoteRef/>
      </w:r>
      <w:r w:rsidRPr="00DE7904">
        <w:t xml:space="preserve"> </w:t>
      </w:r>
      <w:r w:rsidRPr="00DE7904">
        <w:tab/>
        <w:t xml:space="preserve">Regolamento (UE) n. 575/2013, del Parlamento europeo e del Consiglio, del 26 giugno 2013, relativo ai requisiti prudenziali per gli enti creditizi e le imprese di investimento e che modifica il regolamento (UE) n. 648/2012, come modificato dal regolamento (UE) 2024/1623 </w:t>
      </w:r>
      <w:r w:rsidRPr="00DE7904">
        <w:rPr>
          <w:color w:val="444444"/>
        </w:rPr>
        <w:t>(</w:t>
      </w:r>
      <w:hyperlink r:id="rId1" w:history="1">
        <w:r w:rsidRPr="00DE7904">
          <w:rPr>
            <w:rStyle w:val="Hyperlink"/>
            <w:color w:val="800080"/>
          </w:rPr>
          <w:t>GU L 176 del 27.6.2013, pag. 1</w:t>
        </w:r>
      </w:hyperlink>
      <w:r w:rsidRPr="00DE7904">
        <w:rPr>
          <w:color w:val="444444"/>
        </w:rPr>
        <w:t>)</w:t>
      </w:r>
      <w:r w:rsidRPr="00DE7904">
        <w:t>;</w:t>
      </w:r>
      <w:r w:rsidRPr="00DE7904">
        <w:rPr>
          <w:color w:val="800080"/>
          <w:u w:val="single"/>
        </w:rPr>
        <w:t xml:space="preserve"> </w:t>
      </w:r>
      <w:hyperlink r:id="rId2" w:history="1">
        <w:r w:rsidRPr="00DE7904">
          <w:rPr>
            <w:rStyle w:val="Hyperlink"/>
          </w:rPr>
          <w:t>Regolamento - EU - 2024/1623 - IT - EUR-Lex (europa.eu)</w:t>
        </w:r>
      </w:hyperlink>
      <w:r w:rsidRPr="00DE7904">
        <w:rPr>
          <w:color w:val="444444"/>
        </w:rPr>
        <w:t>)</w:t>
      </w:r>
      <w:r w:rsidRPr="00DE7904">
        <w:t>.</w:t>
      </w:r>
    </w:p>
  </w:footnote>
  <w:footnote w:id="2">
    <w:p w14:paraId="6152D585" w14:textId="42FF1659" w:rsidR="00C04D6C" w:rsidRPr="00DE7904" w:rsidRDefault="00C04D6C" w:rsidP="00C04D6C">
      <w:pPr>
        <w:pStyle w:val="FootnoteText"/>
        <w:rPr>
          <w:rFonts w:cstheme="minorHAnsi"/>
        </w:rPr>
      </w:pPr>
      <w:r w:rsidRPr="00DE7904">
        <w:rPr>
          <w:rStyle w:val="FootnoteReference"/>
          <w:rFonts w:cstheme="minorHAnsi"/>
        </w:rPr>
        <w:footnoteRef/>
      </w:r>
      <w:r w:rsidRPr="00DE7904">
        <w:tab/>
        <w:t>Direttiva 2013/34/UE del Parlamento europeo e del Consiglio, del 26 giugno 2013, relativa ai bilanci d</w:t>
      </w:r>
      <w:r w:rsidR="00B96C44" w:rsidRPr="00DE7904">
        <w:t>'</w:t>
      </w:r>
      <w:r w:rsidRPr="00DE7904">
        <w:t>esercizio, ai bilanci consolidati e alle relative relazioni di talune tipologie di imprese, recante modifica della direttiva 2006/43/CE del Parlamento europeo e del Consiglio e abrogazione delle direttive 78/660/CEE e 83/349/CEE del Consiglio (GU L 182 del 29.6.2013, pag. 19).</w:t>
      </w:r>
    </w:p>
  </w:footnote>
  <w:footnote w:id="3">
    <w:p w14:paraId="41D63525" w14:textId="74152E41" w:rsidR="00C04D6C" w:rsidRPr="00DE7904" w:rsidRDefault="00C04D6C" w:rsidP="00C04D6C">
      <w:pPr>
        <w:pStyle w:val="FootnoteText"/>
        <w:rPr>
          <w:rFonts w:cstheme="minorHAnsi"/>
        </w:rPr>
      </w:pPr>
      <w:r w:rsidRPr="00DE7904">
        <w:rPr>
          <w:rStyle w:val="FootnoteReference"/>
          <w:rFonts w:cstheme="minorHAnsi"/>
        </w:rPr>
        <w:footnoteRef/>
      </w:r>
      <w:r w:rsidRPr="00DE7904">
        <w:t xml:space="preserve"> </w:t>
      </w:r>
      <w:r w:rsidRPr="00DE7904">
        <w:tab/>
        <w:t>Regolamento (CE) n. 1606/2002 del Parlamento europeo e del Consiglio, del 19 luglio 2002, relativo all</w:t>
      </w:r>
      <w:r w:rsidR="00B96C44" w:rsidRPr="00DE7904">
        <w:t>'</w:t>
      </w:r>
      <w:r w:rsidRPr="00DE7904">
        <w:t>applicazione di principi contabili internazionali (GU L 243 dell</w:t>
      </w:r>
      <w:r w:rsidR="00B96C44" w:rsidRPr="00DE7904">
        <w:t>'</w:t>
      </w:r>
      <w:r w:rsidRPr="00DE7904">
        <w:t>11.9.2002, pag. 1).</w:t>
      </w:r>
    </w:p>
  </w:footnote>
  <w:footnote w:id="4">
    <w:p w14:paraId="51C1A083" w14:textId="14C67C06" w:rsidR="00C04D6C" w:rsidRPr="00DE7904" w:rsidRDefault="00C04D6C" w:rsidP="00C04D6C">
      <w:pPr>
        <w:pStyle w:val="FootnoteText"/>
        <w:rPr>
          <w:rFonts w:cstheme="minorHAnsi"/>
        </w:rPr>
      </w:pPr>
      <w:r w:rsidRPr="00DE7904">
        <w:rPr>
          <w:rStyle w:val="FootnoteReference"/>
          <w:rFonts w:cstheme="minorHAnsi"/>
        </w:rPr>
        <w:footnoteRef/>
      </w:r>
      <w:r w:rsidR="002F74D1" w:rsidRPr="00DE7904">
        <w:tab/>
      </w:r>
      <w:r w:rsidRPr="00DE7904">
        <w:t>Direttiva 86/635/CEE del Consiglio, dell</w:t>
      </w:r>
      <w:r w:rsidR="00B96C44" w:rsidRPr="00DE7904">
        <w:t>'</w:t>
      </w:r>
      <w:r w:rsidRPr="00DE7904">
        <w:t>8 dicembre 1986, relativa ai conti annuali e ai conti consolidati delle banche e degli altri istituti finanziari (GU L 372 del 31.12.1986, pag. 1).</w:t>
      </w:r>
    </w:p>
  </w:footnote>
  <w:footnote w:id="5">
    <w:p w14:paraId="0C3793CA" w14:textId="77777777" w:rsidR="00C04D6C" w:rsidRPr="00DE7904" w:rsidRDefault="00C04D6C" w:rsidP="00C04D6C">
      <w:pPr>
        <w:pStyle w:val="FootnoteText"/>
        <w:rPr>
          <w:rFonts w:cstheme="minorHAnsi"/>
        </w:rPr>
      </w:pPr>
      <w:r w:rsidRPr="00DE7904">
        <w:rPr>
          <w:rStyle w:val="FootnoteReference"/>
          <w:rFonts w:cstheme="minorHAnsi"/>
        </w:rPr>
        <w:footnoteRef/>
      </w:r>
      <w:r w:rsidRPr="00DE7904">
        <w:t xml:space="preserve"> </w:t>
      </w:r>
      <w:r w:rsidRPr="00DE7904">
        <w:tab/>
        <w:t>Regolamento delegato (UE) n. 183/2014 della Commissione, del 20 dicembre 2013, che integra il regolamento (UE) n. 575/2013 del Parlamento europeo e del Consiglio relativo ai requisiti prudenziali per gli enti creditizi e le imprese di investimento, per quanto riguarda le norme tecniche di regolamentazione che specificano le modalità di calcolo delle rettifiche di valore su crediti specifiche e generiche (GU L 57 del 27.2.2014, pag. 3).</w:t>
      </w:r>
    </w:p>
  </w:footnote>
  <w:footnote w:id="6">
    <w:p w14:paraId="4B2D69D3" w14:textId="1073BC3F" w:rsidR="00C04D6C" w:rsidRPr="00222AAB" w:rsidRDefault="00C04D6C" w:rsidP="00C04D6C">
      <w:pPr>
        <w:pStyle w:val="FootnoteText"/>
        <w:rPr>
          <w:rFonts w:cstheme="minorHAnsi"/>
        </w:rPr>
      </w:pPr>
      <w:r w:rsidRPr="00DE7904">
        <w:rPr>
          <w:rStyle w:val="FootnoteReference"/>
          <w:rFonts w:cstheme="minorHAnsi"/>
        </w:rPr>
        <w:footnoteRef/>
      </w:r>
      <w:r w:rsidRPr="00DE7904">
        <w:t xml:space="preserve"> </w:t>
      </w:r>
      <w:r w:rsidRPr="00DE7904">
        <w:tab/>
        <w:t>Regolamento delegato (UE) 2016/101 della Commissione, del 26 ottobre 2015, che integra il regolamento (UE) n. 575/2013 del Parlamento europeo e del Consiglio per quanto riguarda le norme tecniche di regolamentazione per la valutazione prudente a norma dell</w:t>
      </w:r>
      <w:r w:rsidR="00B96C44" w:rsidRPr="00DE7904">
        <w:t>'</w:t>
      </w:r>
      <w:r w:rsidRPr="00DE7904">
        <w:t>articolo 105, paragrafo 14 (GU L 21 del 28.1.2016, pag. 54).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50878" w14:textId="4C534AD7" w:rsidR="009F69A4" w:rsidRDefault="009F69A4">
    <w:pPr>
      <w:pStyle w:val="Header"/>
    </w:pPr>
    <w:r>
      <w:rPr>
        <w:noProof/>
      </w:rPr>
      <mc:AlternateContent>
        <mc:Choice Requires="wps">
          <w:drawing>
            <wp:anchor distT="0" distB="0" distL="0" distR="0" simplePos="0" relativeHeight="251659264" behindDoc="0" locked="0" layoutInCell="1" allowOverlap="1" wp14:anchorId="326B05EE" wp14:editId="25E38092">
              <wp:simplePos x="635" y="635"/>
              <wp:positionH relativeFrom="page">
                <wp:align>left</wp:align>
              </wp:positionH>
              <wp:positionV relativeFrom="page">
                <wp:align>top</wp:align>
              </wp:positionV>
              <wp:extent cx="1273175" cy="376555"/>
              <wp:effectExtent l="0" t="0" r="3175" b="4445"/>
              <wp:wrapNone/>
              <wp:docPr id="1983981750" name="Text Box 2"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0DA3FFD" w14:textId="4EFF7AAB" w:rsidR="009F69A4" w:rsidRPr="009F69A4" w:rsidRDefault="009F69A4" w:rsidP="009F69A4">
                          <w:pPr>
                            <w:rPr>
                              <w:rFonts w:ascii="Calibri" w:eastAsia="Calibri" w:hAnsi="Calibri" w:cs="Calibri"/>
                              <w:noProof/>
                              <w:color w:val="000000"/>
                              <w:sz w:val="24"/>
                            </w:rPr>
                          </w:pPr>
                          <w:r>
                            <w:rPr>
                              <w:rFonts w:ascii="Calibri" w:hAnsi="Calibri"/>
                              <w:color w:val="000000"/>
                              <w:sz w:val="24"/>
                            </w:rPr>
                            <w:t>Per l</w:t>
                          </w:r>
                          <w:r w:rsidR="00B96C44">
                            <w:rPr>
                              <w:rFonts w:ascii="Calibri" w:hAnsi="Calibri"/>
                              <w:color w:val="000000"/>
                              <w:sz w:val="24"/>
                            </w:rPr>
                            <w:t>'</w:t>
                          </w:r>
                          <w:r>
                            <w:rPr>
                              <w:rFonts w:ascii="Calibri" w:hAnsi="Calibri"/>
                              <w:color w:val="000000"/>
                              <w:sz w:val="24"/>
                            </w:rPr>
                            <w:t>uso ordinario dell</w:t>
                          </w:r>
                          <w:r w:rsidR="00B96C44">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26B05EE" id="_x0000_t202" coordsize="21600,21600" o:spt="202" path="m,l,21600r21600,l21600,xe">
              <v:stroke joinstyle="miter"/>
              <v:path gradientshapeok="t" o:connecttype="rect"/>
            </v:shapetype>
            <v:shape id="Text Box 2" o:spid="_x0000_s1026" type="#_x0000_t202" alt="Per l'uso ordinario dell'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60DA3FFD" w14:textId="4EFF7AAB" w:rsidR="009F69A4" w:rsidRPr="009F69A4" w:rsidRDefault="009F69A4" w:rsidP="009F69A4">
                    <w:pPr>
                      <w:rPr>
                        <w:rFonts w:ascii="Calibri" w:eastAsia="Calibri" w:hAnsi="Calibri" w:cs="Calibri"/>
                        <w:noProof/>
                        <w:color w:val="000000"/>
                        <w:sz w:val="24"/>
                      </w:rPr>
                    </w:pPr>
                    <w:r>
                      <w:rPr>
                        <w:rFonts w:ascii="Calibri" w:hAnsi="Calibri"/>
                        <w:color w:val="000000"/>
                        <w:sz w:val="24"/>
                      </w:rPr>
                      <w:t>Per l</w:t>
                    </w:r>
                    <w:r w:rsidR="00B96C44">
                      <w:rPr>
                        <w:rFonts w:ascii="Calibri" w:hAnsi="Calibri"/>
                        <w:color w:val="000000"/>
                        <w:sz w:val="24"/>
                      </w:rPr>
                      <w:t>'</w:t>
                    </w:r>
                    <w:r>
                      <w:rPr>
                        <w:rFonts w:ascii="Calibri" w:hAnsi="Calibri"/>
                        <w:color w:val="000000"/>
                        <w:sz w:val="24"/>
                      </w:rPr>
                      <w:t>uso ordinario dell</w:t>
                    </w:r>
                    <w:r w:rsidR="00B96C44">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0C0B0" w14:textId="509F1CE8" w:rsidR="009F69A4" w:rsidRDefault="009F69A4">
    <w:pPr>
      <w:pStyle w:val="Header"/>
    </w:pPr>
    <w:r>
      <w:rPr>
        <w:noProof/>
      </w:rPr>
      <mc:AlternateContent>
        <mc:Choice Requires="wps">
          <w:drawing>
            <wp:anchor distT="0" distB="0" distL="0" distR="0" simplePos="0" relativeHeight="251660288" behindDoc="0" locked="0" layoutInCell="1" allowOverlap="1" wp14:anchorId="0324C2DB" wp14:editId="2FC146FF">
              <wp:simplePos x="914400" y="447675"/>
              <wp:positionH relativeFrom="page">
                <wp:align>left</wp:align>
              </wp:positionH>
              <wp:positionV relativeFrom="page">
                <wp:align>top</wp:align>
              </wp:positionV>
              <wp:extent cx="1273175" cy="376555"/>
              <wp:effectExtent l="0" t="0" r="3175" b="4445"/>
              <wp:wrapNone/>
              <wp:docPr id="1512159657" name="Text Box 3"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F70198A" w14:textId="4CA44B1C" w:rsidR="009F69A4" w:rsidRPr="009F69A4" w:rsidRDefault="009F69A4" w:rsidP="009F69A4">
                          <w:pPr>
                            <w:rPr>
                              <w:rFonts w:ascii="Calibri" w:eastAsia="Calibri" w:hAnsi="Calibri" w:cs="Calibri"/>
                              <w:noProof/>
                              <w:color w:val="000000"/>
                              <w:sz w:val="24"/>
                            </w:rPr>
                          </w:pPr>
                          <w:r>
                            <w:rPr>
                              <w:rFonts w:ascii="Calibri" w:hAnsi="Calibri"/>
                              <w:color w:val="000000"/>
                              <w:sz w:val="24"/>
                            </w:rPr>
                            <w:t>Per l</w:t>
                          </w:r>
                          <w:r w:rsidR="00B96C44">
                            <w:rPr>
                              <w:rFonts w:ascii="Calibri" w:hAnsi="Calibri"/>
                              <w:color w:val="000000"/>
                              <w:sz w:val="24"/>
                            </w:rPr>
                            <w:t>'</w:t>
                          </w:r>
                          <w:r>
                            <w:rPr>
                              <w:rFonts w:ascii="Calibri" w:hAnsi="Calibri"/>
                              <w:color w:val="000000"/>
                              <w:sz w:val="24"/>
                            </w:rPr>
                            <w:t>uso ordinario dell</w:t>
                          </w:r>
                          <w:r w:rsidR="00B96C44">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324C2DB" id="_x0000_t202" coordsize="21600,21600" o:spt="202" path="m,l,21600r21600,l21600,xe">
              <v:stroke joinstyle="miter"/>
              <v:path gradientshapeok="t" o:connecttype="rect"/>
            </v:shapetype>
            <v:shape id="Text Box 3" o:spid="_x0000_s1027" type="#_x0000_t202" alt="Per l'uso ordinario dell'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6F70198A" w14:textId="4CA44B1C" w:rsidR="009F69A4" w:rsidRPr="009F69A4" w:rsidRDefault="009F69A4" w:rsidP="009F69A4">
                    <w:pPr>
                      <w:rPr>
                        <w:rFonts w:ascii="Calibri" w:eastAsia="Calibri" w:hAnsi="Calibri" w:cs="Calibri"/>
                        <w:noProof/>
                        <w:color w:val="000000"/>
                        <w:sz w:val="24"/>
                      </w:rPr>
                    </w:pPr>
                    <w:r>
                      <w:rPr>
                        <w:rFonts w:ascii="Calibri" w:hAnsi="Calibri"/>
                        <w:color w:val="000000"/>
                        <w:sz w:val="24"/>
                      </w:rPr>
                      <w:t>Per l</w:t>
                    </w:r>
                    <w:r w:rsidR="00B96C44">
                      <w:rPr>
                        <w:rFonts w:ascii="Calibri" w:hAnsi="Calibri"/>
                        <w:color w:val="000000"/>
                        <w:sz w:val="24"/>
                      </w:rPr>
                      <w:t>'</w:t>
                    </w:r>
                    <w:r>
                      <w:rPr>
                        <w:rFonts w:ascii="Calibri" w:hAnsi="Calibri"/>
                        <w:color w:val="000000"/>
                        <w:sz w:val="24"/>
                      </w:rPr>
                      <w:t>uso ordinario dell</w:t>
                    </w:r>
                    <w:r w:rsidR="00B96C44">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CADF6" w14:textId="29E06D7A" w:rsidR="009F69A4" w:rsidRDefault="009F69A4">
    <w:pPr>
      <w:pStyle w:val="Header"/>
    </w:pPr>
    <w:r>
      <w:rPr>
        <w:noProof/>
      </w:rPr>
      <mc:AlternateContent>
        <mc:Choice Requires="wps">
          <w:drawing>
            <wp:anchor distT="0" distB="0" distL="0" distR="0" simplePos="0" relativeHeight="251658240" behindDoc="0" locked="0" layoutInCell="1" allowOverlap="1" wp14:anchorId="21D4B697" wp14:editId="42A7C45A">
              <wp:simplePos x="635" y="635"/>
              <wp:positionH relativeFrom="page">
                <wp:align>left</wp:align>
              </wp:positionH>
              <wp:positionV relativeFrom="page">
                <wp:align>top</wp:align>
              </wp:positionV>
              <wp:extent cx="1273175" cy="376555"/>
              <wp:effectExtent l="0" t="0" r="3175" b="4445"/>
              <wp:wrapNone/>
              <wp:docPr id="1044836452" name="Text Box 1"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728CF09" w14:textId="40F411FA" w:rsidR="009F69A4" w:rsidRPr="009F69A4" w:rsidRDefault="009F69A4" w:rsidP="009F69A4">
                          <w:pPr>
                            <w:rPr>
                              <w:rFonts w:ascii="Calibri" w:eastAsia="Calibri" w:hAnsi="Calibri" w:cs="Calibri"/>
                              <w:noProof/>
                              <w:color w:val="000000"/>
                              <w:sz w:val="24"/>
                            </w:rPr>
                          </w:pPr>
                          <w:r>
                            <w:rPr>
                              <w:rFonts w:ascii="Calibri" w:hAnsi="Calibri"/>
                              <w:color w:val="000000"/>
                              <w:sz w:val="24"/>
                            </w:rPr>
                            <w:t>Per l</w:t>
                          </w:r>
                          <w:r w:rsidR="00B96C44">
                            <w:rPr>
                              <w:rFonts w:ascii="Calibri" w:hAnsi="Calibri"/>
                              <w:color w:val="000000"/>
                              <w:sz w:val="24"/>
                            </w:rPr>
                            <w:t>'</w:t>
                          </w:r>
                          <w:r>
                            <w:rPr>
                              <w:rFonts w:ascii="Calibri" w:hAnsi="Calibri"/>
                              <w:color w:val="000000"/>
                              <w:sz w:val="24"/>
                            </w:rPr>
                            <w:t>uso ordinario dell</w:t>
                          </w:r>
                          <w:r w:rsidR="00B96C44">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1D4B697" id="_x0000_t202" coordsize="21600,21600" o:spt="202" path="m,l,21600r21600,l21600,xe">
              <v:stroke joinstyle="miter"/>
              <v:path gradientshapeok="t" o:connecttype="rect"/>
            </v:shapetype>
            <v:shape id="Text Box 1" o:spid="_x0000_s1028" type="#_x0000_t202" alt="Per l'uso ordinario dell'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1728CF09" w14:textId="40F411FA" w:rsidR="009F69A4" w:rsidRPr="009F69A4" w:rsidRDefault="009F69A4" w:rsidP="009F69A4">
                    <w:pPr>
                      <w:rPr>
                        <w:rFonts w:ascii="Calibri" w:eastAsia="Calibri" w:hAnsi="Calibri" w:cs="Calibri"/>
                        <w:noProof/>
                        <w:color w:val="000000"/>
                        <w:sz w:val="24"/>
                      </w:rPr>
                    </w:pPr>
                    <w:r>
                      <w:rPr>
                        <w:rFonts w:ascii="Calibri" w:hAnsi="Calibri"/>
                        <w:color w:val="000000"/>
                        <w:sz w:val="24"/>
                      </w:rPr>
                      <w:t>Per l</w:t>
                    </w:r>
                    <w:r w:rsidR="00B96C44">
                      <w:rPr>
                        <w:rFonts w:ascii="Calibri" w:hAnsi="Calibri"/>
                        <w:color w:val="000000"/>
                        <w:sz w:val="24"/>
                      </w:rPr>
                      <w:t>'</w:t>
                    </w:r>
                    <w:r>
                      <w:rPr>
                        <w:rFonts w:ascii="Calibri" w:hAnsi="Calibri"/>
                        <w:color w:val="000000"/>
                        <w:sz w:val="24"/>
                      </w:rPr>
                      <w:t>uso ordinario dell</w:t>
                    </w:r>
                    <w:r w:rsidR="00B96C44">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488596300">
    <w:abstractNumId w:val="0"/>
  </w:num>
  <w:num w:numId="2" w16cid:durableId="14904438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it-IT"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330FC"/>
    <w:rsid w:val="000223B3"/>
    <w:rsid w:val="002C7922"/>
    <w:rsid w:val="002F74D1"/>
    <w:rsid w:val="003330FC"/>
    <w:rsid w:val="004E3F4D"/>
    <w:rsid w:val="005B3D23"/>
    <w:rsid w:val="009F69A4"/>
    <w:rsid w:val="00AF0EB9"/>
    <w:rsid w:val="00B96C44"/>
    <w:rsid w:val="00C04D6C"/>
    <w:rsid w:val="00DE7904"/>
    <w:rsid w:val="00ED3B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A5DD"/>
  <w15:chartTrackingRefBased/>
  <w15:docId w15:val="{CFE64EB4-385B-4000-BE3C-E0F42091D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D6C"/>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04D6C"/>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C04D6C"/>
    <w:rPr>
      <w:rFonts w:eastAsiaTheme="minorEastAsia"/>
      <w:sz w:val="18"/>
      <w:szCs w:val="18"/>
      <w:lang w:val="it-I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04D6C"/>
    <w:rPr>
      <w:rFonts w:asciiTheme="minorHAnsi" w:hAnsiTheme="minorHAnsi"/>
      <w:sz w:val="22"/>
      <w:szCs w:val="18"/>
      <w:vertAlign w:val="superscript"/>
    </w:rPr>
  </w:style>
  <w:style w:type="character" w:styleId="Hyperlink">
    <w:name w:val="Hyperlink"/>
    <w:basedOn w:val="DefaultParagraphFont"/>
    <w:uiPriority w:val="99"/>
    <w:rsid w:val="00C04D6C"/>
    <w:rPr>
      <w:color w:val="0563C1" w:themeColor="hyperlink"/>
      <w:u w:val="single"/>
    </w:rPr>
  </w:style>
  <w:style w:type="paragraph" w:customStyle="1" w:styleId="Default">
    <w:name w:val="Default"/>
    <w:rsid w:val="00C04D6C"/>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C04D6C"/>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C04D6C"/>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C04D6C"/>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C04D6C"/>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C04D6C"/>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04D6C"/>
    <w:rPr>
      <w:rFonts w:ascii="Arial" w:eastAsia="MS Mincho" w:hAnsi="Arial" w:cs="Times New Roman"/>
      <w:b/>
      <w:noProof/>
      <w:szCs w:val="20"/>
    </w:rPr>
  </w:style>
  <w:style w:type="character" w:customStyle="1" w:styleId="InstructionsTabelleberschrift">
    <w:name w:val="Instructions Tabelle Überschrift"/>
    <w:qFormat/>
    <w:rsid w:val="00C04D6C"/>
    <w:rPr>
      <w:rFonts w:ascii="Verdana" w:hAnsi="Verdana" w:cs="Times New Roman"/>
      <w:b/>
      <w:bCs/>
      <w:sz w:val="20"/>
      <w:u w:val="single"/>
    </w:rPr>
  </w:style>
  <w:style w:type="paragraph" w:styleId="Header">
    <w:name w:val="header"/>
    <w:basedOn w:val="Normal"/>
    <w:link w:val="HeaderChar"/>
    <w:uiPriority w:val="99"/>
    <w:unhideWhenUsed/>
    <w:rsid w:val="002C7922"/>
    <w:pPr>
      <w:tabs>
        <w:tab w:val="center" w:pos="4513"/>
        <w:tab w:val="right" w:pos="9026"/>
      </w:tabs>
    </w:pPr>
  </w:style>
  <w:style w:type="character" w:customStyle="1" w:styleId="HeaderChar">
    <w:name w:val="Header Char"/>
    <w:basedOn w:val="DefaultParagraphFont"/>
    <w:link w:val="Header"/>
    <w:uiPriority w:val="99"/>
    <w:rsid w:val="002C7922"/>
    <w:rPr>
      <w:rFonts w:eastAsiaTheme="minorEastAsia"/>
      <w:szCs w:val="24"/>
    </w:rPr>
  </w:style>
  <w:style w:type="paragraph" w:styleId="Footer">
    <w:name w:val="footer"/>
    <w:basedOn w:val="Normal"/>
    <w:link w:val="FooterChar"/>
    <w:uiPriority w:val="99"/>
    <w:unhideWhenUsed/>
    <w:rsid w:val="002C7922"/>
    <w:pPr>
      <w:tabs>
        <w:tab w:val="center" w:pos="4513"/>
        <w:tab w:val="right" w:pos="9026"/>
      </w:tabs>
    </w:pPr>
  </w:style>
  <w:style w:type="character" w:customStyle="1" w:styleId="FooterChar">
    <w:name w:val="Footer Char"/>
    <w:basedOn w:val="DefaultParagraphFont"/>
    <w:link w:val="Footer"/>
    <w:uiPriority w:val="99"/>
    <w:rsid w:val="002C7922"/>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IT/TXT/?uri=OJ:L_202401623" TargetMode="External"/><Relationship Id="rId1" Type="http://schemas.openxmlformats.org/officeDocument/2006/relationships/hyperlink" Target="https://eur-lex.europa.eu/legal-content/I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1C0CBD-5524-4C05-B604-4B23F49EA1AB}">
  <ds:schemaRefs>
    <ds:schemaRef ds:uri="http://schemas.openxmlformats.org/officeDocument/2006/bibliography"/>
  </ds:schemaRefs>
</ds:datastoreItem>
</file>

<file path=customXml/itemProps2.xml><?xml version="1.0" encoding="utf-8"?>
<ds:datastoreItem xmlns:ds="http://schemas.openxmlformats.org/officeDocument/2006/customXml" ds:itemID="{E2177D18-4599-47B3-9EEB-CA492A49B136}"/>
</file>

<file path=customXml/itemProps3.xml><?xml version="1.0" encoding="utf-8"?>
<ds:datastoreItem xmlns:ds="http://schemas.openxmlformats.org/officeDocument/2006/customXml" ds:itemID="{E0F30A5E-E475-49A3-9003-F2781979BC9C}"/>
</file>

<file path=customXml/itemProps4.xml><?xml version="1.0" encoding="utf-8"?>
<ds:datastoreItem xmlns:ds="http://schemas.openxmlformats.org/officeDocument/2006/customXml" ds:itemID="{0174EB0E-37F9-4E02-BD5F-4A80335851E1}"/>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21</TotalTime>
  <Pages>12</Pages>
  <Words>4458</Words>
  <Characters>23766</Characters>
  <Application>Microsoft Office Word</Application>
  <DocSecurity>0</DocSecurity>
  <Lines>579</Lines>
  <Paragraphs>310</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27914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ROMITI Anna Rita (DGT)</cp:lastModifiedBy>
  <cp:revision>8</cp:revision>
  <dcterms:created xsi:type="dcterms:W3CDTF">2021-03-11T11:51:00Z</dcterms:created>
  <dcterms:modified xsi:type="dcterms:W3CDTF">2024-10-14T14:12:00Z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3e46f064,764128b6,5a21b9a9</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23d21fe0-0da5-41bf-af59-bd30b05c992a</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