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47B8" w14:textId="080B76AD" w:rsidR="00931C32" w:rsidRPr="00CB68C1" w:rsidRDefault="3E2CC804" w:rsidP="06503780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  <w:r w:rsidRPr="00CB68C1">
        <w:rPr>
          <w:rFonts w:ascii="Times New Roman" w:hAnsi="Times New Roman"/>
          <w:b/>
          <w:color w:val="auto"/>
          <w:sz w:val="24"/>
        </w:rPr>
        <w:t xml:space="preserve">ZAŁĄCZNIK XXX – Tabele i wzory na potrzeby ujawniania informacji dotyczących ryzyka rynkowego zgodnie z metodą standardową i wewnętrzną: instrukcje </w:t>
      </w:r>
    </w:p>
    <w:p w14:paraId="30BCD097" w14:textId="4E7CD1C5" w:rsidR="00931C32" w:rsidRPr="00CB68C1" w:rsidRDefault="3E2CC804" w:rsidP="5DD19F35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r w:rsidRPr="00CB68C1">
        <w:rPr>
          <w:rFonts w:ascii="Times New Roman" w:hAnsi="Times New Roman"/>
          <w:color w:val="auto"/>
          <w:sz w:val="24"/>
        </w:rPr>
        <w:t>W niniejszym załączniku zawarto instrukcje, które instytucje powinny stosować przy ujawnianiu informacji, o których mowa w art. 435, 445 i 455 rozporządzenia (UE) nr 575/2013</w:t>
      </w:r>
      <w:r w:rsidRPr="00CB68C1">
        <w:rPr>
          <w:rStyle w:val="FootnoteReference"/>
          <w:rFonts w:ascii="Times New Roman" w:hAnsi="Times New Roman" w:cs="Times New Roman"/>
          <w:color w:val="auto"/>
        </w:rPr>
        <w:footnoteReference w:id="2"/>
      </w:r>
      <w:r w:rsidRPr="00CB68C1">
        <w:rPr>
          <w:rFonts w:ascii="Times New Roman" w:hAnsi="Times New Roman"/>
          <w:color w:val="auto"/>
          <w:sz w:val="24"/>
        </w:rPr>
        <w:t xml:space="preserve"> („CRR”), w celu wypełnienia tabeli i wzorów na potrzeby ujawniania informacji dotyczących ryzyka rynkowego przedstawionych w załączniku XXIX do rozwiązań informatycznych EUNB. </w:t>
      </w:r>
    </w:p>
    <w:p w14:paraId="69DA8DE0" w14:textId="28E9261E" w:rsidR="00931C32" w:rsidRPr="00CB68C1" w:rsidRDefault="00931C32" w:rsidP="00931C32">
      <w:pPr>
        <w:spacing w:after="240"/>
        <w:jc w:val="both"/>
        <w:rPr>
          <w:rFonts w:ascii="Times New Roman" w:hAnsi="Times New Roman" w:cs="Times New Roman"/>
          <w:sz w:val="24"/>
        </w:rPr>
      </w:pPr>
      <w:r w:rsidRPr="00CB68C1">
        <w:rPr>
          <w:rFonts w:ascii="Times New Roman" w:hAnsi="Times New Roman"/>
          <w:b/>
          <w:sz w:val="24"/>
        </w:rPr>
        <w:t>Tabela EU MRA</w:t>
      </w:r>
      <w:r w:rsidR="00CB68C1" w:rsidRPr="00CB68C1">
        <w:rPr>
          <w:rFonts w:ascii="Times New Roman" w:hAnsi="Times New Roman"/>
          <w:sz w:val="24"/>
        </w:rPr>
        <w:t xml:space="preserve"> </w:t>
      </w:r>
      <w:r w:rsidRPr="00CB68C1">
        <w:rPr>
          <w:rFonts w:ascii="Times New Roman" w:hAnsi="Times New Roman"/>
          <w:b/>
          <w:sz w:val="24"/>
        </w:rPr>
        <w:t>– Wymogi dotyczące ujawniania informacji jakościowych na temat ryzyka rynkowego:</w:t>
      </w:r>
      <w:r w:rsidRPr="00CB68C1">
        <w:rPr>
          <w:rFonts w:ascii="Times New Roman" w:hAnsi="Times New Roman"/>
          <w:sz w:val="24"/>
        </w:rPr>
        <w:t xml:space="preserve"> pola na tekst o formacie dowolnym</w:t>
      </w:r>
    </w:p>
    <w:p w14:paraId="1B9BDBE7" w14:textId="621617DF" w:rsidR="00931C32" w:rsidRPr="00CB68C1" w:rsidRDefault="00931C32" w:rsidP="72461198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sz w:val="24"/>
        </w:rPr>
      </w:pPr>
      <w:r w:rsidRPr="00CB68C1">
        <w:rPr>
          <w:rFonts w:ascii="Times New Roman" w:hAnsi="Times New Roman"/>
          <w:color w:val="000000" w:themeColor="text1"/>
          <w:sz w:val="24"/>
        </w:rPr>
        <w:t>W celu wypełnienia tabeli EU MRA zamieszczonej w załączniku XXIX instytucje ujawniają informacje na temat ryzyka rynkowego, o których mowa w art. 435 ust. 1 lit. a)–d) rozporządzenia (UE) nr 575/2013, zgodnie z poniższymi instrukcjami zawartymi w niniejszym załączniku.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1C32" w:rsidRPr="00CB68C1" w14:paraId="4FA5DD43" w14:textId="77777777" w:rsidTr="72461198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79875" w14:textId="77777777" w:rsidR="00931C32" w:rsidRPr="00CB68C1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931C32" w:rsidRPr="00CB68C1" w14:paraId="0BB6A5B1" w14:textId="77777777" w:rsidTr="72461198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522B50" w14:textId="77777777" w:rsidR="00931C32" w:rsidRPr="00CB68C1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BF504D8" w14:textId="77777777" w:rsidR="00931C32" w:rsidRPr="00CB68C1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931C32" w:rsidRPr="00CB68C1" w14:paraId="75D64070" w14:textId="77777777" w:rsidTr="72461198">
        <w:trPr>
          <w:trHeight w:val="680"/>
        </w:trPr>
        <w:tc>
          <w:tcPr>
            <w:tcW w:w="1384" w:type="dxa"/>
          </w:tcPr>
          <w:p w14:paraId="5CBE7772" w14:textId="77777777" w:rsidR="00931C32" w:rsidRPr="00CB68C1" w:rsidRDefault="00931C32" w:rsidP="00DE090B">
            <w:pPr>
              <w:pStyle w:val="Applicationdirecte"/>
              <w:spacing w:before="0" w:after="240"/>
              <w:jc w:val="center"/>
            </w:pPr>
            <w:r w:rsidRPr="00CB68C1">
              <w:t>a)</w:t>
            </w:r>
          </w:p>
        </w:tc>
        <w:tc>
          <w:tcPr>
            <w:tcW w:w="7655" w:type="dxa"/>
            <w:vAlign w:val="center"/>
          </w:tcPr>
          <w:p w14:paraId="0ECBECD6" w14:textId="59A2C39A" w:rsidR="00931C32" w:rsidRPr="00CB68C1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Przy ujawnianiu informacji, o których mowa w art. 435 ust. 1 lit. a) i d) rozporządzenia (UE) nr 575/2013, dotyczących celów i strategii w zakresie zarządzania ryzykiem rynkowym, instytucje uwzględniają:</w:t>
            </w:r>
          </w:p>
          <w:p w14:paraId="2954CCD3" w14:textId="77777777" w:rsidR="00931C32" w:rsidRPr="00CB68C1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8C1">
              <w:rPr>
                <w:rFonts w:ascii="Times New Roman" w:hAnsi="Times New Roman"/>
                <w:sz w:val="24"/>
              </w:rPr>
              <w:t xml:space="preserve">objaśnienie celów strategicznych zarządu instytucji w zakresie prowadzenia działalności handlowej; </w:t>
            </w:r>
          </w:p>
          <w:p w14:paraId="28C8AA1E" w14:textId="2D7A10DE" w:rsidR="00DE4020" w:rsidRPr="00CB68C1" w:rsidRDefault="00EC10EF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8C1">
              <w:rPr>
                <w:rFonts w:ascii="Times New Roman" w:hAnsi="Times New Roman"/>
                <w:sz w:val="24"/>
              </w:rPr>
              <w:t>opis zasad, o których mowa w art. 104 ust. 1, dotyczących określania, które pozycje należy uwzględnić w portfelu handlowym, w tym określenie przeterminowanych pozycji i polityki zarządzania ryzykiem do celów monitorowania tych pozycji. Ponadto instytucje opisują przypadki, w których instrumenty są przypisane do portfela handlowego lub bankowego w sposób sprzeczny z ogólnymi założeniami dotyczącymi ich kategorii instrumentów, w tym z ich wartością rynkową i wartością godziwą w takich przypadkach, a także wszelkie przeklasyfikowania z jednego portfela do drugiego od ostatniego okresu sprawozdawczego, w tym wartość godziwą takich przypadków i powód przeklasyfikowania;</w:t>
            </w:r>
          </w:p>
          <w:p w14:paraId="20F3C237" w14:textId="77E3E75D" w:rsidR="00795618" w:rsidRPr="00CB68C1" w:rsidRDefault="002C5234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8C1">
              <w:rPr>
                <w:rFonts w:ascii="Times New Roman" w:hAnsi="Times New Roman"/>
                <w:sz w:val="24"/>
              </w:rPr>
              <w:t>opis działań w zakresie wewnętrznych transferów ryzyka, w tym rodzaje jednostek ds. wewnętrznych transferów ryzyka;</w:t>
            </w:r>
          </w:p>
          <w:p w14:paraId="17B1142E" w14:textId="77777777" w:rsidR="00931C32" w:rsidRPr="00CB68C1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8C1">
              <w:rPr>
                <w:rFonts w:ascii="Times New Roman" w:hAnsi="Times New Roman"/>
                <w:sz w:val="24"/>
              </w:rPr>
              <w:t>procesy stosowane w celu identyfikowania, pomiaru, monitorowania i kontrolowania ryzyka rynkowego instytucji;</w:t>
            </w:r>
          </w:p>
          <w:p w14:paraId="216165DD" w14:textId="77777777" w:rsidR="00931C32" w:rsidRPr="00CB68C1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8C1">
              <w:rPr>
                <w:rFonts w:ascii="Times New Roman" w:hAnsi="Times New Roman"/>
                <w:sz w:val="24"/>
              </w:rPr>
              <w:lastRenderedPageBreak/>
              <w:t>strategie w zakresie zabezpieczenia i ograniczenia ryzyka;</w:t>
            </w:r>
          </w:p>
          <w:p w14:paraId="5B43C932" w14:textId="77777777" w:rsidR="00931C32" w:rsidRPr="00CB68C1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8C1">
              <w:rPr>
                <w:rFonts w:ascii="Times New Roman" w:hAnsi="Times New Roman"/>
                <w:sz w:val="24"/>
              </w:rPr>
              <w:t>strategie i procesy monitorowania stałej skuteczności zabezpieczeń.</w:t>
            </w:r>
          </w:p>
        </w:tc>
      </w:tr>
      <w:tr w:rsidR="00931C32" w:rsidRPr="00CB68C1" w14:paraId="2F078747" w14:textId="77777777" w:rsidTr="72461198">
        <w:trPr>
          <w:trHeight w:val="680"/>
        </w:trPr>
        <w:tc>
          <w:tcPr>
            <w:tcW w:w="1384" w:type="dxa"/>
          </w:tcPr>
          <w:p w14:paraId="3715BE68" w14:textId="77777777" w:rsidR="00931C32" w:rsidRPr="00CB68C1" w:rsidRDefault="00931C32" w:rsidP="00DE090B">
            <w:pPr>
              <w:pStyle w:val="Applicationdirecte"/>
              <w:spacing w:before="0" w:after="240"/>
              <w:jc w:val="center"/>
            </w:pPr>
            <w:r w:rsidRPr="00CB68C1">
              <w:lastRenderedPageBreak/>
              <w:t>b)</w:t>
            </w:r>
          </w:p>
        </w:tc>
        <w:tc>
          <w:tcPr>
            <w:tcW w:w="7655" w:type="dxa"/>
          </w:tcPr>
          <w:p w14:paraId="57B23AAF" w14:textId="53C0A959" w:rsidR="00931C32" w:rsidRPr="00CB68C1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Przy ujawnianiu informacji, o których mowa w art. 435 ust. 1 lit. b) rozporządzenia (UE) nr 575/2013, dotyczących struktury i organizacji funkcji zarządzania ryzykiem rynkowym, instytucje uwzględniają:</w:t>
            </w:r>
          </w:p>
          <w:p w14:paraId="15341445" w14:textId="0D70F6B3" w:rsidR="00931C32" w:rsidRPr="00CB68C1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68C1">
              <w:rPr>
                <w:rFonts w:ascii="Times New Roman" w:hAnsi="Times New Roman"/>
                <w:sz w:val="24"/>
              </w:rPr>
              <w:t xml:space="preserve">opis struktury zarządzania ryzykiem rynkowym ustanowionej w celu wdrażania strategii i procesów instytucji omówionych w wierszu a) powyżej; </w:t>
            </w:r>
          </w:p>
          <w:p w14:paraId="10C87729" w14:textId="77777777" w:rsidR="00931C32" w:rsidRPr="00CB68C1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68C1">
              <w:rPr>
                <w:rFonts w:ascii="Times New Roman" w:hAnsi="Times New Roman"/>
                <w:sz w:val="24"/>
              </w:rPr>
              <w:t xml:space="preserve">opis stosunków i mechanizmów komunikacji między poszczególnymi podmiotami biorącymi udział w procesie zarządzania ryzykiem rynkowym. </w:t>
            </w:r>
          </w:p>
        </w:tc>
      </w:tr>
      <w:tr w:rsidR="00931C32" w:rsidRPr="00CB68C1" w14:paraId="15179A4A" w14:textId="77777777" w:rsidTr="72461198">
        <w:trPr>
          <w:trHeight w:val="436"/>
        </w:trPr>
        <w:tc>
          <w:tcPr>
            <w:tcW w:w="1384" w:type="dxa"/>
          </w:tcPr>
          <w:p w14:paraId="0F95AF50" w14:textId="77777777" w:rsidR="00931C32" w:rsidRPr="00CB68C1" w:rsidRDefault="00931C32" w:rsidP="00DE090B">
            <w:pPr>
              <w:pStyle w:val="Applicationdirecte"/>
              <w:spacing w:before="0" w:after="240"/>
              <w:jc w:val="center"/>
            </w:pPr>
            <w:r w:rsidRPr="00CB68C1">
              <w:t>c)</w:t>
            </w:r>
          </w:p>
          <w:p w14:paraId="672A6659" w14:textId="77777777" w:rsidR="00931C32" w:rsidRPr="00CB68C1" w:rsidRDefault="00931C32" w:rsidP="00DE090B">
            <w:pPr>
              <w:pStyle w:val="Fait"/>
              <w:spacing w:before="0" w:after="240"/>
            </w:pPr>
          </w:p>
        </w:tc>
        <w:tc>
          <w:tcPr>
            <w:tcW w:w="7655" w:type="dxa"/>
          </w:tcPr>
          <w:p w14:paraId="1ADA7F58" w14:textId="27D05688" w:rsidR="00931C32" w:rsidRPr="00CB68C1" w:rsidRDefault="3E2CC804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 xml:space="preserve">Przy ujawnianiu informacji, o których mowa w art. 435 ust. 1 lit. c) rozporządzenia (UE) nr 575/2013, dotyczących zakresu i charakteru systemów raportowania i pomiaru ryzyka rynkowego, instytucje zamieszczają opis zakresu i charakteru zgłaszanych informacji na temat ryzyka rynkowego i systemów pomiaru tego ryzyka. </w:t>
            </w:r>
          </w:p>
        </w:tc>
      </w:tr>
      <w:tr w:rsidR="06503780" w:rsidRPr="00CB68C1" w14:paraId="5B327CF1" w14:textId="77777777" w:rsidTr="72461198">
        <w:trPr>
          <w:trHeight w:val="43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48C11C" w14:textId="4971874D" w:rsidR="06503780" w:rsidRPr="00CB68C1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EU d)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42D3ED" w14:textId="19D1B8F3" w:rsidR="06503780" w:rsidRPr="00CB68C1" w:rsidRDefault="5B873F98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Przy ujawnianiu informacji, o których mowa w art. 445 ust. 1 rozporządzenia (UE) nr 575/2013, dotyczących ogólnego przeglądu pozycji portfela handlowego, instytucje przedstawiają ogólny opis swoich pozycji portfela handlowego.</w:t>
            </w:r>
          </w:p>
        </w:tc>
      </w:tr>
    </w:tbl>
    <w:p w14:paraId="0A37501D" w14:textId="5B1DE2AB" w:rsidR="00931C32" w:rsidRPr="00CB68C1" w:rsidRDefault="00931C32" w:rsidP="06503780">
      <w:pPr>
        <w:pStyle w:val="Titlelevel2"/>
        <w:spacing w:before="0"/>
        <w:rPr>
          <w:rFonts w:ascii="Times New Roman" w:hAnsi="Times New Roman" w:cs="Times New Roman"/>
          <w:b/>
          <w:sz w:val="24"/>
        </w:rPr>
      </w:pPr>
    </w:p>
    <w:p w14:paraId="6A05A809" w14:textId="77777777" w:rsidR="00931C32" w:rsidRPr="00CB68C1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21FE8BB6" w14:textId="0765936F" w:rsidR="00931C32" w:rsidRPr="00CB68C1" w:rsidRDefault="4E51ABE0" w:rsidP="00DB0A49">
      <w:pPr>
        <w:spacing w:after="240"/>
        <w:rPr>
          <w:rFonts w:ascii="Times New Roman" w:eastAsia="Times New Roman" w:hAnsi="Times New Roman" w:cs="Times New Roman"/>
          <w:sz w:val="24"/>
        </w:rPr>
      </w:pPr>
      <w:r w:rsidRPr="00CB68C1">
        <w:rPr>
          <w:rFonts w:ascii="Times New Roman" w:hAnsi="Times New Roman"/>
          <w:b/>
          <w:sz w:val="24"/>
        </w:rPr>
        <w:t>Wzór EU MR1 – Ryzyko rynkowe według alternatywnej metody standardowej (ASA)</w:t>
      </w:r>
      <w:r w:rsidRPr="00CB68C1">
        <w:rPr>
          <w:rFonts w:ascii="Times New Roman" w:hAnsi="Times New Roman"/>
          <w:sz w:val="24"/>
        </w:rPr>
        <w:t>: format stały</w:t>
      </w:r>
    </w:p>
    <w:p w14:paraId="328A3EAE" w14:textId="50FF69DE" w:rsidR="00931C32" w:rsidRPr="00CB68C1" w:rsidRDefault="4E51ABE0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 w:rsidRPr="00CB68C1">
        <w:rPr>
          <w:rFonts w:ascii="Times New Roman" w:hAnsi="Times New Roman"/>
          <w:sz w:val="24"/>
        </w:rPr>
        <w:t>W celu wypełnienia wzoru EU MR1 zamieszczonego w załączniku XXIX instytucje ujawniają informacje, o których mowa w art. 445 rozporządzenia (UE) nr 575/2013, zgodnie z poniższymi instrukcjami zawartymi w niniejszym załączniku.</w:t>
      </w:r>
      <w:r w:rsidRPr="00CB68C1">
        <w:rPr>
          <w:rFonts w:ascii="Times New Roman" w:hAnsi="Times New Roman"/>
          <w:color w:val="000000" w:themeColor="text1"/>
          <w:sz w:val="24"/>
        </w:rPr>
        <w:t xml:space="preserve"> </w:t>
      </w:r>
      <w:r w:rsidRPr="00CB68C1">
        <w:rPr>
          <w:rFonts w:ascii="Times New Roman" w:hAnsi="Times New Roman"/>
          <w:color w:val="auto"/>
          <w:sz w:val="24"/>
        </w:rPr>
        <w:t>Instytucje nie uwzględniają w tym wzorze żadnych danych dotyczących swojej jednostki ds. wewnętrznych transferów ryzyka.</w:t>
      </w:r>
    </w:p>
    <w:tbl>
      <w:tblPr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170"/>
        <w:gridCol w:w="7245"/>
      </w:tblGrid>
      <w:tr w:rsidR="06503780" w:rsidRPr="00CB68C1" w14:paraId="369C907B" w14:textId="77777777" w:rsidTr="00DB0A49">
        <w:trPr>
          <w:trHeight w:val="300"/>
        </w:trPr>
        <w:tc>
          <w:tcPr>
            <w:tcW w:w="84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5856BA3" w14:textId="6D5ECF63" w:rsidR="06503780" w:rsidRPr="00CB68C1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6503780" w:rsidRPr="00CB68C1" w14:paraId="795949F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1A68A0C0" w14:textId="23544452" w:rsidR="06503780" w:rsidRPr="00CB68C1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6505A62" w14:textId="1D45DAD9" w:rsidR="06503780" w:rsidRPr="00CB68C1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6503780" w:rsidRPr="00CB68C1" w14:paraId="71E2347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7B57D3D" w14:textId="541004BD" w:rsidR="06503780" w:rsidRPr="00CB68C1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5989EB1" w14:textId="332222EF" w:rsidR="06503780" w:rsidRPr="00CB68C1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CB68C1">
              <w:rPr>
                <w:rFonts w:ascii="Times New Roman" w:hAnsi="Times New Roman"/>
                <w:b/>
                <w:sz w:val="24"/>
                <w:u w:val="single"/>
              </w:rPr>
              <w:t>Metoda oparta na wskaźnikach wrażliwości</w:t>
            </w:r>
            <w:r w:rsidRPr="00CB68C1">
              <w:rPr>
                <w:rFonts w:ascii="Times New Roman" w:hAnsi="Times New Roman"/>
                <w:sz w:val="24"/>
                <w:u w:val="single"/>
              </w:rPr>
              <w:t xml:space="preserve"> </w:t>
            </w:r>
          </w:p>
          <w:p w14:paraId="32BE5AB7" w14:textId="13D92956" w:rsidR="06503780" w:rsidRPr="00CB68C1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zgodnie z częścią trzecią tytuł IV rozdział 1a sekcja 2 rozporządzenia (UE) nr 575/2013.</w:t>
            </w:r>
          </w:p>
        </w:tc>
      </w:tr>
      <w:tr w:rsidR="06503780" w:rsidRPr="00CB68C1" w14:paraId="2A5FB34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ACAA6" w14:textId="4438CD41" w:rsidR="06503780" w:rsidRPr="00CB68C1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CA48DD" w14:textId="1A77007D" w:rsidR="06503780" w:rsidRPr="00CB68C1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Ryzyko ogólne stopy procentowej (GIRR)</w:t>
            </w:r>
          </w:p>
          <w:p w14:paraId="7CFD9A05" w14:textId="08877C85" w:rsidR="06503780" w:rsidRPr="00CB68C1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zgodnie z art. 325c ust. 2 lit. a) i art. 325d ust. 1 pkt (i) rozporządzenia (UE) nr 575/2013.</w:t>
            </w:r>
          </w:p>
        </w:tc>
      </w:tr>
      <w:tr w:rsidR="006852CB" w:rsidRPr="00CB68C1" w14:paraId="69667920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C1D211" w14:textId="22B10623" w:rsidR="006852CB" w:rsidRPr="00CB68C1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</w:rPr>
              <w:t>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623B38" w14:textId="77777777" w:rsidR="006852CB" w:rsidRPr="00CB68C1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Ryzyko cen akcji (EQU)</w:t>
            </w:r>
          </w:p>
          <w:p w14:paraId="7FA49EA1" w14:textId="72B40A8D" w:rsidR="006852CB" w:rsidRPr="00CB68C1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zgodnie z art. 325c ust. 2 lit. a) i art. 325d ust. 1 pkt (v) rozporządzenia (UE) nr 575/2013.</w:t>
            </w:r>
          </w:p>
        </w:tc>
      </w:tr>
      <w:tr w:rsidR="006852CB" w:rsidRPr="00CB68C1" w14:paraId="719DB443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6F2BD2" w14:textId="663EF07F" w:rsidR="006852CB" w:rsidRPr="00CB68C1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</w:rPr>
              <w:t>3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FF8925" w14:textId="77777777" w:rsidR="006852CB" w:rsidRPr="00CB68C1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Ryzyko cen towarów (COM)</w:t>
            </w:r>
          </w:p>
          <w:p w14:paraId="2EF1141F" w14:textId="6573588B" w:rsidR="006852CB" w:rsidRPr="00CB68C1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zgodnie z art. 325c ust. 2 lit. a) i art. 325d ust. 1 pkt (vi) rozporządzenia (UE) nr 575/2013.</w:t>
            </w:r>
          </w:p>
        </w:tc>
      </w:tr>
      <w:tr w:rsidR="006852CB" w:rsidRPr="00CB68C1" w14:paraId="0F63097B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A0CA9C" w14:textId="3D6ACB22" w:rsidR="006852CB" w:rsidRPr="00CB68C1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</w:rPr>
              <w:t>4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21571B" w14:textId="77777777" w:rsidR="006852CB" w:rsidRPr="00CB68C1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Ryzyko walutowe (FX)</w:t>
            </w:r>
          </w:p>
          <w:p w14:paraId="4E899697" w14:textId="1EDAE9C1" w:rsidR="006852CB" w:rsidRPr="00CB68C1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zgodnie z art. 325c ust. 2 lit. a) i art. 325d ust. 1 pkt (vii) rozporządzenia (UE) nr 575/2013.</w:t>
            </w:r>
          </w:p>
        </w:tc>
      </w:tr>
      <w:tr w:rsidR="06503780" w:rsidRPr="00CB68C1" w14:paraId="6069A77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1C4CC0" w14:textId="116256D7" w:rsidR="06503780" w:rsidRPr="00CB68C1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</w:rPr>
              <w:t>5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ADD606" w14:textId="28FE3969" w:rsidR="06503780" w:rsidRPr="00CB68C1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Ryzyko spreadu kredytowego pozycji niesekurytyzacyjnych (CSR)</w:t>
            </w:r>
          </w:p>
          <w:p w14:paraId="7FFBB47A" w14:textId="19FCC5B4" w:rsidR="06503780" w:rsidRPr="00CB68C1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zgodnie z art. 325c ust. 2 lit. a) i art. 325d ust. 1 pkt (ii) rozporządzenia (UE) nr 575/2013.</w:t>
            </w:r>
          </w:p>
        </w:tc>
      </w:tr>
      <w:tr w:rsidR="06503780" w:rsidRPr="00CB68C1" w14:paraId="05E22EA0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6D099A" w14:textId="2AA85B66" w:rsidR="06503780" w:rsidRPr="00CB68C1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</w:rPr>
              <w:t>6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E01FBC" w14:textId="0075C0D5" w:rsidR="06503780" w:rsidRPr="00CB68C1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Ryzyko spreadu kredytowego pozycji sekurytyzacyjnych niewłączonych do alternatywnego korelacyjnego portfela handlowego (non-ACTP CSR)</w:t>
            </w:r>
          </w:p>
          <w:p w14:paraId="7767EDBC" w14:textId="24BC8D91" w:rsidR="06503780" w:rsidRPr="00CB68C1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zgodnie z art. 325c ust. 2 lit. a) i art. 325d ust. 1 pkt (iii) rozporządzenia (UE) nr 575/2013.</w:t>
            </w:r>
          </w:p>
        </w:tc>
      </w:tr>
      <w:tr w:rsidR="06503780" w:rsidRPr="00CB68C1" w14:paraId="14D767E3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20E610" w14:textId="7B3DAB47" w:rsidR="06503780" w:rsidRPr="00CB68C1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</w:rPr>
              <w:t>7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A00A1D" w14:textId="07E0B969" w:rsidR="06503780" w:rsidRPr="00CB68C1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Ryzyko spreadu kredytowego pozycji sekurytyzacyjnych włączonych do alternatywnego korelacyjnego portfela handlowego (ACTP CSR)</w:t>
            </w:r>
          </w:p>
          <w:p w14:paraId="3E4A8A35" w14:textId="160B9A80" w:rsidR="06503780" w:rsidRPr="00CB68C1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zgodnie z art. 325c ust. 2 lit. a) i art. 325d ust. 1 pkt (iv) rozporządzenia (UE) nr 575/2013.</w:t>
            </w:r>
          </w:p>
        </w:tc>
      </w:tr>
      <w:tr w:rsidR="06503780" w:rsidRPr="00CB68C1" w14:paraId="5BB1038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22C0155" w14:textId="1C2CF576" w:rsidR="06503780" w:rsidRPr="00CB68C1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AC462EA" w14:textId="24FC6AB3" w:rsidR="06503780" w:rsidRPr="00CB68C1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CB68C1">
              <w:rPr>
                <w:rFonts w:ascii="Times New Roman" w:hAnsi="Times New Roman"/>
                <w:b/>
                <w:sz w:val="24"/>
                <w:u w:val="single"/>
              </w:rPr>
              <w:t>Ryzyko niewykonania zobowiązania</w:t>
            </w:r>
          </w:p>
          <w:p w14:paraId="50AC8B96" w14:textId="24D7EC82" w:rsidR="06503780" w:rsidRPr="00CB68C1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zgodnie z częścią trzecią tytuł IV rozdział 1a sekcja 5 rozporządzenia (UE) nr 575/2013.</w:t>
            </w:r>
          </w:p>
        </w:tc>
      </w:tr>
      <w:tr w:rsidR="06503780" w:rsidRPr="00CB68C1" w14:paraId="4CA77AC2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D9CDA3" w14:textId="20B6ABEB" w:rsidR="06503780" w:rsidRPr="00CB68C1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</w:rPr>
              <w:t>8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D3825E" w14:textId="1E8FC60A" w:rsidR="06503780" w:rsidRPr="00CB68C1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Pozycje niesekurytyzacyjne</w:t>
            </w:r>
          </w:p>
          <w:p w14:paraId="6E07A74F" w14:textId="60055B48" w:rsidR="06503780" w:rsidRPr="00CB68C1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  <w:sz w:val="24"/>
              </w:rPr>
              <w:t>zgodnie z art. 325c ust. 2 lit b) oraz częścią trzecią tytuł IV rozdział 1a sekcja 5 podsekcja 1 rozporządzenia (UE) nr 575/2013.</w:t>
            </w:r>
            <w:r w:rsidRPr="00CB68C1"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CB68C1" w14:paraId="7297D5C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54CE0F" w14:textId="0108E6B7" w:rsidR="06503780" w:rsidRPr="00CB68C1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</w:rPr>
              <w:t>9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034D48" w14:textId="567356EB" w:rsidR="06503780" w:rsidRPr="00CB68C1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Pozycje sekurytyzacyjne niewłączone do alternatywnego korelacyjnego portfela handlowego (non-ACTP)</w:t>
            </w:r>
          </w:p>
          <w:p w14:paraId="093A58C5" w14:textId="0BD66CFC" w:rsidR="06503780" w:rsidRPr="00CB68C1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  <w:sz w:val="24"/>
              </w:rPr>
              <w:lastRenderedPageBreak/>
              <w:t>zgodnie z art. 325c ust. 2 lit b) oraz częścią trzecią tytuł IV rozdział 1a sekcja 5 podsekcja 2 rozporządzenia (UE) nr 575/2013.</w:t>
            </w:r>
            <w:r w:rsidRPr="00CB68C1"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CB68C1" w14:paraId="7399949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60F427" w14:textId="2083466B" w:rsidR="06503780" w:rsidRPr="00CB68C1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50980D" w14:textId="2B90AE8D" w:rsidR="06503780" w:rsidRPr="00CB68C1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Pozycje sekurytyzacyjne włączone do alternatywnego korelacyjnego portfela handlowego (ACTP)</w:t>
            </w:r>
          </w:p>
          <w:p w14:paraId="4F126C34" w14:textId="2E83A436" w:rsidR="06503780" w:rsidRPr="00CB68C1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  <w:sz w:val="24"/>
              </w:rPr>
              <w:t>zgodnie z art. 325c ust. 2 lit b) oraz częścią trzecią tytuł IV rozdział 1a sekcja 5 podsekcja 3 rozporządzenia (UE) nr 575/2013.</w:t>
            </w:r>
            <w:r w:rsidRPr="00CB68C1"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CB68C1" w14:paraId="1A1B823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8B14961" w14:textId="055D18A0" w:rsidR="06503780" w:rsidRPr="00CB68C1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38DF7BF" w14:textId="7E1499C0" w:rsidR="06503780" w:rsidRPr="00CB68C1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CB68C1">
              <w:rPr>
                <w:rFonts w:ascii="Times New Roman" w:hAnsi="Times New Roman"/>
                <w:b/>
                <w:sz w:val="24"/>
                <w:u w:val="single"/>
              </w:rPr>
              <w:t>Ryzyko rezydualne</w:t>
            </w:r>
          </w:p>
          <w:p w14:paraId="3E3A6F03" w14:textId="754D8113" w:rsidR="06503780" w:rsidRPr="00CB68C1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Część trzecia tytuł IV rozdział 1a sekcja 4 rozporządzenia (UE) nr 575/2013.</w:t>
            </w:r>
          </w:p>
        </w:tc>
      </w:tr>
      <w:tr w:rsidR="06503780" w:rsidRPr="00CB68C1" w14:paraId="179BEFF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D2F5C6" w14:textId="1E18CC3B" w:rsidR="06503780" w:rsidRPr="00CB68C1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</w:rPr>
              <w:t>EU 11a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885E79" w14:textId="10B5A147" w:rsidR="06503780" w:rsidRPr="00CB68C1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Egzotyczne instrumenty bazowe</w:t>
            </w:r>
          </w:p>
          <w:p w14:paraId="7ED02FAC" w14:textId="7DFCBC6E" w:rsidR="06503780" w:rsidRPr="00CB68C1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zgodnie z art. 325c ust. 2 lit. c) i art. 325u ust. 2 lit. a) rozporządzenia (UE) nr 575/2013.</w:t>
            </w:r>
          </w:p>
        </w:tc>
      </w:tr>
      <w:tr w:rsidR="06503780" w:rsidRPr="00CB68C1" w14:paraId="397A3B6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87ED4F" w14:textId="568A449C" w:rsidR="06503780" w:rsidRPr="00CB68C1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</w:rPr>
              <w:t>EU 11b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12FF09" w14:textId="69432A4B" w:rsidR="06503780" w:rsidRPr="00CB68C1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Inne ryzyka rezydualne</w:t>
            </w:r>
          </w:p>
          <w:p w14:paraId="5E46032C" w14:textId="013FBB68" w:rsidR="06503780" w:rsidRPr="00CB68C1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zgodnie z art. 325c ust. 2 lit. c) i art. 325u ust. 2 lit. b) rozporządzenia (UE) nr 575/2013.</w:t>
            </w:r>
          </w:p>
        </w:tc>
      </w:tr>
      <w:tr w:rsidR="06503780" w:rsidRPr="00CB68C1" w14:paraId="106996A8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A57C66" w14:textId="56FC3416" w:rsidR="06503780" w:rsidRPr="00CB68C1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</w:rPr>
              <w:t>12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F69C8C" w14:textId="2E5029F0" w:rsidR="224E1E9F" w:rsidRPr="00CB68C1" w:rsidRDefault="224E1E9F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CB68C1">
              <w:rPr>
                <w:rFonts w:ascii="Times New Roman" w:hAnsi="Times New Roman"/>
                <w:b/>
                <w:sz w:val="24"/>
                <w:u w:val="single"/>
              </w:rPr>
              <w:t>Całkowite wymogi w zakresie funduszy własnych (OFR)</w:t>
            </w:r>
          </w:p>
          <w:p w14:paraId="3AEB87FA" w14:textId="63F7CC8B" w:rsidR="06503780" w:rsidRPr="00CB68C1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Suma wierszy od 1 do EU11b.</w:t>
            </w:r>
          </w:p>
          <w:p w14:paraId="65A75CAB" w14:textId="1D4354D4" w:rsidR="002A353C" w:rsidRPr="00CB68C1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6503780" w:rsidRPr="00CB68C1" w14:paraId="01D665D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6C2FE727" w14:textId="64C5B7A3" w:rsidR="06503780" w:rsidRPr="00CB68C1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Litera kolumny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370E68CC" w14:textId="5A5AF052" w:rsidR="06503780" w:rsidRPr="00CB68C1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6503780" w:rsidRPr="00CB68C1" w14:paraId="57E6568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4DF7122" w14:textId="3D824940" w:rsidR="06503780" w:rsidRPr="00CB68C1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77B88BE" w14:textId="5948A214" w:rsidR="01DFB7EB" w:rsidRPr="00CB68C1" w:rsidRDefault="01DFB7EB" w:rsidP="0650378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 w:rsidRPr="00CB68C1">
              <w:rPr>
                <w:rFonts w:ascii="Times New Roman" w:hAnsi="Times New Roman"/>
                <w:b/>
                <w:sz w:val="24"/>
                <w:u w:val="single"/>
              </w:rPr>
              <w:t>Całkowite wymogi w zakresie funduszy własnych (OFR)</w:t>
            </w:r>
          </w:p>
        </w:tc>
      </w:tr>
      <w:tr w:rsidR="06503780" w:rsidRPr="00CB68C1" w14:paraId="37D30FC4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1C04F1" w14:textId="4F64D071" w:rsidR="06503780" w:rsidRPr="00CB68C1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</w:rPr>
              <w:t>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69159E" w14:textId="0505478C" w:rsidR="517DDA85" w:rsidRPr="00CB68C1" w:rsidRDefault="02A66E37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Ujawnianie informacji na temat wymogów w zakresie funduszy własnych, o których mowa w art. 438 lit. d) rozporządzenia (UE) nr 575/2013, obliczonych jako prosta suma powyższych kwot w wierszach od 1 do EU 11b.</w:t>
            </w:r>
          </w:p>
          <w:p w14:paraId="4E5B9771" w14:textId="40E878CC" w:rsidR="06503780" w:rsidRPr="00CB68C1" w:rsidRDefault="06503780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1C8F396" w14:textId="77777777" w:rsidR="00931C32" w:rsidRPr="00CB68C1" w:rsidRDefault="00931C32" w:rsidP="00931C32">
      <w:pPr>
        <w:spacing w:after="240"/>
        <w:rPr>
          <w:rFonts w:ascii="Times New Roman" w:hAnsi="Times New Roman" w:cs="Times New Roman"/>
          <w:b/>
          <w:sz w:val="24"/>
        </w:rPr>
      </w:pPr>
    </w:p>
    <w:p w14:paraId="49AD8C16" w14:textId="467238F4" w:rsidR="00931C32" w:rsidRPr="00CB68C1" w:rsidRDefault="00931C32" w:rsidP="48484374">
      <w:pPr>
        <w:spacing w:after="240"/>
        <w:rPr>
          <w:rFonts w:ascii="Times New Roman" w:hAnsi="Times New Roman" w:cs="Times New Roman"/>
          <w:b/>
          <w:bCs/>
          <w:sz w:val="24"/>
        </w:rPr>
      </w:pPr>
      <w:r w:rsidRPr="00CB68C1">
        <w:rPr>
          <w:rFonts w:ascii="Times New Roman" w:hAnsi="Times New Roman"/>
          <w:b/>
          <w:sz w:val="24"/>
        </w:rPr>
        <w:t>Tabela EU MRB: Wymogi dotyczące ujawniania informacji jakościowych obowiązujące instytucje stosujące alternatywną metodę modeli wewnętrznych</w:t>
      </w:r>
      <w:r w:rsidRPr="00CB68C1">
        <w:rPr>
          <w:rFonts w:ascii="Times New Roman" w:hAnsi="Times New Roman"/>
          <w:sz w:val="24"/>
        </w:rPr>
        <w:t>: format tekstu dowolnego</w:t>
      </w:r>
    </w:p>
    <w:p w14:paraId="32EDF34C" w14:textId="442D1C01" w:rsidR="00931C32" w:rsidRPr="00CB68C1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CB68C1">
        <w:rPr>
          <w:rFonts w:ascii="Times New Roman" w:hAnsi="Times New Roman"/>
          <w:color w:val="000000" w:themeColor="text1"/>
          <w:sz w:val="24"/>
        </w:rPr>
        <w:t>W celu wypełnienia wzoru EU MRB zamieszczonego w załączniku XXIX instytucje ujawniają informacje, o których mowa w art. 455 lit. a), b), c), d), e) i f) rozporządzenia (UE) nr 575/2013, zgodnie z poniższymi instrukcjami zawartymi w niniejszym załączniku.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7025"/>
      </w:tblGrid>
      <w:tr w:rsidR="00931C32" w:rsidRPr="00CB68C1" w14:paraId="39C1942C" w14:textId="77777777" w:rsidTr="72461198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FE3064" w14:textId="77777777" w:rsidR="00931C32" w:rsidRPr="00CB68C1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931C32" w:rsidRPr="00CB68C1" w14:paraId="1B6F00FD" w14:textId="77777777" w:rsidTr="00DB0A49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4E9D0C" w14:textId="77777777" w:rsidR="00931C32" w:rsidRPr="00CB68C1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lastRenderedPageBreak/>
              <w:t>Oznaczenie wiersza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C9A014" w14:textId="77777777" w:rsidR="00931C32" w:rsidRPr="00CB68C1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3765CAC5" w:rsidRPr="00CB68C1" w14:paraId="0407979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F9E1B4" w14:textId="5201D106" w:rsidR="3765CAC5" w:rsidRPr="00CB68C1" w:rsidRDefault="3765CAC5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E12632" w14:textId="11982131" w:rsidR="7BC02D42" w:rsidRPr="00CB68C1" w:rsidRDefault="2716EDAD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Przy ujawnianiu informacji, o których mowa w art. 455 akapit pierwszy lit. a) rozporządzenia (UE) nr 575/2013, dotyczących alternatywnych modeli wewnętrznych w odniesieniu do ryzyka rynkowego, instytucje uwzględniają:</w:t>
            </w:r>
          </w:p>
        </w:tc>
      </w:tr>
      <w:tr w:rsidR="3765CAC5" w:rsidRPr="00CB68C1" w14:paraId="6AB031E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29A411" w14:textId="55099BA3" w:rsidR="3C9E464D" w:rsidRPr="00CB68C1" w:rsidRDefault="00B02BFD" w:rsidP="3765CAC5">
            <w:pPr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EU 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283DE8" w14:textId="143E0B94" w:rsidR="3C9E464D" w:rsidRPr="00CB68C1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color w:val="000000" w:themeColor="text1"/>
                <w:sz w:val="24"/>
              </w:rPr>
              <w:t>wskazanie, w jakich celach instytucja podejmuje działalność handlową, oraz procesy stosowane do identyfikowania, pomiaru, monitorowania i kontrolowania ryzyka rynkowego instytucji. Informacje te można podać poprzez odniesienie do tabeli EU MRA.</w:t>
            </w:r>
          </w:p>
        </w:tc>
      </w:tr>
      <w:tr w:rsidR="3765CAC5" w:rsidRPr="00CB68C1" w14:paraId="3EEEAC3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B7E23A" w14:textId="2C8F59E6" w:rsidR="3C9E464D" w:rsidRPr="00CB68C1" w:rsidRDefault="00671C85" w:rsidP="3765CAC5">
            <w:pPr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EU 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EECC21" w14:textId="2B4ED7C7" w:rsidR="3C9E464D" w:rsidRPr="00CB68C1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color w:val="000000" w:themeColor="text1"/>
                <w:sz w:val="24"/>
              </w:rPr>
              <w:t>zasady, o których mowa w art. 104 ust. 1, dotyczące określania, które pozycje należy uwzględnić w portfelu handlowym. Informacje te można podać poprzez odniesienie do tabeli EU MRA.</w:t>
            </w:r>
          </w:p>
        </w:tc>
      </w:tr>
      <w:tr w:rsidR="00671C85" w:rsidRPr="00CB68C1" w14:paraId="0D6ADAE7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C578F" w14:textId="7D03AC39" w:rsidR="00671C85" w:rsidRPr="00CB68C1" w:rsidRDefault="00C06844" w:rsidP="00DE090B">
            <w:pPr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EU c)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47B801" w14:textId="77777777" w:rsidR="00671C85" w:rsidRPr="00CB68C1" w:rsidRDefault="00671C85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color w:val="000000" w:themeColor="text1"/>
                <w:sz w:val="24"/>
              </w:rPr>
              <w:t>strukturę i organizację funkcji zarządzania ryzykiem rynkowym oraz procesu zarządzania tym ryzykiem;</w:t>
            </w:r>
          </w:p>
        </w:tc>
      </w:tr>
      <w:tr w:rsidR="00701D8F" w:rsidRPr="00CB68C1" w14:paraId="2E7B7CF0" w14:textId="77777777" w:rsidTr="00DB0A49">
        <w:trPr>
          <w:trHeight w:val="1301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5068B" w14:textId="77777777" w:rsidR="00701D8F" w:rsidRPr="00CB68C1" w:rsidRDefault="00701D8F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14:paraId="3A0D6228" w14:textId="0AB8AAD0" w:rsidR="00701D8F" w:rsidRPr="00CB68C1" w:rsidRDefault="0D04DF7A" w:rsidP="140F9D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CB68C1">
              <w:rPr>
                <w:rFonts w:ascii="Times New Roman" w:hAnsi="Times New Roman"/>
                <w:color w:val="000000" w:themeColor="text1"/>
                <w:sz w:val="24"/>
              </w:rPr>
              <w:t xml:space="preserve">A) B) Ogólny opis struktury jednostki odpowiadającej za handel i rodzajów instrumentów wchodzących w zakres działalności jednostki odpowiadającej za handel i stosującej AIMA zgodnie z art. 455 ust. 1 lit. c) i d) rozporządzenia (UE) nr 575/2013. </w:t>
            </w:r>
          </w:p>
        </w:tc>
      </w:tr>
      <w:tr w:rsidR="001B4290" w:rsidRPr="00CB68C1" w14:paraId="59395D4F" w14:textId="77777777" w:rsidTr="00DB0A49">
        <w:trPr>
          <w:trHeight w:val="300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5BC89" w14:textId="266872D2" w:rsidR="001B4290" w:rsidRPr="00CB68C1" w:rsidRDefault="001B4290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B a)</w:t>
            </w:r>
          </w:p>
          <w:p w14:paraId="6D2F2E9A" w14:textId="09BF2D11" w:rsidR="001B4290" w:rsidRPr="00CB68C1" w:rsidRDefault="001B4290" w:rsidP="00DB0A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3361A9" w14:textId="1A1C5AF1" w:rsidR="001B4290" w:rsidRPr="00CB68C1" w:rsidRDefault="6FF6DD2C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color w:val="000000" w:themeColor="text1"/>
                <w:sz w:val="24"/>
              </w:rPr>
              <w:t>Przy ujawnianiu informacji, o których mowa w art. 455 ust. 1 lit. c) rozporządzenia (UE) nr 575/2013, instytucje przedstawiają ogólny opis struktury jednostek odpowiadających za handel objętych</w:t>
            </w:r>
            <w:r w:rsidR="00CB68C1" w:rsidRPr="00CB68C1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CB68C1">
              <w:rPr>
                <w:rFonts w:ascii="Times New Roman" w:hAnsi="Times New Roman"/>
                <w:color w:val="000000" w:themeColor="text1"/>
                <w:sz w:val="24"/>
              </w:rPr>
              <w:t>modelami wewnętrznymi, o których mowa w art. 325az, w tym – w przypadku każdej jednostki – ogólny opis strategii biznesowej jednostki, instrumentów dozwolonych w ramach tej strategii oraz głównych rodzajów ryzyka związanych z tą jednostką.</w:t>
            </w:r>
          </w:p>
        </w:tc>
      </w:tr>
      <w:tr w:rsidR="001B4290" w:rsidRPr="00CB68C1" w14:paraId="50FBF6A8" w14:textId="77777777" w:rsidTr="00DB0A49">
        <w:trPr>
          <w:trHeight w:val="300"/>
        </w:trPr>
        <w:tc>
          <w:tcPr>
            <w:tcW w:w="1230" w:type="dxa"/>
            <w:vMerge/>
            <w:hideMark/>
          </w:tcPr>
          <w:p w14:paraId="79170C23" w14:textId="7B220C5D" w:rsidR="001B4290" w:rsidRPr="00CB68C1" w:rsidRDefault="001B4290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D9458D" w14:textId="1452A5E7" w:rsidR="001B4290" w:rsidRPr="00CB68C1" w:rsidRDefault="00F5701F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color w:val="000000" w:themeColor="text1"/>
                <w:sz w:val="24"/>
              </w:rPr>
              <w:t>Przy ujawnianiu informacji, o których mowa w art. 455 ust. 1 lit. d) rozporządzenia (UE) nr 575/2013, instytucje przedstawiają ogólny przegląd pozycji portfela handlowego nieobjętych modelem wewnętrznym, o którym mowa w art. 325az, w tym ogólny opis struktury jednostki oraz rodzaju instrumentów wchodzących w zakres działalności jednostek lub kategorii jednostek zgodnie z art. 104b;</w:t>
            </w:r>
          </w:p>
        </w:tc>
      </w:tr>
      <w:tr w:rsidR="00090EA4" w:rsidRPr="00CB68C1" w:rsidDel="00671C85" w14:paraId="0C8EF869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868DE" w14:textId="77777777" w:rsidR="00090EA4" w:rsidRPr="00CB68C1" w:rsidRDefault="00090E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CB68C1">
              <w:rPr>
                <w:rFonts w:ascii="Times New Roman" w:hAnsi="Times New Roman"/>
                <w:color w:val="000000" w:themeColor="text1"/>
                <w:sz w:val="24"/>
              </w:rPr>
              <w:t>B) C) E) Opis głównych cech modeli stosowanych na poziomie skonsolidowanym, w tym metod stosowanych do walidacji modeli i procesów modelowania.</w:t>
            </w:r>
          </w:p>
          <w:p w14:paraId="32D410A2" w14:textId="3D7C861F" w:rsidR="00DE5B78" w:rsidRPr="00CB68C1" w:rsidDel="00671C85" w:rsidRDefault="00DE5B78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A05A4" w:rsidRPr="00CB68C1" w:rsidDel="00671C85" w14:paraId="2A2D75B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5B40F" w14:textId="09595E2A" w:rsidR="00A75779" w:rsidRPr="00CB68C1" w:rsidDel="00671C85" w:rsidRDefault="00A75779" w:rsidP="3765CAC5">
            <w:pPr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B b) c) d) e)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955CD" w14:textId="4CD99E9A" w:rsidR="007E7D7A" w:rsidRPr="00CB68C1" w:rsidDel="00671C85" w:rsidRDefault="001D2F6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CB68C1">
              <w:rPr>
                <w:rFonts w:ascii="Times New Roman" w:hAnsi="Times New Roman"/>
                <w:color w:val="000000" w:themeColor="text1"/>
                <w:sz w:val="24"/>
              </w:rPr>
              <w:t>Przy ujawnianiu informacji, o których mowa w art. 455 ust. 1 lit. f) pkt (i) rozporządzenia (UE) nr 575/2013, instytucje przedstawiają: zakres, główne cechy i wybór kluczowych elementów modelowania w poszczególnych modelach wewnętrznych, o których mowa w art. 325az rozporządzenia (UE) nr 575/2013, które wykorzystuje się do obliczania kwot ekspozycji na ryzyko, w odniesieniu do głównych modeli stosowanych na zasadzie skonsolidowanej i opis tego, w jakim zakresie wspomniane modele wewnętrzne odzwierciedlają wszystkie modele stosowane na zasadzie skonsolidowanej, w tym w stosownych przypadkach: (i) ogólny opis podejścia modelowego stosowanego do obliczania oczekiwanych braków, o których mowa w art. 325ba ust. 1 lit. a) CRR, w tym częstotliwość aktualizacji danych;</w:t>
            </w:r>
          </w:p>
        </w:tc>
      </w:tr>
      <w:tr w:rsidR="008A05A4" w:rsidRPr="00CB68C1" w:rsidDel="00671C85" w14:paraId="45EADEA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93FED" w14:textId="77E5A12E" w:rsidR="008A05A4" w:rsidRPr="00CB68C1" w:rsidDel="00671C85" w:rsidRDefault="00C82CB4" w:rsidP="3765CAC5">
            <w:pPr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lastRenderedPageBreak/>
              <w:t>C a)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01C58" w14:textId="29B0602F" w:rsidR="00D6625B" w:rsidRPr="00CB68C1" w:rsidRDefault="00A7577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CB68C1">
              <w:rPr>
                <w:rFonts w:ascii="Times New Roman" w:hAnsi="Times New Roman"/>
                <w:color w:val="000000" w:themeColor="text1"/>
                <w:sz w:val="24"/>
              </w:rPr>
              <w:t>Przy ujawnianiu informacji, o których mowa w art. 455 ust. 1 lit. f) pkt (ii) rozporządzenia (UE) nr 575/2013, instytucje uwzględniają w stosownych przypadkach: ogólny opis metody wykorzystywanej do obliczania miary ryzyka scenariusza warunków skrajnych, o której mowa w art. 325ba ust. 1 lit. b) rozporządzenia (UE) nr 575/2013, innej niż specyfikacje przewidziane w art. 325bk ust. 3 rozporządzenia (UE) nr 575/2013.</w:t>
            </w:r>
          </w:p>
          <w:p w14:paraId="3E866C05" w14:textId="635C3FD9" w:rsidR="008A05A4" w:rsidRPr="00CB68C1" w:rsidDel="00671C85" w:rsidRDefault="008A05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3247D" w:rsidRPr="00CB68C1" w:rsidDel="00671C85" w14:paraId="24E01ADC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4C901" w14:textId="4C917FDF" w:rsidR="00C3247D" w:rsidRPr="00CB68C1" w:rsidRDefault="00C3247D" w:rsidP="00D662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CB68C1">
              <w:rPr>
                <w:rFonts w:ascii="Times New Roman" w:hAnsi="Times New Roman"/>
                <w:color w:val="000000" w:themeColor="text1"/>
                <w:sz w:val="24"/>
              </w:rPr>
              <w:t>D) Opis modeli wewnętrznych służących do obliczania narzutu z tytułu ryzyka niewykonania zobowiązania</w:t>
            </w:r>
          </w:p>
        </w:tc>
      </w:tr>
      <w:tr w:rsidR="3765CAC5" w:rsidRPr="00CB68C1" w14:paraId="77D1514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5EB9A4" w14:textId="4C21A863" w:rsidR="3C9E464D" w:rsidRPr="00CB68C1" w:rsidRDefault="00827740" w:rsidP="00DB0A4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b)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FC28FC" w14:textId="6E66AC42" w:rsidR="3C9E464D" w:rsidRPr="00CB68C1" w:rsidRDefault="00FF5D12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CB68C1">
              <w:rPr>
                <w:rFonts w:ascii="Times New Roman" w:hAnsi="Times New Roman"/>
                <w:color w:val="000000" w:themeColor="text1"/>
                <w:sz w:val="24"/>
              </w:rPr>
              <w:t>Przy ujawnianiu informacji, o których mowa w art. 455 ust. 1 lit. f) pkt (iii) rozporządzenia (UE) nr 575/2013, instytucje uwzględniają w stosownych przypadkach: ogólny opis podejścia modelowego stosowanego do obliczania narzutu z tytułu ryzyka niewykonania zobowiązania, o którym mowa w art. 325ba ust. 2 rozporządzenia (UE) nr 575/2013, w tym częstotliwość aktualizacji danych.</w:t>
            </w:r>
          </w:p>
        </w:tc>
      </w:tr>
    </w:tbl>
    <w:p w14:paraId="116B518F" w14:textId="73EB613A" w:rsidR="3765CAC5" w:rsidRPr="00CB68C1" w:rsidRDefault="3765CAC5">
      <w:pPr>
        <w:rPr>
          <w:rFonts w:ascii="Times New Roman" w:hAnsi="Times New Roman" w:cs="Times New Roman"/>
        </w:rPr>
      </w:pPr>
    </w:p>
    <w:p w14:paraId="471DC03E" w14:textId="77777777" w:rsidR="00445013" w:rsidRPr="00CB68C1" w:rsidRDefault="00445013">
      <w:pPr>
        <w:rPr>
          <w:rFonts w:ascii="Times New Roman" w:hAnsi="Times New Roman" w:cs="Times New Roman"/>
        </w:rPr>
      </w:pPr>
    </w:p>
    <w:p w14:paraId="681251D5" w14:textId="2CC9D023" w:rsidR="00931C32" w:rsidRPr="00CB68C1" w:rsidRDefault="00931C32" w:rsidP="3821DFBC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 w:rsidRPr="00CB68C1">
        <w:rPr>
          <w:rFonts w:ascii="Times New Roman" w:hAnsi="Times New Roman"/>
          <w:b/>
          <w:color w:val="auto"/>
          <w:sz w:val="24"/>
        </w:rPr>
        <w:t>Wzór EU MR2 – Ryzyko rynkowe według</w:t>
      </w:r>
      <w:r w:rsidR="00CB68C1" w:rsidRPr="00CB68C1">
        <w:rPr>
          <w:rFonts w:ascii="Times New Roman" w:hAnsi="Times New Roman"/>
          <w:b/>
          <w:color w:val="auto"/>
          <w:sz w:val="24"/>
        </w:rPr>
        <w:t xml:space="preserve"> </w:t>
      </w:r>
      <w:r w:rsidRPr="00CB68C1">
        <w:rPr>
          <w:rFonts w:ascii="Times New Roman" w:hAnsi="Times New Roman"/>
          <w:b/>
          <w:color w:val="auto"/>
          <w:sz w:val="24"/>
        </w:rPr>
        <w:t>alternatywnej metody modeli wewnętrznych (AIMA):</w:t>
      </w:r>
      <w:r w:rsidRPr="00CB68C1">
        <w:rPr>
          <w:rFonts w:ascii="Times New Roman" w:hAnsi="Times New Roman"/>
          <w:color w:val="auto"/>
          <w:sz w:val="24"/>
        </w:rPr>
        <w:t xml:space="preserve"> format stały</w:t>
      </w:r>
    </w:p>
    <w:p w14:paraId="2D64DF36" w14:textId="6604692C" w:rsidR="00931C32" w:rsidRPr="00CB68C1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 w:rsidRPr="00CB68C1">
        <w:rPr>
          <w:rFonts w:ascii="Times New Roman" w:hAnsi="Times New Roman"/>
          <w:color w:val="000000" w:themeColor="text1"/>
          <w:sz w:val="24"/>
        </w:rPr>
        <w:t xml:space="preserve">W celu wypełnienia wzoru EU MR2 zamieszczonego w załączniku XXIX instytucje ujawniają informacje, o których mowa w art. 455 ust. 2 rozporządzenia (UE) nr 575/2013, zgodnie z poniższymi instrukcjami zawartymi w niniejszym załączniku. </w:t>
      </w:r>
      <w:r w:rsidRPr="00CB68C1">
        <w:rPr>
          <w:rFonts w:ascii="Times New Roman" w:hAnsi="Times New Roman"/>
          <w:color w:val="auto"/>
          <w:sz w:val="24"/>
        </w:rPr>
        <w:t>Instytucje nie uwzględniają w tym wzorze żadnych danych dotyczących swojej jednostki ds. wewnętrznych transferów ryzyka.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7025"/>
      </w:tblGrid>
      <w:tr w:rsidR="00931C32" w:rsidRPr="00CB68C1" w14:paraId="454671C8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CF57C" w14:textId="77777777" w:rsidR="00931C32" w:rsidRPr="00CB68C1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931C32" w:rsidRPr="00CB68C1" w14:paraId="74EB4602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D9C09D3" w14:textId="77777777" w:rsidR="00931C32" w:rsidRPr="00CB68C1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527BB7" w14:textId="77777777" w:rsidR="00931C32" w:rsidRPr="00CB68C1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3765CAC5" w:rsidRPr="00CB68C1" w14:paraId="34D4196F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87A1073" w14:textId="03BB75EC" w:rsidR="3765CAC5" w:rsidRPr="00CB68C1" w:rsidRDefault="59A8805A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AF62FAF" w14:textId="54B9E90E" w:rsidR="02494BE7" w:rsidRPr="00CB68C1" w:rsidRDefault="42390ABD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Miara swobodnych oczekiwanych braków (UESt)</w:t>
            </w:r>
          </w:p>
          <w:p w14:paraId="1E53AB6F" w14:textId="2D37B3D8" w:rsidR="3E91330B" w:rsidRPr="00CB68C1" w:rsidRDefault="3BB31265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Ujawnianą wartość oblicza się na poziomie całego portfela, a nie na poziomie szerokiej kategorii ryzyka zgodnie z art. 325bb i 325bc rozporządzenia (UE) nr 575/2013.</w:t>
            </w:r>
          </w:p>
        </w:tc>
      </w:tr>
      <w:tr w:rsidR="4A0450B5" w:rsidRPr="00CB68C1" w14:paraId="2678203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01045CC" w14:textId="043660EE" w:rsidR="3B3426CC" w:rsidRPr="00CB68C1" w:rsidRDefault="3B3426CC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A1B0F63" w14:textId="348EF369" w:rsidR="3B3426CC" w:rsidRPr="00CB68C1" w:rsidRDefault="3B3426CC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Miara swobodnych oczekiwanych braków dla kategorii czynników ryzyka „stopa procentowa”</w:t>
            </w:r>
          </w:p>
          <w:p w14:paraId="39E48A15" w14:textId="5243BB2A" w:rsidR="40EE3118" w:rsidRPr="00CB68C1" w:rsidRDefault="749F8553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Ujawnianą wartość oblicza się dla kategorii czynników ryzyka „stopa procentowa” zgodnie z art. 325bb, 325bc i 325bd rozporządzenia (UE) nr 575/2013.</w:t>
            </w:r>
          </w:p>
        </w:tc>
      </w:tr>
      <w:tr w:rsidR="00234F41" w:rsidRPr="00CB68C1" w14:paraId="1583C76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5B8C21" w14:textId="1D60FC2A" w:rsidR="00234F41" w:rsidRPr="00CB68C1" w:rsidRDefault="002F3022" w:rsidP="00234F4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FEEC3A3" w14:textId="55428D5B" w:rsidR="00234F41" w:rsidRPr="00CB68C1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Miara swobodnych oczekiwanych braków dla kategorii czynników ryzyka „ceny akcji”</w:t>
            </w:r>
            <w:r w:rsidRPr="00CB68C1">
              <w:rPr>
                <w:rFonts w:ascii="Times New Roman" w:hAnsi="Times New Roman"/>
                <w:sz w:val="24"/>
              </w:rPr>
              <w:t xml:space="preserve"> </w:t>
            </w:r>
          </w:p>
          <w:p w14:paraId="4E1BA488" w14:textId="705548F0" w:rsidR="00234F41" w:rsidRPr="00CB68C1" w:rsidRDefault="7A25B94F" w:rsidP="140F9DE1">
            <w:pP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Ujawnianą wartość oblicza się dla kategorii czynników ryzyka „ceny akcji” zgodnie z art. 325bb, 325bc i 325bd rozporządzenia (UE) nr 575/2013.</w:t>
            </w:r>
          </w:p>
        </w:tc>
      </w:tr>
      <w:tr w:rsidR="00B86E1A" w:rsidRPr="00CB68C1" w14:paraId="3E75A52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499A8B" w14:textId="729DAF1D" w:rsidR="00B86E1A" w:rsidRPr="00CB68C1" w:rsidRDefault="002F3022" w:rsidP="00B86E1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D6A90B" w14:textId="77777777" w:rsidR="00B86E1A" w:rsidRPr="00CB68C1" w:rsidRDefault="00B86E1A" w:rsidP="00B86E1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Miara swobodnych oczekiwanych braków dla kategorii czynników ryzyka „ceny towarów”</w:t>
            </w:r>
            <w:r w:rsidRPr="00CB68C1">
              <w:rPr>
                <w:rFonts w:ascii="Times New Roman" w:hAnsi="Times New Roman"/>
                <w:sz w:val="24"/>
              </w:rPr>
              <w:t xml:space="preserve"> </w:t>
            </w:r>
          </w:p>
          <w:p w14:paraId="70BA8462" w14:textId="47AECB7A" w:rsidR="00B86E1A" w:rsidRPr="00CB68C1" w:rsidRDefault="05EA5842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lastRenderedPageBreak/>
              <w:t xml:space="preserve"> Ujawnianą wartość oblicza się dla kategorii czynników ryzyka „ceny towarów” zgodnie z art. 325bb, 325bc i 325bd rozporządzenia (UE) nr 575/2013.</w:t>
            </w:r>
          </w:p>
        </w:tc>
      </w:tr>
      <w:tr w:rsidR="002F3022" w:rsidRPr="00CB68C1" w14:paraId="1C3E96A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3DAF73" w14:textId="5051FDEF" w:rsidR="002F3022" w:rsidRPr="00CB68C1" w:rsidRDefault="002F3022" w:rsidP="002F302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F42D096" w14:textId="4FA1AF42" w:rsidR="002F3022" w:rsidRPr="00CB68C1" w:rsidRDefault="12ADB0E7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Miara swobodnych oczekiwanych braków dla kategorii czynników ryzyka „kurs walutowy”</w:t>
            </w:r>
          </w:p>
          <w:p w14:paraId="1880B223" w14:textId="27B5940F" w:rsidR="002F3022" w:rsidRPr="00CB68C1" w:rsidRDefault="00CB68C1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b/>
                <w:color w:val="444444"/>
                <w:sz w:val="24"/>
              </w:rPr>
              <w:t xml:space="preserve"> </w:t>
            </w:r>
            <w:r w:rsidR="1F3BA536" w:rsidRPr="00CB68C1">
              <w:rPr>
                <w:rFonts w:ascii="Times New Roman" w:hAnsi="Times New Roman"/>
                <w:sz w:val="24"/>
              </w:rPr>
              <w:t>Ujawnianą wartość oblicza się dla kategorii czynników ryzyka „kurs walutowy” zgodnie z art. 325bb, 325bc i 325bd rozporządzenia (UE) nr 575/2013.</w:t>
            </w:r>
          </w:p>
        </w:tc>
      </w:tr>
      <w:tr w:rsidR="00234F41" w:rsidRPr="00CB68C1" w14:paraId="12D2798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B07D6BA" w14:textId="0E7E67E0" w:rsidR="00234F41" w:rsidRPr="00CB68C1" w:rsidRDefault="00572E3E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BE84B9" w14:textId="21B277FE" w:rsidR="00234F41" w:rsidRPr="00CB68C1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 xml:space="preserve">Miara swobodnych oczekiwanych braków dla kategorii czynników ryzyka „spread kredytowy” </w:t>
            </w:r>
          </w:p>
          <w:p w14:paraId="5C567B92" w14:textId="2263B6AC" w:rsidR="00234F41" w:rsidRPr="00CB68C1" w:rsidRDefault="79641B5E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Ujawnianą wartość oblicza się dla kategorii czynników ryzyka „spread kredytowy” zgodnie z art. 325bb, 325bc i 325bd rozporządzenia (UE) nr 575/2013.</w:t>
            </w:r>
          </w:p>
        </w:tc>
      </w:tr>
      <w:tr w:rsidR="00234F41" w:rsidRPr="00CB68C1" w14:paraId="4B55EABD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1FDAC90" w14:textId="59585282" w:rsidR="00234F41" w:rsidRPr="00CB68C1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DB2F1C1" w14:textId="77777777" w:rsidR="00AA44B0" w:rsidRPr="00CB68C1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Suma miar swobodnych oczekiwanych braków dla każdej szerokiej kategorii czynników ryzyka</w:t>
            </w:r>
            <w:r w:rsidRPr="00CB68C1">
              <w:rPr>
                <w:rFonts w:ascii="Times New Roman" w:hAnsi="Times New Roman"/>
                <w:sz w:val="24"/>
              </w:rPr>
              <w:t xml:space="preserve"> (∑UES</w:t>
            </w:r>
            <w:r w:rsidRPr="00CB68C1">
              <w:rPr>
                <w:rFonts w:ascii="Times New Roman" w:hAnsi="Times New Roman"/>
                <w:sz w:val="24"/>
                <w:vertAlign w:val="superscript"/>
              </w:rPr>
              <w:t>i</w:t>
            </w:r>
            <w:r w:rsidRPr="00CB68C1">
              <w:rPr>
                <w:rFonts w:ascii="Times New Roman" w:hAnsi="Times New Roman"/>
                <w:sz w:val="24"/>
                <w:vertAlign w:val="subscript"/>
              </w:rPr>
              <w:t>t</w:t>
            </w:r>
            <w:r w:rsidRPr="00CB68C1">
              <w:rPr>
                <w:rFonts w:ascii="Times New Roman" w:hAnsi="Times New Roman"/>
                <w:sz w:val="24"/>
              </w:rPr>
              <w:t xml:space="preserve">) </w:t>
            </w:r>
          </w:p>
          <w:p w14:paraId="014CC777" w14:textId="17C0E236" w:rsidR="00234F41" w:rsidRPr="00CB68C1" w:rsidRDefault="00F80764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Suma wierszy 2–6.</w:t>
            </w:r>
          </w:p>
          <w:p w14:paraId="0D4B3B7E" w14:textId="0C505591" w:rsidR="00234F41" w:rsidRPr="00CB68C1" w:rsidRDefault="00234F41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</w:p>
        </w:tc>
      </w:tr>
      <w:tr w:rsidR="00234F41" w:rsidRPr="00CB68C1" w14:paraId="329330E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256B5C8" w14:textId="228F99DD" w:rsidR="00234F41" w:rsidRPr="00CB68C1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988D5B" w14:textId="6487394C" w:rsidR="00234F41" w:rsidRPr="00CB68C1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Miara oczekiwanych braków (ES</w:t>
            </w:r>
            <w:r w:rsidRPr="00CB68C1"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 w:rsidRPr="00CB68C1">
              <w:rPr>
                <w:rFonts w:ascii="Times New Roman" w:hAnsi="Times New Roman"/>
                <w:b/>
                <w:sz w:val="24"/>
              </w:rPr>
              <w:t>)</w:t>
            </w:r>
          </w:p>
          <w:p w14:paraId="3985A7B9" w14:textId="37C4DB19" w:rsidR="00234F41" w:rsidRPr="00CB68C1" w:rsidRDefault="5D2FC7FD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Miarę ryzyka oczekiwanych braków oblicza się zgodnie z art. 325ba ust. 1 lit. a) pkt (i) rozporządzenia (UE) nr 575/2013.</w:t>
            </w:r>
          </w:p>
        </w:tc>
      </w:tr>
      <w:tr w:rsidR="00234F41" w:rsidRPr="00CB68C1" w14:paraId="5C7A25A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0EB380" w14:textId="3CBA7B62" w:rsidR="00234F41" w:rsidRPr="00CB68C1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6CE40AF" w14:textId="0618CAD3" w:rsidR="00234F41" w:rsidRPr="00CB68C1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Miara ryzyka scenariusza warunków skrajnych (SS</w:t>
            </w:r>
            <w:r w:rsidRPr="00CB68C1"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 w:rsidRPr="00CB68C1">
              <w:rPr>
                <w:rFonts w:ascii="Times New Roman" w:hAnsi="Times New Roman"/>
                <w:b/>
                <w:sz w:val="24"/>
              </w:rPr>
              <w:t>)</w:t>
            </w:r>
          </w:p>
          <w:p w14:paraId="1A984573" w14:textId="59113B26" w:rsidR="00234F41" w:rsidRPr="00CB68C1" w:rsidRDefault="060F6C17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Miarę ryzyka scenariusza warunków skrajnych oblicza się zgodnie z art. 325ba ust. 1 lit. a) pkt (ii) rozporządzenia (UE) nr 575/2013.</w:t>
            </w:r>
          </w:p>
        </w:tc>
      </w:tr>
      <w:tr w:rsidR="00234F41" w:rsidRPr="00CB68C1" w14:paraId="3AAE30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8C72FB" w14:textId="2E7D9982" w:rsidR="00234F41" w:rsidRPr="00CB68C1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9FBF8F2" w14:textId="1A7A8A4A" w:rsidR="00234F41" w:rsidRPr="00CB68C1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Narzut z tytułu ryzyka niewykonania zobowiązania (DRC</w:t>
            </w:r>
            <w:r w:rsidRPr="00CB68C1"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 w:rsidRPr="00CB68C1">
              <w:rPr>
                <w:rFonts w:ascii="Times New Roman" w:hAnsi="Times New Roman"/>
                <w:b/>
                <w:sz w:val="24"/>
              </w:rPr>
              <w:t>)</w:t>
            </w:r>
          </w:p>
          <w:p w14:paraId="0AF5675B" w14:textId="1F8133B2" w:rsidR="00234F41" w:rsidRPr="00CB68C1" w:rsidRDefault="654BF7D8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Narzut z tytułu ryzyka niewykonania zobowiązania oblicza się zgodnie z art. 325ba ust. 2 lit. a) rozporządzenia (UE) nr 575/2013.</w:t>
            </w:r>
          </w:p>
        </w:tc>
      </w:tr>
      <w:tr w:rsidR="00234F41" w:rsidRPr="00CB68C1" w14:paraId="001F5A7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3795AF9" w14:textId="7BC27148" w:rsidR="00234F41" w:rsidRPr="00CB68C1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6C377DB" w14:textId="02406F87" w:rsidR="00234F41" w:rsidRPr="00CB68C1" w:rsidRDefault="1AC2462E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PLAaddon</w:t>
            </w:r>
          </w:p>
          <w:p w14:paraId="72CEFFB9" w14:textId="21DFFB57" w:rsidR="00234F41" w:rsidRPr="00CB68C1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Wartość tę oblicza się zgodnie z art. 325ba ust. 3 rozporządzenia (UE) nr 575/2013 w związku z art. 10 ust. 1 rozporządzenia (UE) 2022/2059.</w:t>
            </w:r>
          </w:p>
        </w:tc>
      </w:tr>
      <w:tr w:rsidR="00234F41" w:rsidRPr="00CB68C1" w14:paraId="1E5CB73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8C254C1" w14:textId="74B26BAD" w:rsidR="00234F41" w:rsidRPr="00CB68C1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675D025" w14:textId="6D4C388A" w:rsidR="00234F41" w:rsidRPr="00CB68C1" w:rsidRDefault="11A57A2D" w:rsidP="140F9DE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Wymogi w zakresie funduszy własnych dla działalności bilansowej i pozabilansowej oraz PLAaddon (AIMA + PLAaddon)</w:t>
            </w:r>
          </w:p>
          <w:p w14:paraId="595AB2F9" w14:textId="23FB87CE" w:rsidR="00234F41" w:rsidRPr="00CB68C1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Wartość tę oblicza się zgodnie z art. 10 ust. 1 rozporządzenia (UE) 2022/2059. Dodaje się wartość z wiersza 11.</w:t>
            </w:r>
          </w:p>
        </w:tc>
      </w:tr>
      <w:tr w:rsidR="00234F41" w:rsidRPr="00CB68C1" w14:paraId="4CFEF04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4323EEB1" w14:textId="3C3F701D" w:rsidR="00234F41" w:rsidRPr="00CB68C1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4FCE8B3" w14:textId="20C19D22" w:rsidR="00234F41" w:rsidRPr="00CB68C1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Łączny wymóg w zakresie funduszy własnych z tytułu ASA dla jednostek odpowiadających za handel niekwalifikujących się do stosowania AIMA (ASAnon-aima)</w:t>
            </w:r>
          </w:p>
          <w:p w14:paraId="010A62FB" w14:textId="286F0BA2" w:rsidR="00234F41" w:rsidRPr="00CB68C1" w:rsidRDefault="11B9774E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Wartość tę oblicza się zgodnie z art. 325ba ust. 3 rozporządzenia (UE) 575/2013.</w:t>
            </w:r>
          </w:p>
        </w:tc>
      </w:tr>
      <w:tr w:rsidR="00234F41" w:rsidRPr="00CB68C1" w14:paraId="2E80D7EC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32017943" w14:textId="29CFFEEE" w:rsidR="00234F41" w:rsidRPr="00CB68C1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7A4C34B" w14:textId="20DBF86B" w:rsidR="00234F41" w:rsidRPr="00CB68C1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Różnica wymogu w zakresie funduszy własnych w ramach AIMA i ASA dla jednostek odpowiadających za handel i stosujących AIMA (AIMA – ASAaima)</w:t>
            </w:r>
          </w:p>
          <w:p w14:paraId="326E0483" w14:textId="73A09039" w:rsidR="00234F41" w:rsidRPr="00CB68C1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Wartość tę oblicza się jako różnicę między wymogami w zakresie funduszy własnych w ramach AIMA dla jednostek odpowiadających za handel i stosujących AIMA (art. 10 ust. 1 rozporządzenia (UE) 2022/2059) a wartością wymogów w zakresie funduszy własnych w ramach ASA dla wszystkich jednostek odpowiadających za handel i stosujących AIMA (widok portfela) (art. 10 ust. 1 rozporządzenia (UE) 2022/2059).</w:t>
            </w:r>
          </w:p>
        </w:tc>
      </w:tr>
      <w:tr w:rsidR="00234F41" w:rsidRPr="00CB68C1" w14:paraId="04D8994F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E08381D" w14:textId="6243191D" w:rsidR="00234F41" w:rsidRPr="00CB68C1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1DBA1AB" w14:textId="2D7FAA07" w:rsidR="00234F41" w:rsidRPr="00CB68C1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Wymóg w zakresie funduszy własnych z tytułu ASA dla wszystkich jednostek odpowiadających za handel (w tym jednostek podlegających AIMA) (ASAall portfolio)</w:t>
            </w:r>
          </w:p>
          <w:p w14:paraId="7232E72B" w14:textId="0064FE14" w:rsidR="00234F41" w:rsidRPr="00CB68C1" w:rsidRDefault="3A829CD0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Wartość tę oblicza się zgodnie z art. 325ba ust. 3 rozporządzenia (UE) 575/2013.</w:t>
            </w:r>
          </w:p>
        </w:tc>
      </w:tr>
      <w:tr w:rsidR="00234F41" w:rsidRPr="00CB68C1" w14:paraId="1AA0793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875442B" w14:textId="25353664" w:rsidR="00234F41" w:rsidRPr="00CB68C1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E1B75E7" w14:textId="2021ED29" w:rsidR="00234F41" w:rsidRPr="00CB68C1" w:rsidRDefault="471075D0" w:rsidP="3821DFBC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Łączne wymogi w zakresie funduszy własnych z tytułu AIMA (TotalAIMA)</w:t>
            </w:r>
          </w:p>
          <w:p w14:paraId="11A40A93" w14:textId="2A4DA65C" w:rsidR="00234F41" w:rsidRPr="00CB68C1" w:rsidRDefault="7D4B7A18" w:rsidP="3821DFBC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 xml:space="preserve">Wartość tę oblicza się zgodnie z art. 325ba ust. 3 rozporządzenia (UE) 575/2013. </w:t>
            </w:r>
          </w:p>
        </w:tc>
      </w:tr>
      <w:tr w:rsidR="00234F41" w:rsidRPr="00CB68C1" w14:paraId="6CF294F9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D7C567" w14:textId="77777777" w:rsidR="00234F41" w:rsidRPr="00CB68C1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Litera kolumny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0A2FF6" w14:textId="77777777" w:rsidR="00234F41" w:rsidRPr="00CB68C1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234F41" w:rsidRPr="00CB68C1" w14:paraId="691830EE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F2D892" w14:textId="13945D56" w:rsidR="00234F41" w:rsidRPr="00CB68C1" w:rsidRDefault="00234F41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BC3495" w14:textId="6299B921" w:rsidR="00234F41" w:rsidRPr="00CB68C1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 xml:space="preserve">Ujawnienie informacji na temat najnowszej miary ryzyka [wiersze 1–10] lub wymogów w zakresie funduszy własnych [wiersze 11–16] w bieżącym kwartale. </w:t>
            </w:r>
          </w:p>
        </w:tc>
      </w:tr>
      <w:tr w:rsidR="00825C6F" w:rsidRPr="00CB68C1" w14:paraId="3E585EB2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1655A" w14:textId="6A209115" w:rsidR="00825C6F" w:rsidRPr="00CB68C1" w:rsidRDefault="00825C6F" w:rsidP="00825C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9F853" w14:textId="5237A310" w:rsidR="00825C6F" w:rsidRPr="00CB68C1" w:rsidRDefault="00825C6F" w:rsidP="3821DFBC">
            <w:pPr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Średnia wartość miary ryzyka [wiersze 1–10] w ciągu ostatnich 60 dni roboczych [wiersze 1–9] lub w ciągu ostatnich 12 tygodni [wiersz 10] w bieżącym kwartale.</w:t>
            </w:r>
          </w:p>
        </w:tc>
      </w:tr>
      <w:tr w:rsidR="00234F41" w:rsidRPr="00CB68C1" w14:paraId="541E044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9A3D63" w14:textId="38507D4F" w:rsidR="00234F41" w:rsidRPr="00CB68C1" w:rsidRDefault="00825C6F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0E847" w14:textId="02E42442" w:rsidR="00234F41" w:rsidRPr="00CB68C1" w:rsidRDefault="00234F41" w:rsidP="3821DFBC">
            <w:pPr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Najwyższa wartość miary ryzyka w ciągu ostatnich 60 dni roboczych [wiersz 1–6] w bieżącym kwartale.</w:t>
            </w:r>
          </w:p>
        </w:tc>
      </w:tr>
      <w:tr w:rsidR="00234F41" w:rsidRPr="00CB68C1" w14:paraId="517652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185729" w14:textId="054FA251" w:rsidR="00234F41" w:rsidRPr="00CB68C1" w:rsidRDefault="00825C6F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A32AC" w14:textId="30C74DA0" w:rsidR="00234F41" w:rsidRPr="00CB68C1" w:rsidRDefault="00234F41" w:rsidP="3821DFBC">
            <w:pPr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Najniższa wartość miary ryzyka w ciągu ostatnich 60 dni roboczych [wiersz 1–6] w bieżącym kwartale.</w:t>
            </w:r>
          </w:p>
        </w:tc>
      </w:tr>
      <w:tr w:rsidR="00234F41" w:rsidRPr="00CB68C1" w14:paraId="41E2A894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FA296F" w14:textId="5510FEEB" w:rsidR="00234F41" w:rsidRPr="00CB68C1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57FA4A" w14:textId="0166676A" w:rsidR="00234F41" w:rsidRPr="00CB68C1" w:rsidRDefault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 xml:space="preserve">Liczba przekroczeń stwierdzonych w wyniku weryfikacji historycznej [wiersz 1] </w:t>
            </w:r>
          </w:p>
          <w:p w14:paraId="486CF129" w14:textId="49048050" w:rsidR="00234F41" w:rsidRPr="00CB68C1" w:rsidRDefault="51A69309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Liczba przekroczeń zgłoszonych w tej komórce jest liczbą użytą do określenia narzutu zgodnie z art. 325bf ust. 6 lit. b) tabela 3 rozporządzenia (UE) nr 575/2013. Nie uwzględnia się przekroczeń, które są wyłączone za zgodą właściwego organu.</w:t>
            </w:r>
          </w:p>
        </w:tc>
      </w:tr>
      <w:tr w:rsidR="00234F41" w:rsidRPr="00CB68C1" w14:paraId="4299B6F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41333" w14:textId="19304036" w:rsidR="00234F41" w:rsidRPr="00CB68C1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8BD1C0" w14:textId="66C9B10A" w:rsidR="00234F41" w:rsidRPr="00CB68C1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 xml:space="preserve">Ujawnienie informacji na temat najnowszej miary ryzyka [wiersze 1–10] lub wymogów w zakresie funduszy własnych [wiersze 11–16] w poprzednim kwartale. </w:t>
            </w:r>
          </w:p>
        </w:tc>
      </w:tr>
      <w:tr w:rsidR="00234F41" w:rsidRPr="00CB68C1" w14:paraId="2CC4031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83754D" w14:textId="4239198E" w:rsidR="00234F41" w:rsidRPr="00CB68C1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88BFF1" w14:textId="1DB2F358" w:rsidR="00234F41" w:rsidRPr="00CB68C1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Średnia wartość miary ryzyka [wiersze 1–10] w ciągu ostatnich 60 dni roboczych [wiersze 1–9] lub w ciągu ostatnich 12 tygodni [wiersz 10] w poprzednim kwartale.</w:t>
            </w:r>
          </w:p>
        </w:tc>
      </w:tr>
    </w:tbl>
    <w:p w14:paraId="60061E4C" w14:textId="6CE0B0D3" w:rsidR="00AA4A0F" w:rsidRPr="00CB68C1" w:rsidRDefault="00AA4A0F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7EADC0A6" w14:textId="5B12A297" w:rsidR="00AA4A0F" w:rsidRPr="00CB68C1" w:rsidRDefault="00AA4A0F" w:rsidP="140F9DE1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 w:rsidRPr="00CB68C1">
        <w:rPr>
          <w:rFonts w:ascii="Times New Roman" w:hAnsi="Times New Roman"/>
          <w:b/>
          <w:color w:val="auto"/>
          <w:sz w:val="24"/>
        </w:rPr>
        <w:t>Wzór EU MR3 – Ryzyko rynkowe według uproszczonej metody standardowej (SSA)</w:t>
      </w:r>
      <w:r w:rsidRPr="00CB68C1">
        <w:rPr>
          <w:rFonts w:ascii="Times New Roman" w:hAnsi="Times New Roman"/>
          <w:color w:val="auto"/>
          <w:sz w:val="24"/>
        </w:rPr>
        <w:t>: format stały</w:t>
      </w:r>
    </w:p>
    <w:p w14:paraId="6AC491D2" w14:textId="6E61C37E" w:rsidR="00AA4A0F" w:rsidRPr="00CB68C1" w:rsidRDefault="00AA4A0F" w:rsidP="00DB0A49">
      <w:pPr>
        <w:pStyle w:val="Titlelevel2"/>
        <w:numPr>
          <w:ilvl w:val="0"/>
          <w:numId w:val="5"/>
        </w:numPr>
        <w:spacing w:before="0"/>
        <w:ind w:left="284" w:hanging="284"/>
        <w:jc w:val="both"/>
        <w:rPr>
          <w:rFonts w:ascii="Times New Roman" w:hAnsi="Times New Roman" w:cs="Times New Roman"/>
          <w:b/>
          <w:color w:val="auto"/>
          <w:sz w:val="24"/>
        </w:rPr>
      </w:pPr>
      <w:r w:rsidRPr="00CB68C1">
        <w:rPr>
          <w:rFonts w:ascii="Times New Roman" w:hAnsi="Times New Roman"/>
          <w:color w:val="000000" w:themeColor="text1"/>
          <w:sz w:val="24"/>
        </w:rPr>
        <w:t>W celu wypełnienia wzoru EU MR3 zamieszczonego w załączniku XXIX do rozwiązań informatycznych EUNB instytucje ujawniają informacje, o których mowa w art. 445 rozporządzenia (UE) nr 575/2013, zgodnie z poniższymi instrukcjami zawartymi w niniejszym załączniku.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7025"/>
      </w:tblGrid>
      <w:tr w:rsidR="00AA4A0F" w:rsidRPr="00CB68C1" w14:paraId="31CE5A52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1B0653" w14:textId="77777777" w:rsidR="00AA4A0F" w:rsidRPr="00CB68C1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AA4A0F" w:rsidRPr="00CB68C1" w14:paraId="5141F34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46BD028" w14:textId="77777777" w:rsidR="00AA4A0F" w:rsidRPr="00CB68C1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Oznaczenie wiersza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1D7C9A" w14:textId="77777777" w:rsidR="00AA4A0F" w:rsidRPr="00CB68C1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AA4A0F" w:rsidRPr="00CB68C1" w14:paraId="2557E2E3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1E50F1" w14:textId="77777777" w:rsidR="00AA4A0F" w:rsidRPr="00CB68C1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141434" w14:textId="77777777" w:rsidR="00AA4A0F" w:rsidRPr="00CB68C1" w:rsidRDefault="00AA4A0F" w:rsidP="00DE090B">
            <w:pPr>
              <w:spacing w:after="24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eastAsia="ja-JP"/>
              </w:rPr>
            </w:pPr>
          </w:p>
        </w:tc>
      </w:tr>
      <w:tr w:rsidR="00AA4A0F" w:rsidRPr="00CB68C1" w14:paraId="739AED95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E9B2" w14:textId="77777777" w:rsidR="00AA4A0F" w:rsidRPr="00CB68C1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33A" w14:textId="77777777" w:rsidR="00AA4A0F" w:rsidRPr="00CB68C1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 xml:space="preserve">Ryzyko stopy procentowej (ogólne i szczególne) </w:t>
            </w:r>
          </w:p>
          <w:p w14:paraId="53976F70" w14:textId="7239AE46" w:rsidR="00AA4A0F" w:rsidRPr="00CB68C1" w:rsidRDefault="00AA4A0F" w:rsidP="0BE40342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Ogólne i szczególne ryzyko związane z pozycjami w rynkowych instrumentach dłużnych w portfelu handlowym zgodnie z częścią trzecią tytuł IV rozdział 2 rozporządzenia (UE) nr 575/2013, wyłączając szczególne ryzyko związane z sekurytyzacją.</w:t>
            </w:r>
          </w:p>
        </w:tc>
      </w:tr>
      <w:tr w:rsidR="00AA4A0F" w:rsidRPr="00CB68C1" w14:paraId="3866E5CD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B6D" w14:textId="77777777" w:rsidR="00AA4A0F" w:rsidRPr="00CB68C1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676" w14:textId="77777777" w:rsidR="00AA4A0F" w:rsidRPr="00CB68C1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Ryzyko cen akcji (ogólne i szczególne)</w:t>
            </w:r>
          </w:p>
          <w:p w14:paraId="7CB149BE" w14:textId="7EC2652A" w:rsidR="00AA4A0F" w:rsidRPr="00CB68C1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Ogólne i szczególne ryzyko związane z instrumentami kapitałowymi w portfelu handlowym zgodnie z częścią trzecią tytuł IV rozdział 2 rozporządzenia (UE) nr 575/2013.</w:t>
            </w:r>
          </w:p>
        </w:tc>
      </w:tr>
      <w:tr w:rsidR="00AA4A0F" w:rsidRPr="00CB68C1" w14:paraId="036D3FF7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B2FA" w14:textId="77777777" w:rsidR="00AA4A0F" w:rsidRPr="00CB68C1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1EE" w14:textId="77777777" w:rsidR="00AA4A0F" w:rsidRPr="00CB68C1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Ryzyko cen towarów</w:t>
            </w:r>
          </w:p>
          <w:p w14:paraId="63B3CA85" w14:textId="0B927E14" w:rsidR="00AA4A0F" w:rsidRPr="00CB68C1" w:rsidRDefault="00AA4A0F" w:rsidP="0BE40342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Ryzyko związane z pozycjami w towarach zgodnie z częścią trzecią tytuł IV rozdział 4 rozporządzenia (UE) nr 575/2013.</w:t>
            </w:r>
          </w:p>
        </w:tc>
      </w:tr>
      <w:tr w:rsidR="00AA4A0F" w:rsidRPr="00CB68C1" w14:paraId="7A3EA1BB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8C93" w14:textId="77777777" w:rsidR="00AA4A0F" w:rsidRPr="00CB68C1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8C77" w14:textId="77777777" w:rsidR="00AA4A0F" w:rsidRPr="00CB68C1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Ryzyko walutowe</w:t>
            </w:r>
          </w:p>
          <w:p w14:paraId="0EF57964" w14:textId="5BB6583A" w:rsidR="00AA4A0F" w:rsidRPr="00CB68C1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Ryzyko związane z pozycjami walutowymi zgodnie z częścią trzecią tytuł IV rozdział 3 rozporządzenia (UE) nr 575/2013.</w:t>
            </w:r>
          </w:p>
        </w:tc>
      </w:tr>
      <w:tr w:rsidR="00AA4A0F" w:rsidRPr="00CB68C1" w14:paraId="510BA8A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69CF" w14:textId="77777777" w:rsidR="00AA4A0F" w:rsidRPr="00CB68C1" w:rsidRDefault="00AA4A0F" w:rsidP="00DE09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132C" w14:textId="77777777" w:rsidR="00AA4A0F" w:rsidRPr="00CB68C1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Sekurytyzacja (ryzyko szczególne)</w:t>
            </w:r>
          </w:p>
          <w:p w14:paraId="20BB6B2F" w14:textId="370CD600" w:rsidR="00AA4A0F" w:rsidRPr="00CB68C1" w:rsidRDefault="00AA4A0F" w:rsidP="00DE090B">
            <w:pPr>
              <w:rPr>
                <w:rFonts w:ascii="Times New Roman" w:hAnsi="Times New Roman" w:cs="Times New Roman"/>
              </w:rPr>
            </w:pPr>
            <w:r w:rsidRPr="00CB68C1">
              <w:rPr>
                <w:rFonts w:ascii="Times New Roman" w:hAnsi="Times New Roman"/>
                <w:sz w:val="24"/>
              </w:rPr>
              <w:t>Ryzyko szczególne związane z pozycjami sekurytyzacyjnymi w portfelu handlowym zgodnie z częścią trzecią tytuł IV rozdział 2 art. 337 i 338 rozporządzenia (UE) nr 575/2013.</w:t>
            </w:r>
          </w:p>
        </w:tc>
      </w:tr>
      <w:tr w:rsidR="00AA4A0F" w:rsidRPr="00CB68C1" w14:paraId="7C502C6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8C1" w14:textId="77777777" w:rsidR="00AA4A0F" w:rsidRPr="00CB68C1" w:rsidRDefault="00AA4A0F" w:rsidP="00DE09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9167" w14:textId="77777777" w:rsidR="00AA4A0F" w:rsidRPr="00CB68C1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 xml:space="preserve">Łączny wymóg w zakresie funduszy własnych z tytułu SSA </w:t>
            </w:r>
          </w:p>
          <w:p w14:paraId="5DD2D55D" w14:textId="027A9E83" w:rsidR="00AA4A0F" w:rsidRPr="00CB68C1" w:rsidRDefault="00AA4A0F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 xml:space="preserve">Ujawnianie informacji na temat wymogów w zakresie funduszy własnych, o których mowa w art. 438 lit. d) rozporządzenia (UE) nr 575/2013, obliczonych jako prosta suma kwot w powyższych wierszach 1–5 dla kolumny </w:t>
            </w:r>
            <w:r w:rsidRPr="00CB68C1">
              <w:rPr>
                <w:rFonts w:ascii="Times New Roman" w:hAnsi="Times New Roman"/>
                <w:i/>
                <w:iCs/>
                <w:sz w:val="24"/>
              </w:rPr>
              <w:t>a</w:t>
            </w:r>
            <w:r w:rsidRPr="00CB68C1">
              <w:rPr>
                <w:rFonts w:ascii="Times New Roman" w:hAnsi="Times New Roman"/>
                <w:sz w:val="24"/>
              </w:rPr>
              <w:t xml:space="preserve"> i obliczonych jako prosta suma kwot w powyższych wierszach 1–4 dla kolumn </w:t>
            </w:r>
            <w:r w:rsidRPr="00CB68C1">
              <w:rPr>
                <w:rFonts w:ascii="Times New Roman" w:hAnsi="Times New Roman"/>
                <w:i/>
                <w:iCs/>
                <w:sz w:val="24"/>
              </w:rPr>
              <w:t>b</w:t>
            </w:r>
            <w:r w:rsidRPr="00CB68C1">
              <w:rPr>
                <w:rFonts w:ascii="Times New Roman" w:hAnsi="Times New Roman"/>
                <w:sz w:val="24"/>
              </w:rPr>
              <w:t xml:space="preserve">, </w:t>
            </w:r>
            <w:r w:rsidRPr="00CB68C1">
              <w:rPr>
                <w:rFonts w:ascii="Times New Roman" w:hAnsi="Times New Roman"/>
                <w:i/>
                <w:iCs/>
                <w:sz w:val="24"/>
              </w:rPr>
              <w:t>c</w:t>
            </w:r>
            <w:r w:rsidRPr="00CB68C1">
              <w:rPr>
                <w:rFonts w:ascii="Times New Roman" w:hAnsi="Times New Roman"/>
                <w:sz w:val="24"/>
              </w:rPr>
              <w:t xml:space="preserve"> i </w:t>
            </w:r>
            <w:r w:rsidRPr="00CB68C1">
              <w:rPr>
                <w:rFonts w:ascii="Times New Roman" w:hAnsi="Times New Roman"/>
                <w:i/>
                <w:iCs/>
                <w:sz w:val="24"/>
              </w:rPr>
              <w:t>d</w:t>
            </w:r>
            <w:r w:rsidRPr="00CB68C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CB68C1" w14:paraId="56185555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50AB2" w14:textId="77777777" w:rsidR="00AA4A0F" w:rsidRPr="00CB68C1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Litera kolumny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381206" w14:textId="77777777" w:rsidR="00AA4A0F" w:rsidRPr="00CB68C1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AA4A0F" w:rsidRPr="00CB68C1" w14:paraId="2E9CE45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E7FF5" w14:textId="77777777" w:rsidR="00AA4A0F" w:rsidRPr="00CB68C1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FD14A" w14:textId="77777777" w:rsidR="00AA4A0F" w:rsidRPr="00CB68C1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Produkty bezwarunkowe</w:t>
            </w:r>
          </w:p>
        </w:tc>
      </w:tr>
      <w:tr w:rsidR="00AA4A0F" w:rsidRPr="00CB68C1" w14:paraId="5A2CAA0E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87F" w14:textId="77777777" w:rsidR="00AA4A0F" w:rsidRPr="00CB68C1" w:rsidRDefault="00AA4A0F" w:rsidP="00DE090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E82" w14:textId="3E3EB933" w:rsidR="00AA4A0F" w:rsidRPr="00CB68C1" w:rsidRDefault="00AA4A0F" w:rsidP="00DE090B">
            <w:pPr>
              <w:rPr>
                <w:rFonts w:ascii="Times New Roman" w:eastAsia="Calibri" w:hAnsi="Times New Roman" w:cs="Times New Roman"/>
                <w:szCs w:val="22"/>
              </w:rPr>
            </w:pPr>
            <w:r w:rsidRPr="00CB68C1">
              <w:rPr>
                <w:rFonts w:ascii="Times New Roman" w:hAnsi="Times New Roman"/>
                <w:sz w:val="24"/>
              </w:rPr>
              <w:t>Pozycje w produktach, które nie są opcjonalne i nie są uwzględnione w metodach przewidzianych w regulacyjnych standardach technicznych dotyczących ryzyka związanego z opcjami innego niż ryzyko delta w ramach standardowego podejścia do ryzyka rynkowego</w:t>
            </w:r>
            <w:r w:rsidRPr="00CB68C1">
              <w:rPr>
                <w:rFonts w:ascii="Times New Roman" w:eastAsia="Calibri" w:hAnsi="Times New Roman" w:cs="Times New Roman"/>
                <w:szCs w:val="22"/>
                <w:vertAlign w:val="superscript"/>
              </w:rPr>
              <w:footnoteReference w:id="3"/>
            </w:r>
            <w:r w:rsidRPr="00CB68C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CB68C1" w14:paraId="198A0D0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4CA33" w14:textId="77777777" w:rsidR="00AA4A0F" w:rsidRPr="00CB68C1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E150A" w14:textId="77777777" w:rsidR="00AA4A0F" w:rsidRPr="00CB68C1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Opcje</w:t>
            </w:r>
          </w:p>
        </w:tc>
      </w:tr>
      <w:tr w:rsidR="00AA4A0F" w:rsidRPr="00CB68C1" w14:paraId="4D311DFE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58E" w14:textId="77777777" w:rsidR="00AA4A0F" w:rsidRPr="00CB68C1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FC3" w14:textId="77777777" w:rsidR="00AA4A0F" w:rsidRPr="00CB68C1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Metoda uproszczona</w:t>
            </w:r>
          </w:p>
          <w:p w14:paraId="71365A3F" w14:textId="32ACEA9A" w:rsidR="00AA4A0F" w:rsidRPr="00CB68C1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Opcje lub warranty zdefiniowane w części trzeciej tytuł IV rozdział 2 art. 329 ust. 3 rozporządzenia (UE) nr 575/2013, dla których instytucje obliczają wymogi w zakresie funduszy własnych związane z ryzykiem innym niż ryzyko delta, korzystając z metody uproszczonej</w:t>
            </w:r>
            <w:r w:rsidRPr="00CB68C1">
              <w:rPr>
                <w:rStyle w:val="FootnoteReference"/>
                <w:rFonts w:ascii="Times New Roman" w:eastAsia="Times New Roman" w:hAnsi="Times New Roman" w:cs="Times New Roman"/>
              </w:rPr>
              <w:footnoteReference w:id="4"/>
            </w:r>
            <w:r w:rsidRPr="00CB68C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CB68C1" w14:paraId="4189105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83E5" w14:textId="77777777" w:rsidR="00AA4A0F" w:rsidRPr="00CB68C1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D43E" w14:textId="77777777" w:rsidR="00AA4A0F" w:rsidRPr="00CB68C1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Metoda delta plus</w:t>
            </w:r>
          </w:p>
          <w:p w14:paraId="4982FF4D" w14:textId="11E24DA9" w:rsidR="00AA4A0F" w:rsidRPr="00CB68C1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Opcje lub warranty w portfelu handlowym zdefiniowane w części trzeciej tytuł IV rozdział 2 art. 329 ust. 3 rozporządzenia (UE) nr 575/2013, dla których instytucje obliczają wymogi w zakresie funduszy własnych związane z ryzykiem innym niż ryzyko delta, korzystając z metody delta plus</w:t>
            </w:r>
            <w:r w:rsidRPr="00CB68C1">
              <w:rPr>
                <w:rStyle w:val="FootnoteReference"/>
                <w:rFonts w:ascii="Times New Roman" w:eastAsia="Times New Roman" w:hAnsi="Times New Roman" w:cs="Times New Roman"/>
              </w:rPr>
              <w:footnoteReference w:id="5"/>
            </w:r>
            <w:r w:rsidRPr="00CB68C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CB68C1" w14:paraId="4EBB665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3ACF" w14:textId="77777777" w:rsidR="00AA4A0F" w:rsidRPr="00CB68C1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E4D" w14:textId="77777777" w:rsidR="00AA4A0F" w:rsidRPr="00CB68C1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B68C1">
              <w:rPr>
                <w:rFonts w:ascii="Times New Roman" w:hAnsi="Times New Roman"/>
                <w:b/>
                <w:sz w:val="24"/>
              </w:rPr>
              <w:t>Metoda opierająca się na scenariuszu</w:t>
            </w:r>
          </w:p>
          <w:p w14:paraId="2B78A76A" w14:textId="583FBB66" w:rsidR="00AA4A0F" w:rsidRPr="00CB68C1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B68C1">
              <w:rPr>
                <w:rFonts w:ascii="Times New Roman" w:hAnsi="Times New Roman"/>
                <w:sz w:val="24"/>
              </w:rPr>
              <w:t>Opcje lub warranty w portfelu handlowym zdefiniowane w części trzeciej tytuł IV rozdział 2 art. 329 ust. 3 rozporządzenia (UE) nr 575/2013, dla których instytucje obliczają wymogi w zakresie funduszy własnych związane z ryzykiem innym niż ryzyko delta, korzystając z metody opierającej się na scenariuszu</w:t>
            </w:r>
            <w:r w:rsidRPr="00CB68C1">
              <w:rPr>
                <w:rStyle w:val="FootnoteReference"/>
                <w:rFonts w:ascii="Times New Roman" w:eastAsia="Times New Roman" w:hAnsi="Times New Roman" w:cs="Times New Roman"/>
              </w:rPr>
              <w:footnoteReference w:id="6"/>
            </w:r>
            <w:r w:rsidRPr="00CB68C1"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79592B57" w14:textId="77777777" w:rsidR="00931C32" w:rsidRPr="00CB68C1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sectPr w:rsidR="00931C32" w:rsidRPr="00CB68C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1A622" w14:textId="77777777" w:rsidR="00F2772C" w:rsidRPr="00CB68C1" w:rsidRDefault="00F2772C" w:rsidP="00931C32">
      <w:r w:rsidRPr="00CB68C1">
        <w:separator/>
      </w:r>
    </w:p>
  </w:endnote>
  <w:endnote w:type="continuationSeparator" w:id="0">
    <w:p w14:paraId="5609A27D" w14:textId="77777777" w:rsidR="00F2772C" w:rsidRPr="00CB68C1" w:rsidRDefault="00F2772C" w:rsidP="00931C32">
      <w:r w:rsidRPr="00CB68C1">
        <w:continuationSeparator/>
      </w:r>
    </w:p>
  </w:endnote>
  <w:endnote w:type="continuationNotice" w:id="1">
    <w:p w14:paraId="2EEBBAF9" w14:textId="77777777" w:rsidR="00677CBD" w:rsidRPr="00CB68C1" w:rsidRDefault="00677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2960830"/>
      <w:docPartObj>
        <w:docPartGallery w:val="Page Numbers (Bottom of Page)"/>
        <w:docPartUnique/>
      </w:docPartObj>
    </w:sdtPr>
    <w:sdtEndPr/>
    <w:sdtContent>
      <w:p w14:paraId="5BB6A1F2" w14:textId="77777777" w:rsidR="001E400B" w:rsidRPr="00CB68C1" w:rsidRDefault="001E400B">
        <w:pPr>
          <w:pStyle w:val="Footer"/>
          <w:jc w:val="right"/>
        </w:pPr>
        <w:r w:rsidRPr="00CB68C1">
          <w:fldChar w:fldCharType="begin"/>
        </w:r>
        <w:r w:rsidRPr="00CB68C1">
          <w:instrText xml:space="preserve"> PAGE   \* MERGEFORMAT </w:instrText>
        </w:r>
        <w:r w:rsidRPr="00CB68C1">
          <w:fldChar w:fldCharType="separate"/>
        </w:r>
        <w:r w:rsidRPr="00CB68C1">
          <w:t>14</w:t>
        </w:r>
        <w:r w:rsidRPr="00CB68C1">
          <w:fldChar w:fldCharType="end"/>
        </w:r>
      </w:p>
    </w:sdtContent>
  </w:sdt>
  <w:p w14:paraId="2946DB82" w14:textId="77777777" w:rsidR="001E400B" w:rsidRPr="00CB68C1" w:rsidRDefault="001E4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7FBD0" w14:textId="77777777" w:rsidR="00F2772C" w:rsidRPr="00CB68C1" w:rsidRDefault="00F2772C" w:rsidP="00931C32">
      <w:r w:rsidRPr="00CB68C1">
        <w:separator/>
      </w:r>
    </w:p>
  </w:footnote>
  <w:footnote w:type="continuationSeparator" w:id="0">
    <w:p w14:paraId="012E5BFC" w14:textId="77777777" w:rsidR="00F2772C" w:rsidRPr="00CB68C1" w:rsidRDefault="00F2772C" w:rsidP="00931C32">
      <w:r w:rsidRPr="00CB68C1">
        <w:continuationSeparator/>
      </w:r>
    </w:p>
  </w:footnote>
  <w:footnote w:type="continuationNotice" w:id="1">
    <w:p w14:paraId="05A445BA" w14:textId="77777777" w:rsidR="00677CBD" w:rsidRPr="00CB68C1" w:rsidRDefault="00677CBD"/>
  </w:footnote>
  <w:footnote w:id="2">
    <w:p w14:paraId="62EBF3C5" w14:textId="4E8F5FFE" w:rsidR="00931C32" w:rsidRPr="00CB68C1" w:rsidRDefault="00931C32" w:rsidP="007F0B68">
      <w:pPr>
        <w:pStyle w:val="FootnoteText"/>
      </w:pPr>
      <w:r w:rsidRPr="00CB68C1">
        <w:rPr>
          <w:rStyle w:val="FootnoteReference"/>
          <w:rFonts w:cstheme="minorHAnsi"/>
        </w:rPr>
        <w:footnoteRef/>
      </w:r>
      <w:r w:rsidRPr="00CB68C1">
        <w:t xml:space="preserve"> </w:t>
      </w:r>
      <w:r w:rsidRPr="00CB68C1">
        <w:tab/>
        <w:t>Rozporządzenie Parlamentu Europejskiego i Rady (UE) nr 575/2013 z dnia 26 czerwca 2013 r. w sprawie wymogów ostrożnościowych dla instytucji kredytowych, zmieniające rozporządzenie (UE) nr 648/2012, zmienione rozporządzeniem (UE) 2024/1623 (</w:t>
      </w:r>
      <w:hyperlink r:id="rId1" w:history="1">
        <w:r w:rsidRPr="00CB68C1">
          <w:rPr>
            <w:rStyle w:val="Hyperlink"/>
            <w:color w:val="800080"/>
          </w:rPr>
          <w:t>Dz.U. L 176 z 27.6.2013, s. 1</w:t>
        </w:r>
      </w:hyperlink>
      <w:r w:rsidRPr="00CB68C1">
        <w:t>)</w:t>
      </w:r>
      <w:r w:rsidRPr="00CB68C1">
        <w:rPr>
          <w:color w:val="800080"/>
          <w:u w:val="single"/>
        </w:rPr>
        <w:t xml:space="preserve">; </w:t>
      </w:r>
      <w:hyperlink r:id="rId2" w:history="1">
        <w:r w:rsidRPr="00CB68C1">
          <w:rPr>
            <w:rStyle w:val="Hyperlink"/>
          </w:rPr>
          <w:t>Rozporządzenie - UE - 2024/1623 - PL - EUR-Lex (europa.eu)</w:t>
        </w:r>
      </w:hyperlink>
      <w:r w:rsidRPr="00CB68C1">
        <w:rPr>
          <w:color w:val="444444"/>
        </w:rPr>
        <w:t>).</w:t>
      </w:r>
    </w:p>
  </w:footnote>
  <w:footnote w:id="3">
    <w:p w14:paraId="6651B5AC" w14:textId="77777777" w:rsidR="00AA4A0F" w:rsidRPr="00CB68C1" w:rsidRDefault="00AA4A0F" w:rsidP="00AA4A0F">
      <w:pPr>
        <w:pStyle w:val="FootnoteText"/>
      </w:pPr>
      <w:r w:rsidRPr="00CB68C1">
        <w:footnoteRef/>
      </w:r>
      <w:r w:rsidRPr="00CB68C1">
        <w:t xml:space="preserve"> </w:t>
      </w:r>
      <w:r w:rsidRPr="00CB68C1">
        <w:tab/>
        <w:t>Zgodnie z definicją zawartą w ROZPORZĄDZENIU DELEGOWANYM KOMISJI (UE) nr 528/2014 z dnia 12 marca 2014 r. uzupełniającym rozporządzenie Parlamentu Europejskiego i Rady (UE) nr 575/2013 w odniesieniu do regulacyjnych standardów technicznych dotyczących ryzyka związanego z opcjami innego niż ryzyko delta w ramach standardowego podejścia do ryzyka rynkowego (Dz.U. L 148 z 20.5.2014, s. 29).</w:t>
      </w:r>
    </w:p>
  </w:footnote>
  <w:footnote w:id="4">
    <w:p w14:paraId="67B37F98" w14:textId="77777777" w:rsidR="00AA4A0F" w:rsidRPr="00CB68C1" w:rsidRDefault="00AA4A0F" w:rsidP="00AA4A0F">
      <w:pPr>
        <w:pStyle w:val="FootnoteText"/>
      </w:pPr>
      <w:r w:rsidRPr="00CB68C1">
        <w:rPr>
          <w:rStyle w:val="FootnoteReference"/>
          <w:rFonts w:cstheme="minorHAnsi"/>
        </w:rPr>
        <w:footnoteRef/>
      </w:r>
      <w:r w:rsidRPr="00CB68C1">
        <w:t xml:space="preserve"> </w:t>
      </w:r>
      <w:r w:rsidRPr="00CB68C1">
        <w:tab/>
        <w:t>Zgodnie z definicją zawartą w ROZPORZĄDZENIU DELEGOWANYM KOMISJI (UE) nr 528/2014 z dnia 12 marca 2014 r. uzupełniającym rozporządzenie Parlamentu Europejskiego i Rady (UE) nr 575/2013 w odniesieniu do regulacyjnych standardów technicznych dotyczących ryzyka związanego z opcjami innego niż ryzyko delta w ramach standardowego podejścia do ryzyka rynkowego (Dz.U. L 148 z 20.5.2014, s. 29).</w:t>
      </w:r>
    </w:p>
  </w:footnote>
  <w:footnote w:id="5">
    <w:p w14:paraId="6C32CA93" w14:textId="77777777" w:rsidR="00AA4A0F" w:rsidRPr="00CB68C1" w:rsidRDefault="00AA4A0F" w:rsidP="00AA4A0F">
      <w:pPr>
        <w:pStyle w:val="FootnoteText"/>
      </w:pPr>
      <w:r w:rsidRPr="00CB68C1">
        <w:rPr>
          <w:rStyle w:val="FootnoteReference"/>
          <w:rFonts w:cstheme="minorHAnsi"/>
        </w:rPr>
        <w:footnoteRef/>
      </w:r>
      <w:r w:rsidRPr="00CB68C1">
        <w:t xml:space="preserve"> </w:t>
      </w:r>
      <w:r w:rsidRPr="00CB68C1">
        <w:tab/>
        <w:t>Zgodnie z definicją zawartą w ROZPORZĄDZENIU DELEGOWANYM KOMISJI (UE) nr 528/2014 z dnia 12 marca 2014 r. uzupełniającym rozporządzenie Parlamentu Europejskiego i Rady (UE) nr 575/2013 w odniesieniu do regulacyjnych standardów technicznych dotyczących ryzyka związanego z opcjami innego niż ryzyko delta w ramach standardowego podejścia do ryzyka rynkowego (Dz.U. L 148 z 20.5.2014, s. 29).</w:t>
      </w:r>
    </w:p>
  </w:footnote>
  <w:footnote w:id="6">
    <w:p w14:paraId="739259DE" w14:textId="77777777" w:rsidR="00AA4A0F" w:rsidRPr="00CB68C1" w:rsidRDefault="00AA4A0F" w:rsidP="00AA4A0F">
      <w:pPr>
        <w:pStyle w:val="FootnoteText"/>
      </w:pPr>
      <w:r w:rsidRPr="00CB68C1">
        <w:rPr>
          <w:rStyle w:val="FootnoteReference"/>
          <w:rFonts w:cstheme="minorHAnsi"/>
        </w:rPr>
        <w:footnoteRef/>
      </w:r>
      <w:r w:rsidRPr="00CB68C1">
        <w:t xml:space="preserve"> </w:t>
      </w:r>
      <w:r w:rsidRPr="00CB68C1">
        <w:tab/>
        <w:t>Zgodnie z definicją zawartą w ROZPORZĄDZENIU DELEGOWANYM KOMISJI (UE) nr 528/2014 z dnia 12 marca 2014 r. uzupełniającym rozporządzenie Parlamentu Europejskiego i Rady (UE) nr 575/2013 w odniesieniu do regulacyjnych standardów technicznych dotyczących ryzyka związanego z opcjami innego niż ryzyko delta w ramach standardowego podejścia do ryzyka rynkowego (Dz.U. L 148 z 20.5.2014, s. 29).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2FF13506" w:rsidR="001E400B" w:rsidRPr="00CB68C1" w:rsidRDefault="003711D5">
    <w:pPr>
      <w:pStyle w:val="Header"/>
    </w:pPr>
    <w:r w:rsidRPr="00CB68C1">
      <mc:AlternateContent>
        <mc:Choice Requires="wps">
          <w:drawing>
            <wp:anchor distT="0" distB="0" distL="0" distR="0" simplePos="0" relativeHeight="251658241" behindDoc="0" locked="0" layoutInCell="1" allowOverlap="1" wp14:anchorId="538BE4FF" wp14:editId="37B8D3A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56FCDE" w14:textId="162F82C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38BE4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UNB – Standardowe wykorzystani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A56FCDE" w14:textId="162F82C7" w:rsidR="003711D5" w:rsidRPr="00DB0A49" w:rsidRDefault="003711D5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273E788A" w:rsidR="001E400B" w:rsidRPr="00CB68C1" w:rsidRDefault="003711D5">
    <w:pPr>
      <w:pStyle w:val="Header"/>
    </w:pPr>
    <w:r w:rsidRPr="00CB68C1">
      <mc:AlternateContent>
        <mc:Choice Requires="wps">
          <w:drawing>
            <wp:anchor distT="0" distB="0" distL="0" distR="0" simplePos="0" relativeHeight="251658242" behindDoc="0" locked="0" layoutInCell="1" allowOverlap="1" wp14:anchorId="77F8E82E" wp14:editId="22A30FA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3" name="Text Box 3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1BB6A" w14:textId="11FFB45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7F8E8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UNB – Standardowe wykorzystani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E81BB6A" w14:textId="11FFB457" w:rsidR="003711D5" w:rsidRPr="00DB0A49" w:rsidRDefault="003711D5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9945" w14:textId="5EFD03C3" w:rsidR="001E400B" w:rsidRPr="00CB68C1" w:rsidRDefault="003711D5">
    <w:pPr>
      <w:pStyle w:val="Header"/>
    </w:pPr>
    <w:r w:rsidRPr="00CB68C1">
      <mc:AlternateContent>
        <mc:Choice Requires="wps">
          <w:drawing>
            <wp:anchor distT="0" distB="0" distL="0" distR="0" simplePos="0" relativeHeight="251658240" behindDoc="0" locked="0" layoutInCell="1" allowOverlap="1" wp14:anchorId="2B864388" wp14:editId="43407DD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9E11F3" w14:textId="6F23960E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B8643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UNB – Standardowe wykorzystani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49E11F3" w14:textId="6F23960E" w:rsidR="003711D5" w:rsidRPr="00DB0A49" w:rsidRDefault="003711D5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5914"/>
    <w:multiLevelType w:val="hybridMultilevel"/>
    <w:tmpl w:val="9A60C088"/>
    <w:lvl w:ilvl="0" w:tplc="858CAB9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B3313"/>
    <w:multiLevelType w:val="hybridMultilevel"/>
    <w:tmpl w:val="3FB20E04"/>
    <w:lvl w:ilvl="0" w:tplc="0804D116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  <w:lang w:val="en-GB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44831"/>
    <w:multiLevelType w:val="hybridMultilevel"/>
    <w:tmpl w:val="7B5E3790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D5598"/>
    <w:multiLevelType w:val="hybridMultilevel"/>
    <w:tmpl w:val="32BCBD6C"/>
    <w:lvl w:ilvl="0" w:tplc="6F103D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ECD9"/>
    <w:multiLevelType w:val="hybridMultilevel"/>
    <w:tmpl w:val="FFFFFFFF"/>
    <w:lvl w:ilvl="0" w:tplc="E932B00C">
      <w:start w:val="1"/>
      <w:numFmt w:val="decimal"/>
      <w:lvlText w:val="%1."/>
      <w:lvlJc w:val="left"/>
      <w:pPr>
        <w:ind w:left="720" w:hanging="360"/>
      </w:pPr>
    </w:lvl>
    <w:lvl w:ilvl="1" w:tplc="48C88220">
      <w:start w:val="1"/>
      <w:numFmt w:val="lowerLetter"/>
      <w:lvlText w:val="%2."/>
      <w:lvlJc w:val="left"/>
      <w:pPr>
        <w:ind w:left="1440" w:hanging="360"/>
      </w:pPr>
    </w:lvl>
    <w:lvl w:ilvl="2" w:tplc="7E166E12">
      <w:start w:val="1"/>
      <w:numFmt w:val="lowerRoman"/>
      <w:lvlText w:val="%3."/>
      <w:lvlJc w:val="right"/>
      <w:pPr>
        <w:ind w:left="2160" w:hanging="180"/>
      </w:pPr>
    </w:lvl>
    <w:lvl w:ilvl="3" w:tplc="10D641B0">
      <w:start w:val="1"/>
      <w:numFmt w:val="decimal"/>
      <w:lvlText w:val="%4."/>
      <w:lvlJc w:val="left"/>
      <w:pPr>
        <w:ind w:left="2880" w:hanging="360"/>
      </w:pPr>
    </w:lvl>
    <w:lvl w:ilvl="4" w:tplc="51DA6A34">
      <w:start w:val="1"/>
      <w:numFmt w:val="lowerLetter"/>
      <w:lvlText w:val="%5."/>
      <w:lvlJc w:val="left"/>
      <w:pPr>
        <w:ind w:left="3600" w:hanging="360"/>
      </w:pPr>
    </w:lvl>
    <w:lvl w:ilvl="5" w:tplc="B596B25E">
      <w:start w:val="1"/>
      <w:numFmt w:val="lowerRoman"/>
      <w:lvlText w:val="%6."/>
      <w:lvlJc w:val="right"/>
      <w:pPr>
        <w:ind w:left="4320" w:hanging="180"/>
      </w:pPr>
    </w:lvl>
    <w:lvl w:ilvl="6" w:tplc="5E96F650">
      <w:start w:val="1"/>
      <w:numFmt w:val="decimal"/>
      <w:lvlText w:val="%7."/>
      <w:lvlJc w:val="left"/>
      <w:pPr>
        <w:ind w:left="5040" w:hanging="360"/>
      </w:pPr>
    </w:lvl>
    <w:lvl w:ilvl="7" w:tplc="16062A40">
      <w:start w:val="1"/>
      <w:numFmt w:val="lowerLetter"/>
      <w:lvlText w:val="%8."/>
      <w:lvlJc w:val="left"/>
      <w:pPr>
        <w:ind w:left="5760" w:hanging="360"/>
      </w:pPr>
    </w:lvl>
    <w:lvl w:ilvl="8" w:tplc="20CE046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FB826"/>
    <w:multiLevelType w:val="hybridMultilevel"/>
    <w:tmpl w:val="FFFFFFFF"/>
    <w:lvl w:ilvl="0" w:tplc="916C4F7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2CE8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67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C03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48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E2C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72E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84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A0F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159B3"/>
    <w:multiLevelType w:val="hybridMultilevel"/>
    <w:tmpl w:val="01102932"/>
    <w:lvl w:ilvl="0" w:tplc="674E8D52">
      <w:start w:val="6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270715">
    <w:abstractNumId w:val="6"/>
  </w:num>
  <w:num w:numId="2" w16cid:durableId="1371295629">
    <w:abstractNumId w:val="5"/>
  </w:num>
  <w:num w:numId="3" w16cid:durableId="1245528726">
    <w:abstractNumId w:val="3"/>
  </w:num>
  <w:num w:numId="4" w16cid:durableId="164059399">
    <w:abstractNumId w:val="2"/>
  </w:num>
  <w:num w:numId="5" w16cid:durableId="1786731752">
    <w:abstractNumId w:val="7"/>
  </w:num>
  <w:num w:numId="6" w16cid:durableId="1612781493">
    <w:abstractNumId w:val="0"/>
  </w:num>
  <w:num w:numId="7" w16cid:durableId="1525171532">
    <w:abstractNumId w:val="4"/>
  </w:num>
  <w:num w:numId="8" w16cid:durableId="67476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/>
  <w:defaultTabStop w:val="720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C2249"/>
    <w:rsid w:val="000336E7"/>
    <w:rsid w:val="0003639D"/>
    <w:rsid w:val="000370C1"/>
    <w:rsid w:val="00090EA4"/>
    <w:rsid w:val="000B08B4"/>
    <w:rsid w:val="000C11E2"/>
    <w:rsid w:val="000C7025"/>
    <w:rsid w:val="000D77D3"/>
    <w:rsid w:val="001018F4"/>
    <w:rsid w:val="001057C3"/>
    <w:rsid w:val="0011346D"/>
    <w:rsid w:val="00160583"/>
    <w:rsid w:val="001609D9"/>
    <w:rsid w:val="001737C7"/>
    <w:rsid w:val="00180294"/>
    <w:rsid w:val="001941CB"/>
    <w:rsid w:val="001B4290"/>
    <w:rsid w:val="001B6FDE"/>
    <w:rsid w:val="001D2F69"/>
    <w:rsid w:val="001E400B"/>
    <w:rsid w:val="001E5FF3"/>
    <w:rsid w:val="001F1865"/>
    <w:rsid w:val="00200AE2"/>
    <w:rsid w:val="00214362"/>
    <w:rsid w:val="002316A7"/>
    <w:rsid w:val="00234F41"/>
    <w:rsid w:val="00243650"/>
    <w:rsid w:val="00257A70"/>
    <w:rsid w:val="00260316"/>
    <w:rsid w:val="00264C63"/>
    <w:rsid w:val="00265D4A"/>
    <w:rsid w:val="00266BB6"/>
    <w:rsid w:val="002808D9"/>
    <w:rsid w:val="0028138E"/>
    <w:rsid w:val="002A353C"/>
    <w:rsid w:val="002C07D9"/>
    <w:rsid w:val="002C1404"/>
    <w:rsid w:val="002C44FE"/>
    <w:rsid w:val="002C5234"/>
    <w:rsid w:val="002F3022"/>
    <w:rsid w:val="002F7116"/>
    <w:rsid w:val="00313F1F"/>
    <w:rsid w:val="00347F3B"/>
    <w:rsid w:val="00350C8C"/>
    <w:rsid w:val="003711D5"/>
    <w:rsid w:val="003B4210"/>
    <w:rsid w:val="003B45C4"/>
    <w:rsid w:val="003C13EE"/>
    <w:rsid w:val="003E7DFC"/>
    <w:rsid w:val="003F26DE"/>
    <w:rsid w:val="00433034"/>
    <w:rsid w:val="0043C992"/>
    <w:rsid w:val="00445013"/>
    <w:rsid w:val="004832DE"/>
    <w:rsid w:val="00487226"/>
    <w:rsid w:val="00487DDA"/>
    <w:rsid w:val="00498A5B"/>
    <w:rsid w:val="0049D48D"/>
    <w:rsid w:val="004C112C"/>
    <w:rsid w:val="004D0D9E"/>
    <w:rsid w:val="00522E9A"/>
    <w:rsid w:val="00537B45"/>
    <w:rsid w:val="00572E3E"/>
    <w:rsid w:val="005938AD"/>
    <w:rsid w:val="005B429A"/>
    <w:rsid w:val="005C6FC8"/>
    <w:rsid w:val="005E135A"/>
    <w:rsid w:val="005E6E16"/>
    <w:rsid w:val="0060218B"/>
    <w:rsid w:val="00605F82"/>
    <w:rsid w:val="00621E9C"/>
    <w:rsid w:val="0065560D"/>
    <w:rsid w:val="00671C85"/>
    <w:rsid w:val="0067349D"/>
    <w:rsid w:val="00677CBD"/>
    <w:rsid w:val="0068248E"/>
    <w:rsid w:val="006852CB"/>
    <w:rsid w:val="006A5A7A"/>
    <w:rsid w:val="006B62CF"/>
    <w:rsid w:val="006BDE35"/>
    <w:rsid w:val="006D7761"/>
    <w:rsid w:val="006E3585"/>
    <w:rsid w:val="006E73FE"/>
    <w:rsid w:val="00701D8F"/>
    <w:rsid w:val="00714AE5"/>
    <w:rsid w:val="007336D9"/>
    <w:rsid w:val="007541E2"/>
    <w:rsid w:val="0079214C"/>
    <w:rsid w:val="00795618"/>
    <w:rsid w:val="007A4465"/>
    <w:rsid w:val="007D19BD"/>
    <w:rsid w:val="007D59E2"/>
    <w:rsid w:val="007E00FD"/>
    <w:rsid w:val="007E7D7A"/>
    <w:rsid w:val="007F0B68"/>
    <w:rsid w:val="007F14DD"/>
    <w:rsid w:val="007F2DC3"/>
    <w:rsid w:val="008158FF"/>
    <w:rsid w:val="00824BCF"/>
    <w:rsid w:val="00825C6F"/>
    <w:rsid w:val="00827740"/>
    <w:rsid w:val="00857EB9"/>
    <w:rsid w:val="00877F9B"/>
    <w:rsid w:val="008A05A4"/>
    <w:rsid w:val="008D03CB"/>
    <w:rsid w:val="009063C1"/>
    <w:rsid w:val="00911AB2"/>
    <w:rsid w:val="00931C32"/>
    <w:rsid w:val="00974577"/>
    <w:rsid w:val="0098272B"/>
    <w:rsid w:val="009874FB"/>
    <w:rsid w:val="009A6C30"/>
    <w:rsid w:val="00A50483"/>
    <w:rsid w:val="00A57E44"/>
    <w:rsid w:val="00A66CC7"/>
    <w:rsid w:val="00A71B45"/>
    <w:rsid w:val="00A75779"/>
    <w:rsid w:val="00A857E0"/>
    <w:rsid w:val="00A87CCE"/>
    <w:rsid w:val="00A93BC7"/>
    <w:rsid w:val="00A94820"/>
    <w:rsid w:val="00AA44B0"/>
    <w:rsid w:val="00AA4A0F"/>
    <w:rsid w:val="00AA772E"/>
    <w:rsid w:val="00AB6AC8"/>
    <w:rsid w:val="00AD6592"/>
    <w:rsid w:val="00AF5A1F"/>
    <w:rsid w:val="00B02BFD"/>
    <w:rsid w:val="00B17E7B"/>
    <w:rsid w:val="00B335DB"/>
    <w:rsid w:val="00B3658A"/>
    <w:rsid w:val="00B55C66"/>
    <w:rsid w:val="00B6384D"/>
    <w:rsid w:val="00B83EB1"/>
    <w:rsid w:val="00B86E1A"/>
    <w:rsid w:val="00B9598A"/>
    <w:rsid w:val="00BA0BDC"/>
    <w:rsid w:val="00BA2AA9"/>
    <w:rsid w:val="00BD6C00"/>
    <w:rsid w:val="00BE4793"/>
    <w:rsid w:val="00BE603F"/>
    <w:rsid w:val="00C06844"/>
    <w:rsid w:val="00C17F4F"/>
    <w:rsid w:val="00C213B7"/>
    <w:rsid w:val="00C225C5"/>
    <w:rsid w:val="00C3247D"/>
    <w:rsid w:val="00C45A99"/>
    <w:rsid w:val="00C53337"/>
    <w:rsid w:val="00C622B1"/>
    <w:rsid w:val="00C802F7"/>
    <w:rsid w:val="00C82CB4"/>
    <w:rsid w:val="00C84951"/>
    <w:rsid w:val="00CA0B40"/>
    <w:rsid w:val="00CB68C1"/>
    <w:rsid w:val="00CD55C8"/>
    <w:rsid w:val="00CF112B"/>
    <w:rsid w:val="00CF17F8"/>
    <w:rsid w:val="00D0172B"/>
    <w:rsid w:val="00D45AA4"/>
    <w:rsid w:val="00D6625B"/>
    <w:rsid w:val="00D708CB"/>
    <w:rsid w:val="00D9145B"/>
    <w:rsid w:val="00D920BD"/>
    <w:rsid w:val="00DB0A49"/>
    <w:rsid w:val="00DE090B"/>
    <w:rsid w:val="00DE4020"/>
    <w:rsid w:val="00DE5B78"/>
    <w:rsid w:val="00DE72D6"/>
    <w:rsid w:val="00DF6C74"/>
    <w:rsid w:val="00DF7AF6"/>
    <w:rsid w:val="00E077AE"/>
    <w:rsid w:val="00E21B21"/>
    <w:rsid w:val="00E31B3A"/>
    <w:rsid w:val="00E33CFA"/>
    <w:rsid w:val="00E374FB"/>
    <w:rsid w:val="00E52C25"/>
    <w:rsid w:val="00E67450"/>
    <w:rsid w:val="00E7623F"/>
    <w:rsid w:val="00E8357D"/>
    <w:rsid w:val="00E9795A"/>
    <w:rsid w:val="00EA5911"/>
    <w:rsid w:val="00EB0DA2"/>
    <w:rsid w:val="00EC10EF"/>
    <w:rsid w:val="00EC2249"/>
    <w:rsid w:val="00F0799F"/>
    <w:rsid w:val="00F2772C"/>
    <w:rsid w:val="00F5701F"/>
    <w:rsid w:val="00F66685"/>
    <w:rsid w:val="00F806E6"/>
    <w:rsid w:val="00F80764"/>
    <w:rsid w:val="00F85A37"/>
    <w:rsid w:val="00F96CAA"/>
    <w:rsid w:val="00FB1DFD"/>
    <w:rsid w:val="00FC71A8"/>
    <w:rsid w:val="00FE3752"/>
    <w:rsid w:val="00FF5D12"/>
    <w:rsid w:val="013AE0EC"/>
    <w:rsid w:val="013E6BA9"/>
    <w:rsid w:val="01D445E4"/>
    <w:rsid w:val="01DD6D36"/>
    <w:rsid w:val="01DFB7EB"/>
    <w:rsid w:val="01E12F8D"/>
    <w:rsid w:val="01E55ABC"/>
    <w:rsid w:val="01E5A4EE"/>
    <w:rsid w:val="02494BE7"/>
    <w:rsid w:val="0266B904"/>
    <w:rsid w:val="02A66E37"/>
    <w:rsid w:val="02C4BBFE"/>
    <w:rsid w:val="02DA3C0A"/>
    <w:rsid w:val="02EBAE71"/>
    <w:rsid w:val="0309E604"/>
    <w:rsid w:val="035B3B5C"/>
    <w:rsid w:val="03793D97"/>
    <w:rsid w:val="03965670"/>
    <w:rsid w:val="03FE34DC"/>
    <w:rsid w:val="0406BB73"/>
    <w:rsid w:val="0419BD32"/>
    <w:rsid w:val="0424B465"/>
    <w:rsid w:val="0444CEFE"/>
    <w:rsid w:val="0465FC31"/>
    <w:rsid w:val="0478E1D1"/>
    <w:rsid w:val="04AAA319"/>
    <w:rsid w:val="04AF4EF7"/>
    <w:rsid w:val="04D070BB"/>
    <w:rsid w:val="04E38A17"/>
    <w:rsid w:val="04FA38B7"/>
    <w:rsid w:val="05EA5842"/>
    <w:rsid w:val="05F82D7D"/>
    <w:rsid w:val="060F6C17"/>
    <w:rsid w:val="0611DCCC"/>
    <w:rsid w:val="06503780"/>
    <w:rsid w:val="065E80CE"/>
    <w:rsid w:val="06A57226"/>
    <w:rsid w:val="06E4D96F"/>
    <w:rsid w:val="0715563F"/>
    <w:rsid w:val="07162E1C"/>
    <w:rsid w:val="0745D248"/>
    <w:rsid w:val="0761F1F8"/>
    <w:rsid w:val="0785B826"/>
    <w:rsid w:val="07922AD6"/>
    <w:rsid w:val="084CAEBA"/>
    <w:rsid w:val="08677D6F"/>
    <w:rsid w:val="0904027C"/>
    <w:rsid w:val="0922977E"/>
    <w:rsid w:val="09A3E23B"/>
    <w:rsid w:val="09FD1D50"/>
    <w:rsid w:val="0A14281A"/>
    <w:rsid w:val="0AC6FA36"/>
    <w:rsid w:val="0AEFC274"/>
    <w:rsid w:val="0B3FB29C"/>
    <w:rsid w:val="0BAA9654"/>
    <w:rsid w:val="0BB4E059"/>
    <w:rsid w:val="0BE40342"/>
    <w:rsid w:val="0BF1EAA1"/>
    <w:rsid w:val="0C680F01"/>
    <w:rsid w:val="0C75B420"/>
    <w:rsid w:val="0C79685A"/>
    <w:rsid w:val="0C7CF9AD"/>
    <w:rsid w:val="0CA68764"/>
    <w:rsid w:val="0CA716D1"/>
    <w:rsid w:val="0D04DF7A"/>
    <w:rsid w:val="0D275784"/>
    <w:rsid w:val="0D59D24B"/>
    <w:rsid w:val="0D7CF685"/>
    <w:rsid w:val="0DA56CFB"/>
    <w:rsid w:val="0E4C370B"/>
    <w:rsid w:val="0E7958B7"/>
    <w:rsid w:val="0E82FCE9"/>
    <w:rsid w:val="0E9810F5"/>
    <w:rsid w:val="0EBD9696"/>
    <w:rsid w:val="0F8C82AF"/>
    <w:rsid w:val="0FAD7BDF"/>
    <w:rsid w:val="0FDDE9F8"/>
    <w:rsid w:val="0FEA77C3"/>
    <w:rsid w:val="10332C22"/>
    <w:rsid w:val="1039BAA8"/>
    <w:rsid w:val="103CEB06"/>
    <w:rsid w:val="105966F7"/>
    <w:rsid w:val="105CD97D"/>
    <w:rsid w:val="105FAE25"/>
    <w:rsid w:val="1076596F"/>
    <w:rsid w:val="10BB7391"/>
    <w:rsid w:val="10DA8B40"/>
    <w:rsid w:val="110B538E"/>
    <w:rsid w:val="110BAC0F"/>
    <w:rsid w:val="11210FEE"/>
    <w:rsid w:val="118FDEEB"/>
    <w:rsid w:val="119A7C89"/>
    <w:rsid w:val="11A57A2D"/>
    <w:rsid w:val="11B9774E"/>
    <w:rsid w:val="11EB99D0"/>
    <w:rsid w:val="11FE2AC9"/>
    <w:rsid w:val="12599BAC"/>
    <w:rsid w:val="12679AD5"/>
    <w:rsid w:val="12894712"/>
    <w:rsid w:val="1290D411"/>
    <w:rsid w:val="12ADB0E7"/>
    <w:rsid w:val="12D9F196"/>
    <w:rsid w:val="1303875D"/>
    <w:rsid w:val="1383F52E"/>
    <w:rsid w:val="13974EE7"/>
    <w:rsid w:val="140F9DE1"/>
    <w:rsid w:val="14122C02"/>
    <w:rsid w:val="141290D0"/>
    <w:rsid w:val="142D883B"/>
    <w:rsid w:val="145659DD"/>
    <w:rsid w:val="145F55D9"/>
    <w:rsid w:val="14D2E2DE"/>
    <w:rsid w:val="14D86BD5"/>
    <w:rsid w:val="15402E32"/>
    <w:rsid w:val="15902733"/>
    <w:rsid w:val="1595FF36"/>
    <w:rsid w:val="159674C5"/>
    <w:rsid w:val="15A0274B"/>
    <w:rsid w:val="15ADFC63"/>
    <w:rsid w:val="15BABEB3"/>
    <w:rsid w:val="15BB7894"/>
    <w:rsid w:val="15D193E9"/>
    <w:rsid w:val="1616B043"/>
    <w:rsid w:val="163EE3A4"/>
    <w:rsid w:val="167ECDDF"/>
    <w:rsid w:val="16F55480"/>
    <w:rsid w:val="16F76100"/>
    <w:rsid w:val="17156926"/>
    <w:rsid w:val="173BDDB8"/>
    <w:rsid w:val="1796AF2F"/>
    <w:rsid w:val="1798CE14"/>
    <w:rsid w:val="17A74E34"/>
    <w:rsid w:val="181DB5E2"/>
    <w:rsid w:val="184D50B5"/>
    <w:rsid w:val="18548FBB"/>
    <w:rsid w:val="18F31956"/>
    <w:rsid w:val="1947A530"/>
    <w:rsid w:val="19A5E992"/>
    <w:rsid w:val="19A6EB79"/>
    <w:rsid w:val="19BD89BE"/>
    <w:rsid w:val="1A06906B"/>
    <w:rsid w:val="1A56DA11"/>
    <w:rsid w:val="1A816D86"/>
    <w:rsid w:val="1A8C08E2"/>
    <w:rsid w:val="1A9BC125"/>
    <w:rsid w:val="1AC2462E"/>
    <w:rsid w:val="1ADB6A38"/>
    <w:rsid w:val="1C553831"/>
    <w:rsid w:val="1CC88A43"/>
    <w:rsid w:val="1CD45785"/>
    <w:rsid w:val="1CDAB5BF"/>
    <w:rsid w:val="1D05CFA3"/>
    <w:rsid w:val="1D71DCB0"/>
    <w:rsid w:val="1D86C871"/>
    <w:rsid w:val="1DAFA5B4"/>
    <w:rsid w:val="1DF704CA"/>
    <w:rsid w:val="1E012910"/>
    <w:rsid w:val="1E1A8D65"/>
    <w:rsid w:val="1E2A4C2C"/>
    <w:rsid w:val="1E44D953"/>
    <w:rsid w:val="1E4B6898"/>
    <w:rsid w:val="1E689576"/>
    <w:rsid w:val="1E775069"/>
    <w:rsid w:val="1E7FF856"/>
    <w:rsid w:val="1EB702DA"/>
    <w:rsid w:val="1ED470E2"/>
    <w:rsid w:val="1F1BC5C4"/>
    <w:rsid w:val="1F256432"/>
    <w:rsid w:val="1F3BA536"/>
    <w:rsid w:val="1F64B9F6"/>
    <w:rsid w:val="1F7589B2"/>
    <w:rsid w:val="2048A19C"/>
    <w:rsid w:val="204B2419"/>
    <w:rsid w:val="2052D33B"/>
    <w:rsid w:val="20971A5B"/>
    <w:rsid w:val="20BAA939"/>
    <w:rsid w:val="2151C270"/>
    <w:rsid w:val="2177F6EC"/>
    <w:rsid w:val="22087F1A"/>
    <w:rsid w:val="22326B9B"/>
    <w:rsid w:val="223EDED0"/>
    <w:rsid w:val="22454DD3"/>
    <w:rsid w:val="224E1E9F"/>
    <w:rsid w:val="22B32477"/>
    <w:rsid w:val="230597CC"/>
    <w:rsid w:val="23097F10"/>
    <w:rsid w:val="2353290E"/>
    <w:rsid w:val="23797513"/>
    <w:rsid w:val="23F0E3A5"/>
    <w:rsid w:val="2404232F"/>
    <w:rsid w:val="243C9D54"/>
    <w:rsid w:val="2456F255"/>
    <w:rsid w:val="24621A9E"/>
    <w:rsid w:val="24896332"/>
    <w:rsid w:val="248B5059"/>
    <w:rsid w:val="24BC9442"/>
    <w:rsid w:val="24CAA7EB"/>
    <w:rsid w:val="24E39C7A"/>
    <w:rsid w:val="2513A64A"/>
    <w:rsid w:val="258B83A7"/>
    <w:rsid w:val="25D01BDE"/>
    <w:rsid w:val="25E2C28E"/>
    <w:rsid w:val="26618037"/>
    <w:rsid w:val="2686F3C8"/>
    <w:rsid w:val="26CC74D3"/>
    <w:rsid w:val="26E6B9CB"/>
    <w:rsid w:val="2716EDAD"/>
    <w:rsid w:val="2718BEF6"/>
    <w:rsid w:val="272C34AF"/>
    <w:rsid w:val="275945DB"/>
    <w:rsid w:val="277A49BD"/>
    <w:rsid w:val="27A218A6"/>
    <w:rsid w:val="27AC5450"/>
    <w:rsid w:val="27C3ED88"/>
    <w:rsid w:val="280248AD"/>
    <w:rsid w:val="284B470C"/>
    <w:rsid w:val="28525830"/>
    <w:rsid w:val="2888E6A1"/>
    <w:rsid w:val="288C200E"/>
    <w:rsid w:val="28B48F57"/>
    <w:rsid w:val="28F3D042"/>
    <w:rsid w:val="29112AA6"/>
    <w:rsid w:val="29519A63"/>
    <w:rsid w:val="29726F75"/>
    <w:rsid w:val="29F29B33"/>
    <w:rsid w:val="2A361900"/>
    <w:rsid w:val="2A44CE55"/>
    <w:rsid w:val="2A91DC01"/>
    <w:rsid w:val="2AE5C952"/>
    <w:rsid w:val="2AE7EE98"/>
    <w:rsid w:val="2B836C8D"/>
    <w:rsid w:val="2C9C033A"/>
    <w:rsid w:val="2C9D839C"/>
    <w:rsid w:val="2CD55D33"/>
    <w:rsid w:val="2D55B8CC"/>
    <w:rsid w:val="2D7FD1A3"/>
    <w:rsid w:val="2DAC2377"/>
    <w:rsid w:val="2DD4E655"/>
    <w:rsid w:val="2E262DBC"/>
    <w:rsid w:val="2E509B0B"/>
    <w:rsid w:val="2EB9C0BE"/>
    <w:rsid w:val="2F26FAA0"/>
    <w:rsid w:val="2F9537E2"/>
    <w:rsid w:val="2F9935B4"/>
    <w:rsid w:val="2FB2935D"/>
    <w:rsid w:val="2FC0E997"/>
    <w:rsid w:val="2FC34BD8"/>
    <w:rsid w:val="2FF17F43"/>
    <w:rsid w:val="309E130C"/>
    <w:rsid w:val="309F56BA"/>
    <w:rsid w:val="3138091C"/>
    <w:rsid w:val="31C6F8C8"/>
    <w:rsid w:val="32370E96"/>
    <w:rsid w:val="32530794"/>
    <w:rsid w:val="32BD1CA8"/>
    <w:rsid w:val="32F125D9"/>
    <w:rsid w:val="333A71EB"/>
    <w:rsid w:val="3354C78D"/>
    <w:rsid w:val="335A1535"/>
    <w:rsid w:val="335CF22B"/>
    <w:rsid w:val="33618848"/>
    <w:rsid w:val="343B0E60"/>
    <w:rsid w:val="3444B630"/>
    <w:rsid w:val="3458ED09"/>
    <w:rsid w:val="345C6F23"/>
    <w:rsid w:val="34A0388E"/>
    <w:rsid w:val="34B24874"/>
    <w:rsid w:val="34C450E8"/>
    <w:rsid w:val="34E8B93B"/>
    <w:rsid w:val="357C3DA5"/>
    <w:rsid w:val="35B1697F"/>
    <w:rsid w:val="35F689C6"/>
    <w:rsid w:val="360DB258"/>
    <w:rsid w:val="3620D915"/>
    <w:rsid w:val="3628C69B"/>
    <w:rsid w:val="3630BF65"/>
    <w:rsid w:val="36329550"/>
    <w:rsid w:val="3684899C"/>
    <w:rsid w:val="375736AC"/>
    <w:rsid w:val="3759DA62"/>
    <w:rsid w:val="375B6C0F"/>
    <w:rsid w:val="3765CAC5"/>
    <w:rsid w:val="37CDA40F"/>
    <w:rsid w:val="381B84D7"/>
    <w:rsid w:val="3821DFBC"/>
    <w:rsid w:val="386B0A6A"/>
    <w:rsid w:val="38AB8981"/>
    <w:rsid w:val="38FB720A"/>
    <w:rsid w:val="393F566D"/>
    <w:rsid w:val="3951EE12"/>
    <w:rsid w:val="39B332E1"/>
    <w:rsid w:val="39B75538"/>
    <w:rsid w:val="3A1F7E5A"/>
    <w:rsid w:val="3A452C4E"/>
    <w:rsid w:val="3A6E7108"/>
    <w:rsid w:val="3A76AB14"/>
    <w:rsid w:val="3A829CD0"/>
    <w:rsid w:val="3A84F2A5"/>
    <w:rsid w:val="3A858703"/>
    <w:rsid w:val="3A9012BA"/>
    <w:rsid w:val="3A9D2D50"/>
    <w:rsid w:val="3AC2C657"/>
    <w:rsid w:val="3B21E08E"/>
    <w:rsid w:val="3B3426CC"/>
    <w:rsid w:val="3BB31265"/>
    <w:rsid w:val="3C2AA7CF"/>
    <w:rsid w:val="3C7228A8"/>
    <w:rsid w:val="3C9E464D"/>
    <w:rsid w:val="3D0FF6D2"/>
    <w:rsid w:val="3E207EC7"/>
    <w:rsid w:val="3E2CC804"/>
    <w:rsid w:val="3E91330B"/>
    <w:rsid w:val="3EAC4B84"/>
    <w:rsid w:val="3EDECD12"/>
    <w:rsid w:val="3F04A19E"/>
    <w:rsid w:val="3F1E6A46"/>
    <w:rsid w:val="3F2103D8"/>
    <w:rsid w:val="3F28F1E0"/>
    <w:rsid w:val="3F3E3A05"/>
    <w:rsid w:val="3F645DFE"/>
    <w:rsid w:val="3FD57785"/>
    <w:rsid w:val="4010298B"/>
    <w:rsid w:val="404B81C6"/>
    <w:rsid w:val="4094CF28"/>
    <w:rsid w:val="40C48A2F"/>
    <w:rsid w:val="40E7EA50"/>
    <w:rsid w:val="40EE3118"/>
    <w:rsid w:val="40F9F09B"/>
    <w:rsid w:val="412A9867"/>
    <w:rsid w:val="418234B9"/>
    <w:rsid w:val="42390ABD"/>
    <w:rsid w:val="42B03F9A"/>
    <w:rsid w:val="42D8874E"/>
    <w:rsid w:val="42FF262F"/>
    <w:rsid w:val="431E3AAE"/>
    <w:rsid w:val="433A3EA3"/>
    <w:rsid w:val="4374D251"/>
    <w:rsid w:val="43810F13"/>
    <w:rsid w:val="444E1581"/>
    <w:rsid w:val="444EE6CF"/>
    <w:rsid w:val="44623929"/>
    <w:rsid w:val="44BF35F4"/>
    <w:rsid w:val="45371F7C"/>
    <w:rsid w:val="453EDF03"/>
    <w:rsid w:val="45F55FEC"/>
    <w:rsid w:val="462B8B89"/>
    <w:rsid w:val="4644B909"/>
    <w:rsid w:val="46581DAE"/>
    <w:rsid w:val="46AC7313"/>
    <w:rsid w:val="46ECAB22"/>
    <w:rsid w:val="471075D0"/>
    <w:rsid w:val="471984FB"/>
    <w:rsid w:val="473BD9A6"/>
    <w:rsid w:val="4775810C"/>
    <w:rsid w:val="482EC743"/>
    <w:rsid w:val="48484374"/>
    <w:rsid w:val="4857209D"/>
    <w:rsid w:val="48688054"/>
    <w:rsid w:val="4949147C"/>
    <w:rsid w:val="4968BF82"/>
    <w:rsid w:val="4A01280B"/>
    <w:rsid w:val="4A0450B5"/>
    <w:rsid w:val="4A30DCB3"/>
    <w:rsid w:val="4A6A4E1A"/>
    <w:rsid w:val="4A6C2180"/>
    <w:rsid w:val="4AC5B611"/>
    <w:rsid w:val="4AD057AA"/>
    <w:rsid w:val="4AD17AAD"/>
    <w:rsid w:val="4AD67064"/>
    <w:rsid w:val="4AF90071"/>
    <w:rsid w:val="4B144A9C"/>
    <w:rsid w:val="4B1E0054"/>
    <w:rsid w:val="4B8A22DD"/>
    <w:rsid w:val="4C26D47D"/>
    <w:rsid w:val="4CE18675"/>
    <w:rsid w:val="4D081AF5"/>
    <w:rsid w:val="4D3E0EC7"/>
    <w:rsid w:val="4D610E01"/>
    <w:rsid w:val="4D88C67F"/>
    <w:rsid w:val="4DA1EEDC"/>
    <w:rsid w:val="4E1F3559"/>
    <w:rsid w:val="4E2D94EE"/>
    <w:rsid w:val="4E3C7069"/>
    <w:rsid w:val="4E51ABE0"/>
    <w:rsid w:val="4ED4992E"/>
    <w:rsid w:val="4F2E289B"/>
    <w:rsid w:val="4F571A23"/>
    <w:rsid w:val="4FBE5092"/>
    <w:rsid w:val="4FD6A758"/>
    <w:rsid w:val="4FEAD79A"/>
    <w:rsid w:val="50492228"/>
    <w:rsid w:val="5052D778"/>
    <w:rsid w:val="509CC21A"/>
    <w:rsid w:val="50EE0EFC"/>
    <w:rsid w:val="517DDA85"/>
    <w:rsid w:val="5196DDA9"/>
    <w:rsid w:val="51A69309"/>
    <w:rsid w:val="51BF0249"/>
    <w:rsid w:val="51F52224"/>
    <w:rsid w:val="52052518"/>
    <w:rsid w:val="5215A594"/>
    <w:rsid w:val="5248ACDC"/>
    <w:rsid w:val="5270E00E"/>
    <w:rsid w:val="52A4808E"/>
    <w:rsid w:val="52B8D51D"/>
    <w:rsid w:val="53768E03"/>
    <w:rsid w:val="5453CB04"/>
    <w:rsid w:val="54715EEC"/>
    <w:rsid w:val="551C7B48"/>
    <w:rsid w:val="5552C3D9"/>
    <w:rsid w:val="55AD00C1"/>
    <w:rsid w:val="5627DDDC"/>
    <w:rsid w:val="56320F7B"/>
    <w:rsid w:val="5633172D"/>
    <w:rsid w:val="5669147C"/>
    <w:rsid w:val="56D9C6FC"/>
    <w:rsid w:val="56DB9496"/>
    <w:rsid w:val="56E894B8"/>
    <w:rsid w:val="56EB4201"/>
    <w:rsid w:val="5770AB32"/>
    <w:rsid w:val="57C71A90"/>
    <w:rsid w:val="57D731EF"/>
    <w:rsid w:val="580B83F8"/>
    <w:rsid w:val="5812FA68"/>
    <w:rsid w:val="5838B90A"/>
    <w:rsid w:val="58846519"/>
    <w:rsid w:val="588CE7D0"/>
    <w:rsid w:val="588FB03B"/>
    <w:rsid w:val="59A8805A"/>
    <w:rsid w:val="59DD2467"/>
    <w:rsid w:val="5A0C392B"/>
    <w:rsid w:val="5A4E6B5C"/>
    <w:rsid w:val="5A6F7853"/>
    <w:rsid w:val="5B2A25AA"/>
    <w:rsid w:val="5B5474DF"/>
    <w:rsid w:val="5B594D8B"/>
    <w:rsid w:val="5B73E1F6"/>
    <w:rsid w:val="5B81AA06"/>
    <w:rsid w:val="5B873F98"/>
    <w:rsid w:val="5BABE3D1"/>
    <w:rsid w:val="5C046FD3"/>
    <w:rsid w:val="5CD175D7"/>
    <w:rsid w:val="5CF04540"/>
    <w:rsid w:val="5D191279"/>
    <w:rsid w:val="5D2FC7FD"/>
    <w:rsid w:val="5D46A0EA"/>
    <w:rsid w:val="5D8D852E"/>
    <w:rsid w:val="5D9EEA49"/>
    <w:rsid w:val="5DA4B8ED"/>
    <w:rsid w:val="5DB016CF"/>
    <w:rsid w:val="5DD19F35"/>
    <w:rsid w:val="5DDF6946"/>
    <w:rsid w:val="5DE802A1"/>
    <w:rsid w:val="5DF9BC0F"/>
    <w:rsid w:val="5EBFBD17"/>
    <w:rsid w:val="5F0E0787"/>
    <w:rsid w:val="5F1562A5"/>
    <w:rsid w:val="5F15F480"/>
    <w:rsid w:val="5F7CF35B"/>
    <w:rsid w:val="5FC2F294"/>
    <w:rsid w:val="5FCB1D39"/>
    <w:rsid w:val="5FCDE374"/>
    <w:rsid w:val="5FE2C77D"/>
    <w:rsid w:val="60227BDF"/>
    <w:rsid w:val="60269017"/>
    <w:rsid w:val="6043BACB"/>
    <w:rsid w:val="6049A083"/>
    <w:rsid w:val="60B52EA8"/>
    <w:rsid w:val="60D04816"/>
    <w:rsid w:val="6131966D"/>
    <w:rsid w:val="616127EF"/>
    <w:rsid w:val="619577B7"/>
    <w:rsid w:val="619710C2"/>
    <w:rsid w:val="61B125A1"/>
    <w:rsid w:val="61E1B363"/>
    <w:rsid w:val="622179F0"/>
    <w:rsid w:val="62428427"/>
    <w:rsid w:val="628D2F48"/>
    <w:rsid w:val="62BEABAC"/>
    <w:rsid w:val="62E69824"/>
    <w:rsid w:val="63922BEF"/>
    <w:rsid w:val="639D3BBA"/>
    <w:rsid w:val="640C05E9"/>
    <w:rsid w:val="6413FA71"/>
    <w:rsid w:val="6451F41C"/>
    <w:rsid w:val="646D072E"/>
    <w:rsid w:val="649B0213"/>
    <w:rsid w:val="64B85C45"/>
    <w:rsid w:val="6506A36D"/>
    <w:rsid w:val="650FC355"/>
    <w:rsid w:val="6517C6A6"/>
    <w:rsid w:val="653DAA98"/>
    <w:rsid w:val="654BF7D8"/>
    <w:rsid w:val="65834D08"/>
    <w:rsid w:val="658D94D2"/>
    <w:rsid w:val="65F44FA7"/>
    <w:rsid w:val="660FF86B"/>
    <w:rsid w:val="662FC4E3"/>
    <w:rsid w:val="66349912"/>
    <w:rsid w:val="66505BFF"/>
    <w:rsid w:val="66B44710"/>
    <w:rsid w:val="66D918F0"/>
    <w:rsid w:val="673272D6"/>
    <w:rsid w:val="677C9114"/>
    <w:rsid w:val="67C46542"/>
    <w:rsid w:val="6851B66C"/>
    <w:rsid w:val="68A71830"/>
    <w:rsid w:val="6917E534"/>
    <w:rsid w:val="696C39D4"/>
    <w:rsid w:val="69BC3786"/>
    <w:rsid w:val="6A1D30E7"/>
    <w:rsid w:val="6A21B232"/>
    <w:rsid w:val="6AABC01B"/>
    <w:rsid w:val="6B72F021"/>
    <w:rsid w:val="6BBF51FC"/>
    <w:rsid w:val="6BE9A001"/>
    <w:rsid w:val="6BEF0970"/>
    <w:rsid w:val="6C05E3F9"/>
    <w:rsid w:val="6C1E44B5"/>
    <w:rsid w:val="6C795D2D"/>
    <w:rsid w:val="6C8840B6"/>
    <w:rsid w:val="6D1DE2D2"/>
    <w:rsid w:val="6D22FA9D"/>
    <w:rsid w:val="6D23F1B0"/>
    <w:rsid w:val="6D406AE0"/>
    <w:rsid w:val="6D6061AD"/>
    <w:rsid w:val="6DA1B45A"/>
    <w:rsid w:val="6DB50E13"/>
    <w:rsid w:val="6DB5A85C"/>
    <w:rsid w:val="6DCBCB4F"/>
    <w:rsid w:val="6EA0BFE5"/>
    <w:rsid w:val="6EAA26F1"/>
    <w:rsid w:val="6F073E45"/>
    <w:rsid w:val="6F457241"/>
    <w:rsid w:val="6F859EBA"/>
    <w:rsid w:val="6FDFAB55"/>
    <w:rsid w:val="6FF6DD2C"/>
    <w:rsid w:val="6FFE0D8A"/>
    <w:rsid w:val="7003C08C"/>
    <w:rsid w:val="702B790A"/>
    <w:rsid w:val="709C7A7B"/>
    <w:rsid w:val="70DA3D49"/>
    <w:rsid w:val="70E142A2"/>
    <w:rsid w:val="70ECAED5"/>
    <w:rsid w:val="7104D466"/>
    <w:rsid w:val="7122EB5B"/>
    <w:rsid w:val="71718F78"/>
    <w:rsid w:val="71AF0CE8"/>
    <w:rsid w:val="71E97DA9"/>
    <w:rsid w:val="71F92DDA"/>
    <w:rsid w:val="7214E0FE"/>
    <w:rsid w:val="72461198"/>
    <w:rsid w:val="727D1303"/>
    <w:rsid w:val="727F01A4"/>
    <w:rsid w:val="72D7A182"/>
    <w:rsid w:val="72DFF391"/>
    <w:rsid w:val="7332BCC3"/>
    <w:rsid w:val="736319CC"/>
    <w:rsid w:val="7380D2AA"/>
    <w:rsid w:val="738722B7"/>
    <w:rsid w:val="73D5B876"/>
    <w:rsid w:val="73DF7FA3"/>
    <w:rsid w:val="73F051F9"/>
    <w:rsid w:val="7418E364"/>
    <w:rsid w:val="742F8FBC"/>
    <w:rsid w:val="749F8553"/>
    <w:rsid w:val="74FEEA2D"/>
    <w:rsid w:val="751CA21E"/>
    <w:rsid w:val="75515E65"/>
    <w:rsid w:val="759F22D0"/>
    <w:rsid w:val="76471F00"/>
    <w:rsid w:val="76D11E5C"/>
    <w:rsid w:val="76DE3C77"/>
    <w:rsid w:val="76E999B5"/>
    <w:rsid w:val="77496F4A"/>
    <w:rsid w:val="77508426"/>
    <w:rsid w:val="775EA4DA"/>
    <w:rsid w:val="778E294B"/>
    <w:rsid w:val="77DD6371"/>
    <w:rsid w:val="77E13D77"/>
    <w:rsid w:val="7816FCD9"/>
    <w:rsid w:val="78238B4D"/>
    <w:rsid w:val="782A28DC"/>
    <w:rsid w:val="78368AEF"/>
    <w:rsid w:val="78CA9067"/>
    <w:rsid w:val="78F62356"/>
    <w:rsid w:val="79641B5E"/>
    <w:rsid w:val="79C1F05D"/>
    <w:rsid w:val="7A25B94F"/>
    <w:rsid w:val="7A34DAEB"/>
    <w:rsid w:val="7A369449"/>
    <w:rsid w:val="7A3EA2C7"/>
    <w:rsid w:val="7AA08895"/>
    <w:rsid w:val="7ACED647"/>
    <w:rsid w:val="7AD82AA8"/>
    <w:rsid w:val="7B4A673E"/>
    <w:rsid w:val="7B70FD51"/>
    <w:rsid w:val="7BBF82C1"/>
    <w:rsid w:val="7BC02D42"/>
    <w:rsid w:val="7C1350DD"/>
    <w:rsid w:val="7C6238D6"/>
    <w:rsid w:val="7C74C2F6"/>
    <w:rsid w:val="7CBE8C1F"/>
    <w:rsid w:val="7CE957D6"/>
    <w:rsid w:val="7D4B7A18"/>
    <w:rsid w:val="7D7D63FD"/>
    <w:rsid w:val="7DB6E073"/>
    <w:rsid w:val="7E0935AF"/>
    <w:rsid w:val="7E365CDD"/>
    <w:rsid w:val="7E3B1295"/>
    <w:rsid w:val="7E480FE0"/>
    <w:rsid w:val="7E5B78AF"/>
    <w:rsid w:val="7E7EDB83"/>
    <w:rsid w:val="7EBFBB7D"/>
    <w:rsid w:val="7EDF0406"/>
    <w:rsid w:val="7EEE0C78"/>
    <w:rsid w:val="7F06C5D4"/>
    <w:rsid w:val="7F0B3399"/>
    <w:rsid w:val="7FD22D3E"/>
    <w:rsid w:val="7FDBDDD3"/>
    <w:rsid w:val="7FF1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99F3E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C32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31C32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7F0B68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7F0B68"/>
    <w:rPr>
      <w:rFonts w:eastAsiaTheme="minorEastAsia"/>
      <w:sz w:val="18"/>
      <w:szCs w:val="18"/>
      <w:lang w:val="pl-PL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31C32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31C32"/>
    <w:rPr>
      <w:color w:val="0563C1" w:themeColor="hyperlink"/>
      <w:u w:val="single"/>
    </w:rPr>
  </w:style>
  <w:style w:type="paragraph" w:customStyle="1" w:styleId="Default">
    <w:name w:val="Default"/>
    <w:rsid w:val="00931C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pplicationdirecte">
    <w:name w:val="Application directe"/>
    <w:basedOn w:val="Normal"/>
    <w:next w:val="Fait"/>
    <w:rsid w:val="00931C32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931C32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31C32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00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00B"/>
    <w:rPr>
      <w:rFonts w:eastAsiaTheme="minorEastAsia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B83EB1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A0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0BD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BD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?uri=OJ:L_202401623" TargetMode="External"/><Relationship Id="rId1" Type="http://schemas.openxmlformats.org/officeDocument/2006/relationships/hyperlink" Target="https://eur-lex.europa.eu/legal-content/PL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438E7D-06DF-42E6-AB6F-B451A1CE4C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B900DF-2ABA-494A-810D-223211D987E3}"/>
</file>

<file path=customXml/itemProps3.xml><?xml version="1.0" encoding="utf-8"?>
<ds:datastoreItem xmlns:ds="http://schemas.openxmlformats.org/officeDocument/2006/customXml" ds:itemID="{F356020B-25AF-49E4-9E50-CEBF4C4EAD7A}"/>
</file>

<file path=customXml/itemProps4.xml><?xml version="1.0" encoding="utf-8"?>
<ds:datastoreItem xmlns:ds="http://schemas.openxmlformats.org/officeDocument/2006/customXml" ds:itemID="{2B40A4FA-8552-4B3C-9341-F75B2ED7D331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2778</Words>
  <Characters>16309</Characters>
  <Application>Microsoft Office Word</Application>
  <DocSecurity>0</DocSecurity>
  <Lines>465</Lines>
  <Paragraphs>244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18843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https://eur-lex.europa.eu/legal-content/EN/AUTO/?uri=OJ:L:2013:176:TOC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2024-06-07T07:11:00Z</dcterms:created>
  <dcterms:modified xsi:type="dcterms:W3CDTF">2024-10-17T09:26:00Z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2024-09-26T14:32:27Z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adac863f-55d7-42d3-9a6a-c1b74fd6180c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