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t>PŘÍLOHA XXII – Zpřístupňování informací o použití přístupu IRB k úvěrovému riziku (vyjma úvěrového rizika protistrany)</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 xml:space="preserve">Tabulka EU CRE – Požadavky na zpřístupnění kvalitativních informací, které se týkají přístupu IRB. </w:t>
      </w:r>
      <w:r>
        <w:rPr>
          <w:rFonts w:ascii="Times New Roman" w:hAnsi="Times New Roman"/>
          <w:b/>
          <w:bCs/>
          <w:sz w:val="24"/>
        </w:rPr>
        <w:t>Flexibilní tabulka</w:t>
      </w:r>
      <w:r>
        <w:rPr>
          <w:rFonts w:ascii="Times New Roman" w:hAnsi="Times New Roman"/>
          <w:sz w:val="24"/>
        </w:rPr>
        <w:t>.</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Pr>
          <w:rFonts w:ascii="Times New Roman" w:hAnsi="Times New Roman"/>
          <w:sz w:val="24"/>
        </w:rPr>
        <w:t>Informace uvedené v čl. 452 písm. a) až f) nařízení (EU) č. 575/2013</w:t>
      </w:r>
      <w:r w:rsidRPr="00F1728C">
        <w:rPr>
          <w:rStyle w:val="FootnoteReference"/>
          <w:rFonts w:ascii="Times New Roman" w:hAnsi="Times New Roman"/>
        </w:rPr>
        <w:footnoteReference w:id="1"/>
      </w:r>
      <w:r>
        <w:rPr>
          <w:rFonts w:ascii="Times New Roman" w:hAnsi="Times New Roman"/>
          <w:sz w:val="24"/>
        </w:rPr>
        <w:t xml:space="preserve"> (dále jen „CRR“) zpřístupňují instituce podle níže uvedených pokynů k vyplnění tabulky EU CRE, obsažené v příloze XXI IT řešení orgánu EBA.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Odkazy na právní předpisy a pokyny</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Vysvětlení</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61247A8C"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 Čl. 452 písm. a)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Při zpřístupňování informací o rozsahu povolení přístupu nebo schváleného přechodu příslušným orgánem podle čl. 452 písm. a) nařízení (EU) č. 575/2013 instituce popíší hlavní charakteristiky ratingových systémů používaných v rámci přístupu IRB, pro který příslušný orgán vydal povolení, a druhy expozic, na které se tyto ratingové systémy vztahují. Instituce rovněž popíší druhy expozic, pro které mají povolení trvale částečně používat standardizovaný přístup v souladu s článkem 150 nařízení (EU) č. 575/2013 a které spadají do jejich plánů zavádění přístupu IRB v souladu s článkem 148 nařízení (EU) č. 575/2013. Popis se poskytuje na úrovni skupiny.</w:t>
            </w:r>
          </w:p>
        </w:tc>
      </w:tr>
      <w:tr w:rsidR="00087388" w:rsidRPr="00F1728C" w14:paraId="51935B2C" w14:textId="77777777" w:rsidTr="63E31B68">
        <w:trPr>
          <w:trHeight w:val="557"/>
        </w:trPr>
        <w:tc>
          <w:tcPr>
            <w:tcW w:w="1363" w:type="dxa"/>
            <w:vAlign w:val="top"/>
          </w:tcPr>
          <w:p w14:paraId="3715BE68" w14:textId="4F7E24AD"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b)</w:t>
            </w:r>
          </w:p>
        </w:tc>
        <w:tc>
          <w:tcPr>
            <w:tcW w:w="1179" w:type="dxa"/>
          </w:tcPr>
          <w:p w14:paraId="33991CEF" w14:textId="024AE8C4"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Čl. 452 písm. c) body i) až iv) CRR</w:t>
            </w:r>
          </w:p>
        </w:tc>
        <w:tc>
          <w:tcPr>
            <w:tcW w:w="7087" w:type="dxa"/>
          </w:tcPr>
          <w:p w14:paraId="10953D2B"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Popis kontrolních mechanismů pro ratingové systémy zahrnuje odhad rizikových parametrů, včetně vývoje a kalibrace interních modelů, jakož i kontroly při používání modelů a změn ratingových systémů. </w:t>
            </w:r>
          </w:p>
          <w:p w14:paraId="4D8089BD" w14:textId="323FBEA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V souladu s čl. 452 písm. c) body i) až iv) nařízení (EU) č. 575/2013 zahrnuje popis úlohy výše uvedených funkcí také:</w:t>
            </w:r>
          </w:p>
          <w:p w14:paraId="7F9D3557" w14:textId="77777777" w:rsidR="00087388" w:rsidRPr="00F1728C"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vztah mezi funkcí řízení rizik a funkcí interního auditu; </w:t>
            </w:r>
          </w:p>
          <w:p w14:paraId="24172694" w14:textId="2B769854" w:rsidR="00087388" w:rsidRPr="00A67F74" w:rsidRDefault="00087388" w:rsidP="00087388">
            <w:pPr>
              <w:pStyle w:val="ListParagraph"/>
              <w:numPr>
                <w:ilvl w:val="0"/>
                <w:numId w:val="1"/>
              </w:numPr>
              <w:spacing w:after="120"/>
              <w:jc w:val="both"/>
              <w:rPr>
                <w:rFonts w:ascii="Times New Roman" w:hAnsi="Times New Roman"/>
                <w:sz w:val="24"/>
                <w:szCs w:val="24"/>
              </w:rPr>
            </w:pPr>
            <w:r w:rsidRPr="00A67F74">
              <w:rPr>
                <w:rFonts w:ascii="Times New Roman" w:hAnsi="Times New Roman"/>
                <w:sz w:val="24"/>
                <w:szCs w:val="24"/>
              </w:rPr>
              <w:t xml:space="preserve">procesy a metody přezkumu ratingových systémů, včetně přezkumů odhadů podle čl. 179 odst. 1 písm. c) nařízení (EU) č. 575/2013 a validací; </w:t>
            </w:r>
          </w:p>
          <w:p w14:paraId="34B49B0F"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postupy a organizační opatření k zajištění nezávislosti funkce odpovědné za přezkumy modelů (validační funkce) na funkcích odpovědných za vývoj a kalibraci modelů; </w:t>
            </w:r>
          </w:p>
          <w:p w14:paraId="74A45581"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postup k zajištění odpovědnosti funkcí odpovědných za vývoj a za přezkumy modelů.</w:t>
            </w:r>
          </w:p>
        </w:tc>
      </w:tr>
      <w:tr w:rsidR="00344A92" w:rsidRPr="00344A92" w:rsidDel="00915DC9" w14:paraId="4E1160C1" w14:textId="77777777" w:rsidTr="63E31B68">
        <w:trPr>
          <w:trHeight w:val="973"/>
        </w:trPr>
        <w:tc>
          <w:tcPr>
            <w:tcW w:w="1363" w:type="dxa"/>
            <w:vAlign w:val="top"/>
          </w:tcPr>
          <w:p w14:paraId="0F95AF50" w14:textId="6D99D33C"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c)</w:t>
            </w:r>
          </w:p>
        </w:tc>
        <w:tc>
          <w:tcPr>
            <w:tcW w:w="1179" w:type="dxa"/>
          </w:tcPr>
          <w:p w14:paraId="4952FE1C" w14:textId="08E35ED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Čl. 452 písm. d) CRR</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rPr>
            </w:pPr>
            <w:r>
              <w:rPr>
                <w:rFonts w:ascii="Times New Roman" w:hAnsi="Times New Roman"/>
                <w:sz w:val="24"/>
              </w:rPr>
              <w:t>Instituce upřesní úlohu funkcí zapojených do vývoje, kalibrace, schvalování a následných změn ratingových systémů.</w:t>
            </w:r>
          </w:p>
        </w:tc>
      </w:tr>
      <w:tr w:rsidR="00344A92" w:rsidRPr="00344A92" w14:paraId="570A3446" w14:textId="77777777" w:rsidTr="63E31B68">
        <w:trPr>
          <w:trHeight w:val="1265"/>
        </w:trPr>
        <w:tc>
          <w:tcPr>
            <w:tcW w:w="1363" w:type="dxa"/>
            <w:vAlign w:val="top"/>
          </w:tcPr>
          <w:p w14:paraId="6543C3DB" w14:textId="414995F0"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lastRenderedPageBreak/>
              <w:t>d)</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rPr>
            </w:pPr>
            <w:r>
              <w:rPr>
                <w:rFonts w:ascii="Times New Roman" w:hAnsi="Times New Roman"/>
                <w:sz w:val="24"/>
              </w:rPr>
              <w:t>Čl. 452 písm. e) CRR</w:t>
            </w:r>
          </w:p>
        </w:tc>
        <w:tc>
          <w:tcPr>
            <w:tcW w:w="7087" w:type="dxa"/>
          </w:tcPr>
          <w:p w14:paraId="08F33471" w14:textId="288E1C76"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Instituce zpřístupní rozsah a hlavní obsah zpráv vedení souvisejících s modely IRB podle článku 189 nařízení (EU) č. 575/2013, jakož i příjemce a četnost těchto zpráv. </w:t>
            </w:r>
          </w:p>
        </w:tc>
      </w:tr>
      <w:tr w:rsidR="00087388" w:rsidRPr="00F1728C" w14:paraId="69AD8BED" w14:textId="77777777" w:rsidTr="63E31B68">
        <w:trPr>
          <w:trHeight w:val="1405"/>
        </w:trPr>
        <w:tc>
          <w:tcPr>
            <w:tcW w:w="1363" w:type="dxa"/>
            <w:vAlign w:val="top"/>
          </w:tcPr>
          <w:p w14:paraId="35EE8C6D" w14:textId="3F09FCD1"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Čl. 452 písm. f) CRR</w:t>
            </w:r>
          </w:p>
        </w:tc>
        <w:tc>
          <w:tcPr>
            <w:tcW w:w="7087" w:type="dxa"/>
          </w:tcPr>
          <w:p w14:paraId="5741F8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Zpřístupnění informací o systémech interních ratingů podle kategorie expozic zahrnuje počet klíčových modelů použitých pro každou kategorii expozic ve vztahu k jednotlivým druhům expozic, a to se stručným popisem hlavních rozdílů mezi modely v rámci téže kategorie expozice. Rovněž obsahuje popis hlavních charakteristik hlavních schválených modelů, a to zejména: </w:t>
            </w:r>
          </w:p>
          <w:p w14:paraId="4406B502"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 definic, metod a údajů pro odhad a validaci hodnot PD, včetně odhadů a validace PD u portfolií s nízkým počtem selhání, případných použitelných regulatorních limitů a určujících faktorů vedoucí k rozdílům vysledovaným mezi odhady PD a skutečnými mírami selhání nejméně za poslední tři roky; </w:t>
            </w:r>
          </w:p>
          <w:p w14:paraId="175405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ii) případně definic, metod a údajů pro odhad a validaci hodnot LGD, včetně odhadů a validace LGD při poklesu, informací o tom, jak se hodnoty LGD odhadují u portfolia s nízkým počtem selhání, a o časové prodlevě mezi selháním a uzavřením expozice; </w:t>
            </w:r>
          </w:p>
          <w:p w14:paraId="1E7620D5"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iii) definic, metod a údajů pro odhad a validaci konverzních faktorů, včetně předpokladů použitých při odvozování těchto odhadů.</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Šablona EU CR6 – Přístup IRB – Expozice úvěrového rizika podle kategorie expozic a rozmezí hodnot PD. Šablona s pevným formátem.</w:t>
      </w:r>
    </w:p>
    <w:p w14:paraId="28F760F7" w14:textId="286BC4B3" w:rsidR="003B7D6C" w:rsidRPr="00F1728C" w:rsidRDefault="00087388" w:rsidP="11F50173">
      <w:pPr>
        <w:pStyle w:val="ListParagraph"/>
        <w:numPr>
          <w:ilvl w:val="0"/>
          <w:numId w:val="7"/>
        </w:numPr>
        <w:spacing w:after="120"/>
        <w:jc w:val="both"/>
        <w:rPr>
          <w:rFonts w:ascii="Times New Roman" w:hAnsi="Times New Roman"/>
          <w:sz w:val="24"/>
          <w:szCs w:val="24"/>
        </w:rPr>
      </w:pPr>
      <w:r>
        <w:rPr>
          <w:rFonts w:ascii="Times New Roman" w:hAnsi="Times New Roman"/>
        </w:rPr>
        <w:t>Informace uvedené v čl. 452 písm. g) bodech i) a v) nařízení (EU) č. 575/2013 o hlavních parametrech použitých pro výpočet kapitálových požadavků podle přístupu IRB zpřístupňují instituce podle níže uvedených pokynů k vyplnění šablony EU CR6, obsažené v příloze XXI IT řešení orgánu EBA.</w:t>
      </w:r>
      <w:r>
        <w:rPr>
          <w:rFonts w:ascii="Times New Roman" w:hAnsi="Times New Roman"/>
          <w:sz w:val="24"/>
        </w:rPr>
        <w:t xml:space="preserve"> Informace uvedené v této šabloně nezahrnují údaje o specializovaném úvěrování podle čl. 153 odst. 4 nařízení (EU) č. 575/2013. Tato šablona nezahrnuje expozice úvěrového rizika protistrany (expozice CCR) (část třetí hlava II kapitola 6 nařízení (EU) č. 575/2013), sekuritizované expozice, jiná aktiva nemající povahu úvěrového závazku, subjekty kolektivního investování a akciové expozice.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Odkazy na právní předpisy a pokyny</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Vysvětlení</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rPr>
              <w:t>Rozmezí hodnot PD</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Jedná se o pevné rozmezí PD, které se nesmí měnit.</w:t>
            </w:r>
          </w:p>
          <w:p w14:paraId="5069DCCA" w14:textId="36434924" w:rsidR="00087388" w:rsidRPr="009610E4" w:rsidRDefault="00087388">
            <w:pPr>
              <w:pStyle w:val="Fait"/>
              <w:spacing w:before="0" w:after="120"/>
            </w:pPr>
            <w:r>
              <w:t xml:space="preserve">V případě, že jsou údaje o expozicích v selhání podle článku 178 nařízení (EU) č. 575/2013 dále členěny v souladu s případnými definicemi kategorií </w:t>
            </w:r>
            <w:r>
              <w:lastRenderedPageBreak/>
              <w:t>expozic v selhání, budou definice a hodnoty pro kategorie expozic v selhání vysvětleny v doprovodném komentáři.</w:t>
            </w:r>
          </w:p>
          <w:p w14:paraId="00D99C0B" w14:textId="4E59B29C" w:rsidR="00087388" w:rsidRPr="009610E4" w:rsidRDefault="00087388" w:rsidP="00725D4D">
            <w:pPr>
              <w:pStyle w:val="Fait"/>
              <w:spacing w:before="0" w:after="120"/>
            </w:pPr>
            <w:r>
              <w:t>Expozice se přiřadí k vhodnému koši pevného rozmezí PD na základě PD odhadnuté pro každého dlužníka zařazeného do dané kategorie expozic (při zohlednění případných substitučních účinků v důsledku snižování úvěrového rizika). Všechny expozice, u nichž došlo k selhání, se zahrnují do koše PD o hodnotě 100 %.</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lastRenderedPageBreak/>
              <w:t>a</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Rozvahové expozice</w:t>
            </w:r>
          </w:p>
          <w:p w14:paraId="27BE9730" w14:textId="7C0E0686" w:rsidR="00087388" w:rsidRPr="009610E4" w:rsidRDefault="00087388">
            <w:pPr>
              <w:pStyle w:val="Fait"/>
              <w:spacing w:before="0" w:after="120"/>
            </w:pPr>
            <w:r>
              <w:t>Hodnota expozice vypočtená podle čl. 166 odst. 1 až 7 nařízení (EU) č. 575/2013 bez zohlednění případných úprav z titulu úvěrového rizika a konverzních faktorů.</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r>
              <w:rPr>
                <w:rFonts w:ascii="Times New Roman" w:hAnsi="Times New Roman"/>
                <w:sz w:val="24"/>
              </w:rPr>
              <w:t>b</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Podrozvahové expozice před uplatněním úvěrového konverzního faktoru</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Hodnota expozice v souladu s čl. 166 odst. 1 až 7 nařízení (EU) č. 575/2013, bez zohlednění jakýchkoli úprav o úvěrové riziko a konverzních faktorů, vlastních odhadů ani konverzních faktorů uvedených v čl. 166 odst. 8 nařízení (EU) č. 575/2013.</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Podrozvahové expozice zahrnují všechny přislíbené, avšak nevyčerpané částky a všechny podrozvahové položky vyjmenované v příloze I nařízení (EU) č. 575/2013.</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Expozicí vážená průměrná hodnota úvěrového konverzního faktoru</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U všech expozic v každém koši pevné stupnice PD průměrný konverzní faktor, který instituce použily pro výpočet objemů rizikově vážených expozic, vážený podrozvahovou expozicí před vynásobením úvěrovým konverzním faktorem, jak je vykázán ve sloupci „c“ této šablony.</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Hodnota expozic po použití úvěrového konverzního faktoru a po snížení úvěrového rizika</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Hodnota expozice podle článku 166 nařízení (EU) č. 575/2013.</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Pr>
                <w:rFonts w:ascii="Times New Roman" w:hAnsi="Times New Roman"/>
                <w:sz w:val="24"/>
              </w:rPr>
              <w:t>Tento sloupec uvádí součet hodnoty rozvahových expozic a podrozvahových expozic po vynásobení konverzními faktory a procentními podíly podle čl. 166 odst. 8 a 9 nařízení (EU) č. 575/2013.</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Expozicí vážená průměrná hodnota PD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U všech expozic v každém koši pevného rozmezí PD průměrný odhad PD každého dlužníka vážený hodnotou expozice po vynásobení úvěrovým konverzním faktorem a snížení úvěrového rizika, jak je vykázán ve sloupci „e“ této šablony.</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Počet dlužníků</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Počet právních subjektů nebo dlužníků přiřazených ke každému koši pevně stanoveného rozmezí PD, jež byli ohodnoceni odděleně, bez ohledu na počet různých poskytnutých úvěrů nebo expozic.</w:t>
            </w:r>
          </w:p>
          <w:p w14:paraId="23AAE725" w14:textId="7CAFBF26" w:rsidR="00087388" w:rsidRPr="000A6489" w:rsidRDefault="00087388" w:rsidP="11F50173">
            <w:pPr>
              <w:spacing w:after="120"/>
              <w:jc w:val="both"/>
              <w:rPr>
                <w:rFonts w:ascii="Times New Roman" w:hAnsi="Times New Roman" w:cs="Times New Roman"/>
                <w:b/>
                <w:bCs/>
                <w:sz w:val="24"/>
              </w:rPr>
            </w:pPr>
            <w:r>
              <w:rPr>
                <w:rFonts w:ascii="Times New Roman" w:hAnsi="Times New Roman"/>
                <w:sz w:val="24"/>
              </w:rPr>
              <w:t xml:space="preserve">Se společnými dlužníky se zachází stejným způsobem jako pro účely kalibrace PD. Pokud jsou různé expozice vůči stejnému dlužníkovi ohodnoceny samostatně, započítávají se samostatně. K takové situaci může </w:t>
            </w:r>
            <w:r>
              <w:rPr>
                <w:rFonts w:ascii="Times New Roman" w:hAnsi="Times New Roman"/>
                <w:sz w:val="24"/>
              </w:rPr>
              <w:lastRenderedPageBreak/>
              <w:t>dojít v rámci kategorie retailových expozic, je-li definice selhání použita na úrovni jednotlivých úvěrových příslibů v souladu s čl. 178 odst. 1 poslední větou nařízení (EU) č. 575/2013, nebo jsou-li v jiných kategoriích expozic různým expozicím vůči témuž dlužníkovi přiřazeny různé ratingové stupně dlužníka v souladu s čl. 172 odst. 1 písm. e) druhou větou nařízení (EU) č. 575/2013.</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g</w:t>
            </w:r>
          </w:p>
        </w:tc>
        <w:tc>
          <w:tcPr>
            <w:tcW w:w="7483" w:type="dxa"/>
          </w:tcPr>
          <w:p w14:paraId="7DB67358" w14:textId="77777777" w:rsidR="00087388" w:rsidRPr="009610E4" w:rsidRDefault="00087388" w:rsidP="00725D4D">
            <w:pPr>
              <w:pStyle w:val="Fait"/>
              <w:spacing w:before="0" w:after="120"/>
              <w:rPr>
                <w:b/>
              </w:rPr>
            </w:pPr>
            <w:r>
              <w:rPr>
                <w:b/>
              </w:rPr>
              <w:t>Expozicí vážená průměrná hodnota LGD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U všech expozic v každém koši pevného rozmezí PD průměrný odhad LGD každé expozice vážený hodnotou expozice po vynásobení úvěrovým konverzním faktorem a snížení úvěrového rizika, jak je vykázán ve sloupci „e“ této šablony.</w:t>
            </w:r>
          </w:p>
          <w:p w14:paraId="322DD119" w14:textId="3B8EDC7F"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Uvedená hodnota LGD odpovídá konečnému odhadu LGD použitému pro výpočet rizikově vážených částek získaných po zvážení případných dopadů snižování úvěrového rizika a podmínek hospodářského poklesu. U retailových expozic zajištěných nemovitostmi zohlední uvedená hodnota LGD dolní meze uvedené v čl. 164 odst. 4 nařízení (EU) č. 575/2013.</w:t>
            </w:r>
          </w:p>
          <w:p w14:paraId="2D98E957" w14:textId="51EF9130"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V případě, že expozice podléhají přístupu dvojího selhání, odpovídá hodnota LGD, která má být zpřístupněna, LGD vybrané v souladu s čl. 161 odst. 4 nařízení (EU) č. 575/2013.</w:t>
            </w:r>
          </w:p>
          <w:p w14:paraId="1D3BC235" w14:textId="2591D8F8"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V případě expozic, u nichž došlo k selhání podle přístupu A-IRB, se zohlední ustanovení čl. 181 odst. 1 písm. h) nařízení (EU) č. 575/2013. Vykázaná hodnota LGD odpovídá odhadu LGD v selhání v souladu s použitelnými metodikami odhadu.</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Expozicí vážená průměrná splatnost (roky)</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U všech expozic v každém koši pevného rozmezí PD průměrná splatnost každé expozice vážená hodnotou expozice po vynásobení úvěrovým konverzním faktorem podle sloupce „e“ této šablony.</w:t>
            </w:r>
          </w:p>
          <w:p w14:paraId="0B4B4311" w14:textId="3775C18C" w:rsidR="00087388" w:rsidRPr="009610E4" w:rsidRDefault="00087388" w:rsidP="11F50173">
            <w:pPr>
              <w:spacing w:after="120"/>
              <w:rPr>
                <w:rFonts w:ascii="Times New Roman" w:hAnsi="Times New Roman" w:cs="Times New Roman"/>
                <w:sz w:val="24"/>
              </w:rPr>
            </w:pPr>
            <w:r>
              <w:rPr>
                <w:rFonts w:ascii="Times New Roman" w:hAnsi="Times New Roman"/>
                <w:sz w:val="24"/>
              </w:rPr>
              <w:t xml:space="preserve">Zpřístupněná hodnota splatnosti odráží článek 162 nařízení (EU) č. 575/2013. </w:t>
            </w:r>
          </w:p>
          <w:p w14:paraId="3D7CEB78" w14:textId="77777777" w:rsidR="00087388" w:rsidRPr="009610E4" w:rsidRDefault="00087388" w:rsidP="00725D4D">
            <w:pPr>
              <w:spacing w:after="120"/>
              <w:rPr>
                <w:rFonts w:ascii="Times New Roman" w:hAnsi="Times New Roman" w:cs="Times New Roman"/>
                <w:sz w:val="24"/>
              </w:rPr>
            </w:pPr>
            <w:r>
              <w:rPr>
                <w:rFonts w:ascii="Times New Roman" w:hAnsi="Times New Roman"/>
                <w:sz w:val="24"/>
              </w:rPr>
              <w:t>Průměrná splatnost se vykazuje v letech.</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Tento údaj se nezpřístupňuje u hodnot expozice, v jejichž případě splatnost není součástí výpočtu </w:t>
            </w:r>
            <w:r>
              <w:rPr>
                <w:rStyle w:val="InstructionsTabelleText"/>
                <w:rFonts w:ascii="Times New Roman" w:hAnsi="Times New Roman"/>
                <w:sz w:val="24"/>
              </w:rPr>
              <w:t>objemů rizikově vážených expozic</w:t>
            </w:r>
            <w:r>
              <w:rPr>
                <w:rFonts w:ascii="Times New Roman" w:hAnsi="Times New Roman"/>
                <w:sz w:val="24"/>
              </w:rPr>
              <w:t xml:space="preserve"> v souladu s částí třetí hlavou II kapitolou 3 nařízení (EU) č. 575/2013. Znamená to, že tento sloupec se nevyplňuje pro kategorii „retailové expozice“.</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Objem rizikově vážených expozic po uplatnění podpůrných koeficientů</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U expozic vůči ústředním vládám a centrálním bankám, institucím a podnikům objem rizikově vážené expozice vypočtený v souladu s čl. 153 odst. 1 až 4 nařízení (EU) č. 575/2013; u retailových expozic objem rizikově vážené expozice vypočítaný v souladu s článkem 154 nařízení (EU) č. 575/2013.</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Zohledňují se podpůrné koeficienty pro malé a střední podniky a infrastrukturu podle článků 501 a 501a nařízení (EU) č. 575/2013.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j</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b/>
                <w:sz w:val="24"/>
              </w:rPr>
              <w:t>Hustota objemů rizikově vážených expozic</w:t>
            </w:r>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Poměr mezi součtem objemů rizikově vážených expozic po uplatnění podpůrných koeficientů podle sloupce „j“ této šablony a hodnotou expozice ve sloupci „d“ této šablony.</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Výše očekávaných ztrát</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Výše očekávané ztráty vypočítaná v souladu s článkem 158 nařízení (EU) č. 575/2013.</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sz w:val="24"/>
              </w:rPr>
              <w:t>Výše očekávané ztráty, která má být zpřístupněna, vychází ze současných rizikových parametrů, které se používají v interním ratingovém systému schváleném příslušným orgánem.</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Úpravy ocenění a rezervy</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Specifické a obecné úpravy o úvěrové riziko v souladu s nařízením Komise v přenesené pravomoci (EU) č. 183/2014</w:t>
            </w:r>
            <w:r w:rsidRPr="000A6489">
              <w:rPr>
                <w:rStyle w:val="FootnoteReference"/>
                <w:rFonts w:ascii="Times New Roman" w:hAnsi="Times New Roman" w:cs="Times New Roman"/>
              </w:rPr>
              <w:footnoteReference w:id="2"/>
            </w:r>
            <w:r>
              <w:rPr>
                <w:rFonts w:ascii="Times New Roman" w:hAnsi="Times New Roman"/>
                <w:sz w:val="24"/>
              </w:rPr>
              <w:t>, dodatečné úpravy ocenění v souladu s články 34 a 110 nařízení (EU) č. 575/2013, jakož i další snížení kapitálu související s expozicemi přiřazenými každému koši pevného rozmezí PD.</w:t>
            </w:r>
          </w:p>
          <w:p w14:paraId="467B4F4E" w14:textId="0D254CBE"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Tyto úpravy ocenění a rezervy jsou brány v úvahu pro účely provádění článku 159 nařízení (EU) č. 575/2013.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Obecné rezervy se vykazují přiřazením poměrné hodnoty – na základě očekávané výše ztrát u různých ratingových stupňů dlužníka.</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Odkazy na právní předpisy a pokyny</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rFonts w:ascii="Times New Roman" w:hAnsi="Times New Roman" w:cs="Times New Roman"/>
                <w:bCs/>
                <w:sz w:val="24"/>
              </w:rPr>
            </w:pPr>
            <w:r>
              <w:rPr>
                <w:rFonts w:ascii="Times New Roman" w:hAnsi="Times New Roman"/>
                <w:sz w:val="24"/>
              </w:rPr>
              <w:t>Kategorie expozic X</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V případech, kdy instituce obdržely povolení používat pro výpočet objemů rizikově vážených expozic vlastní LGD a konverzní faktory, zpřístupní informace požadované v této šabloně samostatně pro kategorie expozic, na něž se povolení vztahuje (pokročilý přístup IRB). U kategorií expozic, pro které instituce nemá povolení používat vlastní odhady LGD a konverzních faktorů (základní přístup IRB, F-IRB), zpřístupňují instituce informace o příslušných expozicích samostatně pomocí šablony F-IRB. Další podrobnosti o kategoriích expozic viz pokyny k šabloně EU CR7 – Přístup IRB.</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Pokročilý přístup IRB (A-IRB)</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Pr>
                <w:rFonts w:ascii="Times New Roman" w:hAnsi="Times New Roman"/>
                <w:b/>
                <w:sz w:val="24"/>
              </w:rPr>
              <w:t>Kategorie expozic X</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Pro každou kategorii expozic vyjmenovanou v čl. 147 odst. 2 nařízení (EU) č. 575/2013, s výjimkami uvedenými výše, instituce zpřístupňují samostatnou šablonu s dalším členěním pro následující kategorie expozic:</w:t>
            </w:r>
          </w:p>
          <w:p w14:paraId="6EECA9BF" w14:textId="43ED359C" w:rsidR="00087388" w:rsidRPr="009610E4" w:rsidRDefault="00504A90" w:rsidP="00725D4D">
            <w:pPr>
              <w:spacing w:after="120"/>
              <w:jc w:val="both"/>
              <w:rPr>
                <w:rFonts w:ascii="Times New Roman" w:hAnsi="Times New Roman" w:cs="Times New Roman"/>
                <w:sz w:val="24"/>
              </w:rPr>
            </w:pPr>
            <w:r>
              <w:rPr>
                <w:rFonts w:ascii="Times New Roman" w:hAnsi="Times New Roman"/>
                <w:sz w:val="24"/>
              </w:rPr>
              <w:lastRenderedPageBreak/>
              <w:t>– v rámci kategorie expozic „expozice vůči podnikům“ členění v souladu s čl. 147 odst. 2 písm. c) body i), ii) a iii) nařízení (EU) č. 575/2013;</w:t>
            </w:r>
          </w:p>
          <w:p w14:paraId="45AEFE62" w14:textId="774CC043"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v rámci kategorie expozic „retailové expozice“ členění v souladu s čl. 147 odst. 2 písm. d) body i), ii), iii) a iv) nařízení (EU) č. 575/2013. </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Na konci každé samostatné šablony se pro každou kategorii expozic uvede řádek s celkovými objemy expozic.</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Pr>
                <w:rFonts w:ascii="Times New Roman" w:hAnsi="Times New Roman"/>
                <w:sz w:val="24"/>
              </w:rPr>
              <w:lastRenderedPageBreak/>
              <w:t>Základní přístup IRB (F-IRB)</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Pr>
                <w:rFonts w:ascii="Times New Roman" w:hAnsi="Times New Roman"/>
                <w:b/>
                <w:sz w:val="24"/>
              </w:rPr>
              <w:t xml:space="preserve">Kategorie expozic X </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Pro každou kategorii expozic vyjmenovanou v čl. 147 odst. 2 nařízení (EU) č. 575/2013, s výjimkami uvedenými výše, instituce zpřístupňují samostatnou šablonu s dalším členěním pro následující kategorie expozic:</w:t>
            </w:r>
          </w:p>
          <w:p w14:paraId="76DC65D8" w14:textId="34E061C7" w:rsidR="00504A90" w:rsidRPr="009610E4" w:rsidRDefault="4D7D683A" w:rsidP="11F50173">
            <w:pPr>
              <w:spacing w:after="120"/>
              <w:jc w:val="both"/>
              <w:rPr>
                <w:rFonts w:ascii="Times New Roman" w:hAnsi="Times New Roman" w:cs="Times New Roman"/>
                <w:sz w:val="24"/>
              </w:rPr>
            </w:pPr>
            <w:r>
              <w:rPr>
                <w:rFonts w:ascii="Times New Roman" w:hAnsi="Times New Roman"/>
                <w:sz w:val="24"/>
              </w:rPr>
              <w:t>– v rámci kategorie expozic „expozice vůči podnikům“ (čl. 147 odst. 2 nařízení (EU) č. 575/2013) členění v souladu s čl. 147 odst. 2 body i), ii) a iii) nařízení (EU) č. 575/2013.</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Šablona EU CR6-A – Přístup IRB – Rozsah použití přístupů IRB a SA Šablona s pevně daným formátem</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DF74F9" w:rsidRDefault="01E22573" w:rsidP="003B7D6C">
      <w:pPr>
        <w:pStyle w:val="ListParagraph"/>
        <w:numPr>
          <w:ilvl w:val="0"/>
          <w:numId w:val="7"/>
        </w:numPr>
        <w:spacing w:after="120"/>
        <w:jc w:val="both"/>
        <w:rPr>
          <w:rFonts w:ascii="Times New Roman" w:hAnsi="Times New Roman"/>
          <w:sz w:val="24"/>
          <w:szCs w:val="24"/>
        </w:rPr>
      </w:pPr>
      <w:r w:rsidRPr="00DF74F9">
        <w:rPr>
          <w:rFonts w:ascii="Times New Roman" w:hAnsi="Times New Roman"/>
          <w:sz w:val="24"/>
          <w:szCs w:val="24"/>
        </w:rPr>
        <w:t>Instituce, které vypočítávají objemy rizikově vážených expozic na základě přístupu IRB k úvěrovému riziku, zpřístupňují informace uvedené v čl. 452 písm. b) nařízení (EU) č. 575/2013 podle níže uvedených pokynů k vyplňování šablony EU CR6-A, obsažené v příloze XXI IT řešení orgánu EBA.</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Pro účely této šablony instituce přiřadí své expozice podléhající standardizovanému přístupu stanovenému v části třetí hlavě II kapitole 2 nebo přístupu IRB stanovenému v části třetí hlavě II kapitole 3 kategoriím expozic vymezeným podle přístupu IRB. Tato šablona nezahrnuje expozice úvěrového rizika protistrany (expozice CCR) (část třetí hlava II kapitola 6 nařízení (EU) č. 575/2013) a sekuritizované expozice.</w:t>
      </w:r>
    </w:p>
    <w:p w14:paraId="1865EDC4" w14:textId="7E9F1F9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V komentáři připojeném k šabloně instituce vysvětlí veškeré podstatné rozdíly mezi hodnotou expozice podle článku 166 u expozic, na něž se vztahuje přístup IRB, uvedenou ve sloupci „a“ šablony, a hodnotou expozice pro tytéž expozice podle čl. 429 odst. 4 nařízení (EU) č. 575/2013, uvedenou ve sloupcích „b“ a „d“ této šablony.</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Pr>
                <w:rFonts w:ascii="Times New Roman" w:hAnsi="Times New Roman"/>
                <w:b/>
                <w:sz w:val="24"/>
              </w:rPr>
              <w:t>Odkazy na právní předpisy a pokyny</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b/>
                <w:sz w:val="24"/>
              </w:rPr>
              <w:t>Hodnota celkových expozic ve smyslu článku 166 CRR u expozic, na něž se vztahuje přístup IRB</w:t>
            </w:r>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V tomto sloupci instituce uvedou celkovou hodnotu expozice ve smyslu 166 nařízení (EU) č. 575/2013 pouze pro expozice, na něž se vztahuje přístup IRB.</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Celková hodnota expozic, na něž se vztahuje standardizovaný přístup a přístup IRB</w:t>
            </w:r>
          </w:p>
          <w:p w14:paraId="715E07E7" w14:textId="108C0C4F"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K zpřístupnění celkové hodnoty expozice, včetně expozic podle standardizovaného přístupu a přístupu IRB, instituce použijí hodnotu expozice v souladu s čl. 429 odst. 4 nařízení (EU) č. 575/2013.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Procento celkové hodnoty expozic, na něž se vztahuje trvalé částečné použití standardizovaného přístupu (%)</w:t>
            </w:r>
          </w:p>
          <w:p w14:paraId="2766CDC2" w14:textId="5A19A0E5"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Část expozice pro každou kategorii expozic, na které se vztahuje standardizovaný přístup (expozice podléhající standardizovanému přístupu podle části třetí hlavy II kapitoly 2 v souladu s rozsahem povolení k trvalému částečnému použití standardizovaného přístupu obdrženého od příslušného orgánu podle článku 150 nařízení (EU) č. 575/2013) vůči celkové expozici v dané kategorii expozice podle sloupce „b“ této šablony.</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Procento celkové hodnoty expozic, na něž se vztahuje přístup IRB (%)</w:t>
            </w:r>
          </w:p>
          <w:p w14:paraId="7F835ACD" w14:textId="6B1A5E27"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Část expozice pro každou kategorii expozic, na které se vztahuje přístup IRB (expozice podléhající přístupu IRB podle části třetí hlavy II kapitoly 3 vůči celkové expozici v dané kategorii expozice), při dodržení rozsahu povolení k použití přístupu IRB obdrženého od příslušného orgánu podle článku 143 nařízení (EU) č. 575/2013, vůči celkové expozici v dané kategorii expozice podle sloupce „b“ této šablony. To zahrnuje jak expozice, u nichž mají instituce povolení používat nebo nepoužívat vlastní odhady LGD a konverzních faktorů (základní a pokročilý přístup IRB), včetně dohledového rozřazovacího přístupu pro specializované úvěrové expozice a akciové expozice podle metody zjednodušené rizikové váhy.</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Procento celkové hodnoty expozic, na něž se vztahuje plán zavedení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Část expozice pro každou kategorii aktiv, které se týká postupné zavádění přístupu IRB podle článku 148 nařízení (EU) č. 575/2013, vůči celkové expozici v dané kategorii expozic podle sloupce „b“. To zahrnuje:</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expozice, u nichž instituce plánují použít přístup IRB s vlastním odhadem LGD a konverzních faktorů nebo bez něj (základní nebo pokročilý přístup IRB);</w:t>
            </w:r>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nepodstatné akciové expozice nezahrnuté ve sloupcích „c“ a „d“ této šablony,</w:t>
            </w:r>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expozice, na které se již vztahuje základní přístup IRB v případě, že instituce hodlá v budoucnu uplatňovat pokročilý přístup IRB;</w:t>
            </w:r>
          </w:p>
          <w:p w14:paraId="3FD0FBD5" w14:textId="77777777" w:rsidR="00087388" w:rsidRPr="00F1728C" w:rsidRDefault="00087388" w:rsidP="00087388">
            <w:pPr>
              <w:pStyle w:val="ListParagraph"/>
              <w:numPr>
                <w:ilvl w:val="0"/>
                <w:numId w:val="3"/>
              </w:numPr>
              <w:spacing w:after="120"/>
              <w:jc w:val="both"/>
              <w:rPr>
                <w:rFonts w:ascii="Times New Roman" w:hAnsi="Times New Roman"/>
                <w:sz w:val="24"/>
              </w:rPr>
            </w:pPr>
            <w:r>
              <w:rPr>
                <w:rFonts w:ascii="Times New Roman" w:hAnsi="Times New Roman"/>
                <w:sz w:val="24"/>
              </w:rPr>
              <w:t>specializované úvěrové expozice v rámci dohledového rozřazovacího přístupu neuvedené ve sloupci „d“ této šablony.</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Odkazy na právní předpisy a pokyny</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1–8</w:t>
            </w:r>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Instituce v šabloně CR 6-A uvedou informace podle kategorií expozic v souladu s rozčleněním kategorií expozic uvedených v řádcích šablony. Další podrobnosti o třídách expozic naleznete v pokynech v šabloně EU CR7 – Přístup IRB.</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lastRenderedPageBreak/>
        <w:t>Šablona EU CR7 – Přístup IRB – Vliv úvěrových derivátů použitých jako techniky snižování úvěrového rizika na objemy rizikově vážených expozic. Šablona s pevným formátem.</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Informace uvedené v čl. 453 písm. j) nařízení (EU) č. 575/2013 zpřístupňují instituce podle níže uvedených pokynů k vyplnění šablony EU CR7, obsažené v příloze XXI IT řešení orgánu EBA. Instituce doplní šablonu popisným komentářem, ve kterém vysvětlí vliv úvěrových derivátů na objemy rizikově vážených expozic. Tato šablona nezahrnuje expozice úvěrového rizika protistrany (expozice CCR) (část třetí hlava II kapitola 6 nařízení (EU) č. 575/2013), sekuritizované expozice, jiná aktiva nemající povahu úvěrového závazku, subjekty kolektivního investování a akciové expozice.</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Odkazy na právní předpisy a pokyny</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Pr>
                <w:rFonts w:ascii="Times New Roman" w:hAnsi="Times New Roman"/>
                <w:b/>
                <w:color w:val="auto"/>
              </w:rPr>
              <w:t>Objem rizikově vážených expozic před použitím úvěrových derivátů</w:t>
            </w:r>
          </w:p>
          <w:p w14:paraId="42052019" w14:textId="4A521401" w:rsidR="00087388" w:rsidRPr="00F1728C" w:rsidRDefault="00087388" w:rsidP="00725D4D">
            <w:pPr>
              <w:pStyle w:val="Default"/>
              <w:spacing w:after="120"/>
              <w:rPr>
                <w:rFonts w:ascii="Times New Roman" w:hAnsi="Times New Roman" w:cs="Times New Roman"/>
              </w:rPr>
            </w:pPr>
            <w:r>
              <w:rPr>
                <w:rFonts w:ascii="Times New Roman" w:hAnsi="Times New Roman"/>
                <w:color w:val="auto"/>
              </w:rPr>
              <w:t>Hypotetický objem rizikově vážené expozice vypočtený jako skutečný objem rizikově vážené expozice za předpokladu, že úvěrový derivát není uznán jako technika snižování úvěrového rizika podle článku 204 nařízení (EU) č. 575/2013. Částky se uvádějí v kategoriích expozic relevantních pro expozice vůči původnímu dlužníkovi.</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Skutečný objem rizikově vážených expozic</w:t>
            </w:r>
          </w:p>
          <w:p w14:paraId="414E9D56"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Objem rizikově vážené expozice vypočtený se zohledněním dopadu úvěrových derivátů. Pokud instituce nahradí rizikovou váhu nebo rizikové parametry dlužníka rizikovou váhou nebo rizikovými parametry poskytovatele zajištění, uvedou se objemy rizikově vážených expozic v kategorii expozic relevantní pro přímé expozice vůči poskytovateli zajištění.</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Odkazy na právní předpisy a pokyny</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87388" w:rsidRPr="00F1728C" w14:paraId="474BA759" w14:textId="77777777" w:rsidTr="0F62C19C">
        <w:trPr>
          <w:trHeight w:val="316"/>
        </w:trPr>
        <w:tc>
          <w:tcPr>
            <w:tcW w:w="1413" w:type="dxa"/>
          </w:tcPr>
          <w:p w14:paraId="7EF76B82" w14:textId="59124E5B" w:rsidR="00087388" w:rsidRPr="000A6489" w:rsidRDefault="01E2257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1, EU 1a, EU 1b, 2, EU 2a, EU 2b, 3, 5, EU 5a, EU 5b, EU 5c, 6, EU 6a, EU 6b, EU 6c, EU 8a, 9, 10, EU 10a, EU 10b, 17, 18 </w:t>
            </w:r>
          </w:p>
        </w:tc>
        <w:tc>
          <w:tcPr>
            <w:tcW w:w="7654" w:type="dxa"/>
          </w:tcPr>
          <w:p w14:paraId="42115022" w14:textId="77777777" w:rsidR="005C42F4" w:rsidRDefault="01E22573" w:rsidP="00725D4D">
            <w:pPr>
              <w:pStyle w:val="Default"/>
              <w:spacing w:after="120"/>
              <w:jc w:val="both"/>
              <w:rPr>
                <w:rFonts w:ascii="Times New Roman" w:hAnsi="Times New Roman" w:cs="Times New Roman"/>
                <w:color w:val="auto"/>
              </w:rPr>
            </w:pPr>
            <w:r>
              <w:rPr>
                <w:rFonts w:ascii="Times New Roman" w:hAnsi="Times New Roman"/>
              </w:rPr>
              <w:t>Instituce zahrnou členění rizikově vážené expozice před použitím úvěrových derivátů a skutečné rizikově vážené expozice podle kategorií expozic v souladu s kategoriemi a podkategoriemi expozic uvedenými v čl. 147 odst. 2 nařízení (EU) č. 575/2013 a zvlášť pro expozice podle základního přístupu IRB a expozice podle pokročilého přístupu IRB.</w:t>
            </w:r>
            <w:r>
              <w:rPr>
                <w:rFonts w:ascii="Times New Roman" w:hAnsi="Times New Roman"/>
                <w:color w:val="auto"/>
              </w:rPr>
              <w:t xml:space="preserve"> </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Pr>
                <w:rFonts w:ascii="Times New Roman" w:hAnsi="Times New Roman"/>
              </w:rPr>
              <w:t>V řádcích 17 a 18 této šablony instituce uvedou mezisoučty pro expozice základního přístupu IRB a expozice pokročilého přístupu IRB.</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Pr>
                <w:rFonts w:ascii="Times New Roman" w:hAnsi="Times New Roman"/>
                <w:b/>
              </w:rPr>
              <w:t>Podniky – F-IRB</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lastRenderedPageBreak/>
              <w:t>Součet expozic v řádcích EU 5a, EU 5b, EU 5c.</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Pr>
                <w:rFonts w:ascii="Times New Roman" w:hAnsi="Times New Roman"/>
                <w:b/>
              </w:rPr>
              <w:t>Podniky – A-IRB</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Součet expozic v řádcích EU 6a, EU 6b, EU 6c.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8a</w:t>
            </w:r>
          </w:p>
        </w:tc>
        <w:tc>
          <w:tcPr>
            <w:tcW w:w="7654" w:type="dxa"/>
          </w:tcPr>
          <w:p w14:paraId="5EC39BD9" w14:textId="77777777" w:rsidR="001505CE" w:rsidRPr="000A6489" w:rsidRDefault="002C7F1A">
            <w:pPr>
              <w:autoSpaceDE w:val="0"/>
              <w:autoSpaceDN w:val="0"/>
              <w:adjustRightInd w:val="0"/>
              <w:spacing w:after="120"/>
              <w:jc w:val="both"/>
              <w:rPr>
                <w:rFonts w:ascii="Times New Roman" w:eastAsia="Times New Roman" w:hAnsi="Times New Roman" w:cs="Times New Roman"/>
                <w:b/>
                <w:bCs/>
              </w:rPr>
            </w:pPr>
            <w:r>
              <w:rPr>
                <w:rFonts w:ascii="Times New Roman" w:hAnsi="Times New Roman"/>
                <w:b/>
              </w:rPr>
              <w:t>Retailová oblast – A-IRB</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hAnsi="Times New Roman"/>
              </w:rPr>
              <w:t>Součet expozic v řádcích 9, 10, EU 10a, EU 10b.</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Pr>
                <w:rFonts w:ascii="Times New Roman" w:hAnsi="Times New Roman"/>
                <w:b/>
                <w:sz w:val="24"/>
              </w:rPr>
              <w:t>Celkové expozice</w:t>
            </w:r>
            <w:r>
              <w:rPr>
                <w:rFonts w:ascii="Times New Roman" w:hAnsi="Times New Roman"/>
                <w:sz w:val="24"/>
              </w:rPr>
              <w:t xml:space="preserve"> </w:t>
            </w:r>
          </w:p>
          <w:p w14:paraId="4E4B221A" w14:textId="77777777" w:rsidR="000264F8" w:rsidRDefault="00087388" w:rsidP="00725D4D">
            <w:pPr>
              <w:spacing w:after="120"/>
              <w:jc w:val="both"/>
              <w:rPr>
                <w:rFonts w:ascii="Times New Roman" w:hAnsi="Times New Roman" w:cs="Times New Roman"/>
                <w:sz w:val="24"/>
              </w:rPr>
            </w:pPr>
            <w:r>
              <w:rPr>
                <w:rFonts w:ascii="Times New Roman" w:hAnsi="Times New Roman"/>
                <w:sz w:val="24"/>
              </w:rPr>
              <w:t xml:space="preserve">Celkový objem rizikově vážené expozice před použitím úvěrových derivátů a celkový skutečný objem rizikově vážené expozice pro všechny expozice, na které se použije přístup IRB (základní i pokročilý přístup IRB). </w:t>
            </w:r>
          </w:p>
          <w:p w14:paraId="472ACCEE" w14:textId="52317465" w:rsidR="00087388" w:rsidRPr="000A6489" w:rsidRDefault="00E60EAB" w:rsidP="00725D4D">
            <w:pPr>
              <w:spacing w:after="120"/>
              <w:jc w:val="both"/>
              <w:rPr>
                <w:rFonts w:ascii="Times New Roman" w:hAnsi="Times New Roman" w:cs="Times New Roman"/>
                <w:sz w:val="24"/>
              </w:rPr>
            </w:pPr>
            <w:r>
              <w:rPr>
                <w:rFonts w:ascii="Times New Roman" w:hAnsi="Times New Roman"/>
                <w:sz w:val="24"/>
              </w:rPr>
              <w:t xml:space="preserve">Součet expozic v řádcích 1, EU 1a, EU 1b, 2, EU 2a, EU 2b, 3, 5, 6, EU 8a. </w:t>
            </w:r>
          </w:p>
        </w:tc>
      </w:tr>
    </w:tbl>
    <w:p w14:paraId="0FB78278" w14:textId="77777777" w:rsidR="00087388" w:rsidRPr="000A6489" w:rsidRDefault="00087388" w:rsidP="00087388">
      <w:pPr>
        <w:spacing w:after="120"/>
        <w:rPr>
          <w:rFonts w:ascii="Times New Roman" w:hAnsi="Times New Roman" w:cs="Times New Roman"/>
          <w:sz w:val="24"/>
          <w:lang w:val="fr-FR"/>
        </w:rPr>
      </w:pPr>
    </w:p>
    <w:p w14:paraId="03923879" w14:textId="26214CE1" w:rsidR="00087388" w:rsidRPr="00F1728C" w:rsidRDefault="00087388" w:rsidP="00087388">
      <w:pPr>
        <w:spacing w:after="120"/>
        <w:rPr>
          <w:rFonts w:ascii="Times New Roman" w:hAnsi="Times New Roman" w:cs="Times New Roman"/>
          <w:b/>
          <w:sz w:val="24"/>
        </w:rPr>
      </w:pPr>
      <w:r>
        <w:rPr>
          <w:rFonts w:ascii="Times New Roman" w:hAnsi="Times New Roman"/>
          <w:b/>
          <w:sz w:val="24"/>
        </w:rPr>
        <w:t xml:space="preserve">Šablona EU CR7-A – Přístup IRB – Zpřístupňování informací o rozsahu využití technik snižování úvěrového rizika </w:t>
      </w:r>
    </w:p>
    <w:p w14:paraId="5CDB174B" w14:textId="51DDF066"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rPr>
        <w:t>Informace uvedené v čl. 453 písm. g) nařízení (EU) č. 575/2013 zvlášť pro expozice podle základního přístupu IRB a expozice podle pokročilého přístupu IRB zpřístupňují instituce podle níže uvedených pokynů k vyplnění šablony EU CR7-A, obsažené v příloze XXI IT řešení orgánu EBA.</w:t>
      </w:r>
      <w:r>
        <w:rPr>
          <w:rFonts w:ascii="Times New Roman" w:hAnsi="Times New Roman"/>
          <w:sz w:val="24"/>
        </w:rPr>
        <w:t xml:space="preserve"> V případě, že se položka majetkového zajištění úvěrového rizika vztahuje na více než jednu expozici, součet expozic považovaných za zajištěné touto položkou nesmí překročit hodnotu položky úvěrového zajištění. </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Tato šablona nezahrnuje expozice úvěrového rizika protistrany (expozice CCR) (část třetí hlava II kapitola 6 nařízení (EU) č. 575/2013), sekuritizované expozice, jiná aktiva nemající povahu úvěrového závazku a akciové expozice.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Odkazy na právní předpisy a pokyny</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Celkové expozice</w:t>
            </w:r>
          </w:p>
          <w:p w14:paraId="11B4E377" w14:textId="68650BB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Hodnota expozice (po použití konverzních faktorů) podle článků 166 a 167 nařízení (EU) č. 575/2013.</w:t>
            </w:r>
          </w:p>
          <w:p w14:paraId="130EEB9C"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Expozice se zpřístupňují v souladu s kategorií expozic použitelnou pro dlužníka, bez zohlednění případných substitučních účinků v důsledku existence záruky.</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Majetkové zajištění úvěrového rizika – Podíl expozic krytých finančním kolaterálem (v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Procentní podíl expozic zajištěných finančním kolaterálem vůči celkovým expozicím podle sloupce „a“ této šablony.</w:t>
            </w:r>
          </w:p>
          <w:p w14:paraId="1161AB0B" w14:textId="09AAEB12"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Pokud jsou splněny všechny požadavky stanovené v čl. 207 odst. 2 až 4 nařízení (EU) č. 575/2013, zahrne se do čitatele finanční kolaterál včetně hotovostního kolaterálu, dluhových cenných papírů a zlata podle článků 197 a 198 nařízení (EU) č. 575/2013. Hodnota uvedeného kolaterálu je omezena hodnotou expozice na úrovni jednotlivé expozice.</w:t>
            </w:r>
          </w:p>
          <w:p w14:paraId="4EB0550C" w14:textId="66AEA03D"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lastRenderedPageBreak/>
              <w:t xml:space="preserve">Pokud jsou používány vlastní odhady LGD: finanční kolaterál zohledňovaný v odhadech LGD podle čl. 181 odst. 1 písm. e) a f) nařízení (EU) č. 575/2013. Výše, která má být zpřístupněna, odpovídá odhadované tržní hodnotě kolaterálu.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c</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Majetkové zajištění úvěrového rizika – Podíl expozic krytých jiným způsobilým kolaterálem (v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Procentní podíl expozic zajištěných jiným způsobilým kolaterálem vůči celkovým expozicím podle sloupce „a“ této šablony.</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Hodnoty uvedené v tomto sloupci jsou součtem hodnot ve sloupcích „d“ až „f“ této šablony.</w:t>
            </w:r>
          </w:p>
          <w:p w14:paraId="2F6A5BCF" w14:textId="0B212FEC" w:rsidR="00087388" w:rsidRPr="001505CE" w:rsidRDefault="00087388" w:rsidP="11F50173">
            <w:pPr>
              <w:spacing w:after="120"/>
              <w:rPr>
                <w:rFonts w:ascii="Times New Roman" w:hAnsi="Times New Roman" w:cs="Times New Roman"/>
                <w:sz w:val="24"/>
              </w:rPr>
            </w:pPr>
            <w:r>
              <w:rPr>
                <w:rFonts w:ascii="Times New Roman" w:hAnsi="Times New Roman"/>
                <w:sz w:val="24"/>
              </w:rPr>
              <w:t>Pokud nejsou používány vlastní odhady LGD: Ustanovení čl. 199 odst. 1 až 8 a článek 229 nařízení (EU) č. 575/2013.</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Pokud jsou používány vlastní odhady LGD: ostatní kolaterál zohledňovaný v odhadech LGD podle čl. 181 odst. 1 písm. e) a f) nařízení (EU) č. 575/2013.</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Majetkové zajištění úvěrového rizika – Podíl expozic krytých nemovitým kolaterálem (v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Procentní podíl expozic zajištěných kolaterálem ve formě nemovitostí včetně pronájmu podle čl. 199 odst. 7 nařízení (EU) č. 575/2013 vůči celkovým expozicím podle sloupce „a“ této šablony.</w:t>
            </w:r>
          </w:p>
          <w:p w14:paraId="1E5FFFA3" w14:textId="425B55C6" w:rsidR="00087388" w:rsidRPr="001505CE" w:rsidRDefault="00087388" w:rsidP="11F50173">
            <w:pPr>
              <w:spacing w:after="120"/>
              <w:rPr>
                <w:rFonts w:ascii="Times New Roman" w:hAnsi="Times New Roman" w:cs="Times New Roman"/>
                <w:sz w:val="24"/>
              </w:rPr>
            </w:pPr>
            <w:r>
              <w:rPr>
                <w:rFonts w:ascii="Times New Roman" w:hAnsi="Times New Roman"/>
                <w:sz w:val="24"/>
              </w:rPr>
              <w:t xml:space="preserve">Kolaterál ve formě nemovitostí bude zařazen do čitatele, pokud splňuje všechny požadavky způsobilosti stanovené v čl. 208 odst. 2 až 5 nařízení (EU) č. 575/2013.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rFonts w:ascii="Times New Roman" w:hAnsi="Times New Roman"/>
                <w:sz w:val="24"/>
              </w:rPr>
              <w:t>Pronájem nemovitostí bude zařazen do čitatele, pokud splňuje všechny požadavky způsobilosti stanovené v článku 211 nařízení (EU) č. 575/2013. Vykázaná hodnota kolaterálu je omezena hodnotou expozice na úrovni jednotlivé expozice.</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Podíl expozic krytých pohledávkami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Procentní podíl expozic zajištěných pohledávkami podle čl. 199 odst. 5 nařízení (EU) č. 575/2013 vůči celkovým expozicím podle sloupce „a“ této šablony.</w:t>
            </w:r>
          </w:p>
          <w:p w14:paraId="710DCA31" w14:textId="76FAEE9F"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Pohledávky budou zařazeny do čitatele, pokud splňují všechny požadavky způsobilosti stanovené v článku 209 nařízení (EU) č. 575/2013. Vykázaná hodnota kolaterálu je omezena hodnotou expozice na úrovni jednotlivé expozice.</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Podíl expozic krytých jiným fyzickým kolaterálem (%)</w:t>
            </w:r>
          </w:p>
          <w:p w14:paraId="654C6C9C" w14:textId="430BF6CF"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Procentní podíl expozic zajištěných jiným hmotným kolaterálem včetně pronájmu tohoto kolaterálu podle čl. 199 odst. 6 a 8 nařízení (EU) č. 575/2013 vůči celkovým expozicím podle sloupce „a“ této šablony.</w:t>
            </w:r>
          </w:p>
          <w:p w14:paraId="082434AC" w14:textId="5B847DD3" w:rsidR="00087388" w:rsidRPr="001505CE" w:rsidRDefault="00087388" w:rsidP="11F50173">
            <w:pPr>
              <w:spacing w:after="120"/>
              <w:rPr>
                <w:rFonts w:ascii="Times New Roman" w:eastAsia="Times New Roman" w:hAnsi="Times New Roman" w:cs="Times New Roman"/>
                <w:sz w:val="24"/>
              </w:rPr>
            </w:pPr>
            <w:r>
              <w:rPr>
                <w:rFonts w:ascii="Times New Roman" w:hAnsi="Times New Roman"/>
                <w:sz w:val="24"/>
              </w:rPr>
              <w:t>Ostatní hmotný kolaterál bude zařazen do čitatele, pokud splňuje všechny požadavky způsobilosti stanovené v článku 210 nařízení (EU) č. 575/2013. Vykázaná hodnota kolaterálu je omezena hodnotou expozice na úrovni jednotlivé expozice.</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g</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Podíl expozic krytých jiným majetkovým zajištěním úvěrového rizika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Procentní podíl expozic zajištěných jiným majetkovým zajištěním úvěrového rizika vůči celkovým expozicím podle sloupce „a“.</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Hodnoty uvedené v tomto sloupci jsou součtem hodnot ve sloupcích „h“, „i“ a „j“ této šablony.</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Majetkové zajištění úvěrového rizika – Podíl expozic krytých hotovostními vklady (v %)</w:t>
            </w:r>
          </w:p>
          <w:p w14:paraId="04D50369" w14:textId="14BFD562"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Procentní podíl expozic zajištěných hotovostí nebo hotovostními nástroji v držení třetí strany, která je institucí, vůči celkovým expozicím podle sloupce „a“ této šablony; v souladu s čl. 200 písm. a) nařízení (EU) č. 575/2013 zahrnuje ostatní majetkové zajištění úvěrového rizika složenou hotovost nebo hotovostní nástroje v držení třetí strany, která je institucí, které nejsou ve správě třetí strany a jsou zastavené ve prospěch instituce poskytující úvěr. </w:t>
            </w:r>
          </w:p>
          <w:p w14:paraId="7BA415CF" w14:textId="77777777" w:rsidR="00087388" w:rsidRPr="001505CE" w:rsidRDefault="00087388" w:rsidP="00725D4D">
            <w:pPr>
              <w:spacing w:after="120"/>
              <w:jc w:val="both"/>
              <w:rPr>
                <w:rFonts w:ascii="Times New Roman" w:hAnsi="Times New Roman" w:cs="Times New Roman"/>
                <w:sz w:val="24"/>
              </w:rPr>
            </w:pPr>
            <w:r>
              <w:rPr>
                <w:rFonts w:ascii="Times New Roman" w:hAnsi="Times New Roman"/>
                <w:sz w:val="24"/>
              </w:rPr>
              <w:t>Vykázaná hodnota kolaterálu je omezena hodnotou expozice na úrovni jednotlivé expozice.</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Majetkové zajištění úvěrového rizika – Podíl expozic krytých životními pojistkami (v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Procentní podíl expozic zajištěných životními pojistkami vůči celkovým expozicím podle sloupce „a“ této šablony.</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V souladu s čl. 200 písm. b) nařízení (EU) č. 575/2013 zahrnuje ostatní majetkové zajištění úvěrového rizika životní pojistky zastavené ve prospěch instituce poskytující úvěr. Vykázaná hodnota kolaterálu je omezena hodnotou expozice na úrovni jednotlivé expozice.</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Podíl expozic krytých nástroji v držení třetí strany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Procentní podíl expozic zajištěných nástroji v držení třetí strany vůči celkovým expozicím podle sloupce „a“ této šablony; podíl expozic krytých nástroji vydanými třetí stranou vůči celkovým expozicím.</w:t>
            </w:r>
          </w:p>
          <w:p w14:paraId="677167CD" w14:textId="1A3C531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V souladu s čl. 200 písm. c) nařízení (EU) č. 575/2013 zahrnuje uvedená hodnota nástroje vydané třetí stranou, která je institucí, jež budou na požádání touto institucí zpětně odkoupeny. Hodnota kolaterálu je omezena na hodnotu expozice na úrovni jednotlivé expozice. Tento procentní podíl nezahrnuje expozice kryté nástroji v držení třetí strany, pokud instituce v souladu s čl. 232 odst. 4 nařízení (EU) č. 575/2013 nakládá s nástroji, které budou na požádání zpětně odkoupeny a které jsou způsobilé podle čl. 200 písm. c) nařízení (EU) č. 575/2013, jako se zárukou emitující instituce.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Osobní zajištění úvěrového rizika – Podíl expozic krytých zárukami (v %)</w:t>
            </w:r>
          </w:p>
          <w:p w14:paraId="1527F03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Procentní podíl expozic zajištěných zárukami vůči celkovým expozicím podle sloupce „a“ této šablony. </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Záruky musí splňovat požadavek stanovený v článcích 213, 214, 215 a v čl. 232 odst. 4 nařízení (EU) č. 575/2013. Hodnota záruk je omezena na hodnotu expozice na úrovni jednotlivé expozice.</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l</w:t>
            </w:r>
          </w:p>
        </w:tc>
        <w:tc>
          <w:tcPr>
            <w:tcW w:w="7654" w:type="dxa"/>
          </w:tcPr>
          <w:p w14:paraId="2AF14E0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 xml:space="preserve">Osobní zajištění úvěrového rizika – Podíl expozic krytých úvěrovými deriváty (v %)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Procentní podíl expozic zajištěných úvěrovými deriváty vůči celkovým expozicím podle sloupce „a“ této šablony.</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Úvěrové deriváty zahrnují:</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swapy úvěrového selhání;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swapy veškerých výnosů;</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úvěrové dluhopisy do výše, v jaké jsou podloženy hotovostí.</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Tyto nástroje musí splňovat požadavek stanovený v čl. 204 odst. 1 a 2 a v článcích 213, 216 nařízení (EU) č. 575/2013. Hodnota úvěrových derivátů je omezena na hodnotu expozice na úrovni jednotlivé expozice.</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Objem rizikově vážených expozic bez substitučních účinků (pouze redukční účinky)</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Objemy rizikově vážených expozic vypočtené podle čl. 92 odst. 4 písm. a) a g) nařízení (EU) č. 575/2013, včetně jakéhokoli snížení těchto objemů v důsledku existence majetkového nebo osobního zajištění úvěrového rizika, včetně případů substituce PD a LGD nebo rizikové váhy v důsledku existence osobního zajištění úvěrového rizika. Nicméně ve všech případech, včetně případů, kdy je použit substituční přístup, jsou expozice uvedeny v původních kategoriích expozic vztahujících se na dlužníka.</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Objem rizikově vážených expozic se substitučními účinky (redukční i substituční účinky)</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Objemy rizikově vážených expozic vypočtené podle článků 153 až 157 nařízení (EU) č. 575/2013, včetně jakéhokoli snížení těchto objemů v důsledku existence majetkového nebo osobního zajištění úvěrového rizika. Pokud jsou PD a LGD nebo riziková váha substituovány z důvodu existence osobního zajištění úvěrového rizika, expozice se uvádějí v kategorii expozic vztahující se na poskytovatele zajištění.</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Odkazy na právní předpisy a pokyny</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Tyto informace se zpřístupňují zvlášť pro expozice v rámci přístupu A-IRB, přístupu F-IRB, jakož i pro specializované úvěrové expozice v rámci rozřazovacího přístupu a akciové expozice.</w:t>
            </w:r>
            <w:r>
              <w:rPr>
                <w:rFonts w:ascii="Times New Roman" w:hAnsi="Times New Roman"/>
                <w:color w:val="auto"/>
              </w:rP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Pokročilý přístup IRB (A-IRB)</w:t>
            </w:r>
          </w:p>
        </w:tc>
        <w:tc>
          <w:tcPr>
            <w:tcW w:w="7654" w:type="dxa"/>
          </w:tcPr>
          <w:p w14:paraId="19047FB2" w14:textId="22D4A027" w:rsidR="00CB5E4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Instituce uvedou informace o technikách snižování úvěrového rizika obsažené v této šabloně podle kategorií expozic v souladu s kategoriemi expozic uvedenými v čl. 147 odst. 2 nařízení (EU) č. 575/2013 a s dalším členěním pro kategorii expozic: </w:t>
            </w:r>
          </w:p>
          <w:p w14:paraId="397AD12E" w14:textId="5210C605"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v rámci kategorie expozic „expozice vůči podnikům“ členění v souladu s čl. 147 odst. 2 písm. c) body i), ii) a iii);</w:t>
            </w:r>
          </w:p>
          <w:p w14:paraId="6C25BE4E" w14:textId="77777777" w:rsidR="00CB5E48" w:rsidRPr="00F1728C" w:rsidRDefault="00CB5E48" w:rsidP="00CB5E48">
            <w:pPr>
              <w:pStyle w:val="Default"/>
              <w:spacing w:after="120"/>
              <w:rPr>
                <w:rFonts w:ascii="Times New Roman" w:eastAsia="Times New Roman" w:hAnsi="Times New Roman" w:cs="Times New Roman"/>
                <w:iCs/>
              </w:rPr>
            </w:pPr>
            <w:r>
              <w:rPr>
                <w:rFonts w:ascii="Times New Roman" w:hAnsi="Times New Roman"/>
              </w:rPr>
              <w:lastRenderedPageBreak/>
              <w:t>– v rámci kategorie expozic „retailové expozice“ členění v souladu s čl. 147 odst. 2 písm. d) body i), ii), iii) a iv).</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Základní přístup IRB (F-IRB)</w:t>
            </w:r>
          </w:p>
        </w:tc>
        <w:tc>
          <w:tcPr>
            <w:tcW w:w="7654" w:type="dxa"/>
          </w:tcPr>
          <w:p w14:paraId="6A6EA4D6" w14:textId="54B95CE5" w:rsidR="0008738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Instituce uvedou informace o technikách snižování úvěrového rizika obsažené v této šabloně podle kategorií expozic v souladu s kategoriemi expozic uvedenými v čl. 147 odst. 2 nařízení (EU) č. 575/2013 a s dalším členěním pro kategorii expozic: </w:t>
            </w:r>
          </w:p>
          <w:p w14:paraId="45A5AA8D"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v rámci kategorie expozic „expozice vůči podnikům“ členění v souladu s čl. 147 odst. 2 písm. c) body i), ii) a iii).</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rPr>
              <w:t xml:space="preserve"> </w:t>
            </w:r>
          </w:p>
        </w:tc>
      </w:tr>
    </w:tbl>
    <w:p w14:paraId="5F90E7FE" w14:textId="77777777" w:rsidR="00087388" w:rsidRPr="00F1728C" w:rsidRDefault="00087388" w:rsidP="00087388">
      <w:pPr>
        <w:spacing w:before="240" w:after="120"/>
        <w:rPr>
          <w:rFonts w:ascii="Times New Roman" w:hAnsi="Times New Roman" w:cs="Times New Roman"/>
          <w:b/>
          <w:sz w:val="24"/>
        </w:rPr>
      </w:pPr>
      <w:r>
        <w:rPr>
          <w:rFonts w:ascii="Times New Roman" w:hAnsi="Times New Roman"/>
          <w:b/>
          <w:sz w:val="24"/>
        </w:rPr>
        <w:t xml:space="preserve">Šablona EU CR8 – Tokové výkazy objemů rizikově vážených expozic (RWEA) o expozicích úvěrového rizika podle přístupu IRB. Šablona s pevným formátem. </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Informace uvedené v čl. 438 písm. h) nařízení (EU) č. 575/2013 zpřístupňují instituce podle níže uvedených pokynů k vyplnění šablony EU CR8, obsažené v příloze XXI IT řešení orgánu EBA. Informace v této šabloně nezahrnují expozice úvěrového rizika protistrany (expozice CCR) (část třetí hlava II kapitola 6 nařízení (EU) č. 575/2013.</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Instituce zpřístupní toky RWEA jako změny mezi objemy rizikově vážených expozic ke konci referenčního období, za něž se zpřístupňují informace (jak je uvedeno níže v řádku 9 této šablony), a objemy rizikově vážených expozic ke konci předchozího referenčního období (jak je uvedeno níže v řádku 1 této šablony;</w:t>
      </w:r>
      <w:r>
        <w:rPr>
          <w:rFonts w:ascii="Times New Roman" w:hAnsi="Times New Roman"/>
          <w:color w:val="000000" w:themeColor="text1"/>
          <w:sz w:val="24"/>
        </w:rPr>
        <w:t xml:space="preserve"> v případě čtvrtletního zpřístupňování informací ke konci čtvrtletí před čtvrtletím referenčního období zpřístupňování informací). Instituce mohou své zpřístupněné informace podle pilíře 3 doplnit zpřístupněním týchž informací za tři předchozí čtvrtletí.</w:t>
      </w:r>
    </w:p>
    <w:p w14:paraId="502EB8C1"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Instituce doplní šablonu popisným komentářem, v kterém vysvětlí číselné údaje v řádku 8 této šablony, tj. případné další faktory, které významně přispívají k odchylkám 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Odkazy na právní předpisy a pokyny</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Objem rizikově vážených expozic</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Celkový objem rizikově vážené expozice pro úvěrové riziko vypočítaný podle přístupu IRB s přihlédnutím k podpůrným koeficientům v souladu s články 501 a 501a nařízení (EU) č. 575/2013.</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Odkazy na právní předpisy a pokyny</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Objem rizikově vážených expozic na konci předchozího období, za něž se informace zpřístupňují</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Pr>
                <w:rFonts w:ascii="Times New Roman" w:hAnsi="Times New Roman"/>
                <w:b/>
                <w:sz w:val="24"/>
              </w:rPr>
              <w:t>Výše aktiv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Pr>
                <w:rFonts w:ascii="Times New Roman" w:hAnsi="Times New Roman"/>
                <w:sz w:val="24"/>
              </w:rPr>
              <w:t xml:space="preserve">Změna objemu rizikově vážené expozice mezi koncem předchozího období, za něž se informace zpřístupňují, a koncem běžného období, za něž se informace zpřístupňují, v důsledku změny výše aktiv, tj. běžné změny </w:t>
            </w:r>
            <w:r>
              <w:rPr>
                <w:rFonts w:ascii="Times New Roman" w:hAnsi="Times New Roman"/>
                <w:sz w:val="24"/>
              </w:rPr>
              <w:lastRenderedPageBreak/>
              <w:t>velikosti a složení portfolia (včetně vzniku nových podniků a splatných úvěrů), avšak s vyloučením změn ve velikosti portfolia v důsledku nabytí a pozbytí subjektů.</w:t>
            </w:r>
          </w:p>
          <w:p w14:paraId="21CFBD20"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Zvýšení objemu rizikově vážené expozice se vykazuje jako kladná hodnota a snížení objemu rizikově vážené expozice se vykazuje jako záporná hodnota.</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Kvalita aktiv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Změna objemu rizikově vážené expozice mezi koncem předchozího období, za něž se informace zpřístupňují, a koncem běžného období, za něž se informace zpřístupňují, v důsledku změny kvality aktiv, tj. změn v odhadované kvalitě aktiv instituce z titulu změn dlužníkova rizika, jako je např. migrace ratingového stupně nebo podobné účinky.</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Zvýšení objemu rizikově vážené expozice se vykazuje jako kladná hodnota a snížení objemu rizikově vážené expozice se vykazuje jako záporná hodnota.</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Aktualizace modelu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Změna objemu rizikově vážené expozice mezi koncem předchozího období, za něž se informace zpřístupňují, a koncem běžného období, za něž se informace zpřístupňují, v důsledku aktualizací modelů, tj. změn z titulu zavedení nových modelů, změn modelů, změn rozsahu modelů nebo jakýchkoli jiných změn týkajících se řešení slabých stránek modelů.</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Zvýšení objemu rizikově vážené expozice se vykazuje jako kladná hodnota a snížení objemu rizikově vážené expozice se vykazuje jako záporná hodnota.</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Metodika a zásady (+/−)</w:t>
            </w:r>
          </w:p>
          <w:p w14:paraId="2B9722BD" w14:textId="5686BD9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Změna objemu rizikově vážené expozice mezi koncem předchozího období, za něž se informace zpřístupňují, a koncem běžného období, za něž se informace zpřístupňují, v důsledku metodiky a politiky, tj. změn z titulu metodických změn ve výpočtech způsobených změnami regulační politiky, včetně revizí stávajících předpisů i nových předpisů, s výjimkou změn modelů, které jsou zahrnuty do řádku 4 této šablony.</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Zvýšení objemu rizikově vážené expozice se vykazuje jako kladná hodnota a snížení objemu rizikově vážené expozice se vykazuje jako záporná hodnota.</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Převzetí a zcizení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Změna objemu rizikově vážené expozice mezi koncem předchozího období, za něž se informace zpřístupňují, a koncem běžného období, za něž se informace zpřístupňují, ke které došlo v důsledku nabytí a pozbytí, tj. změn velikosti portfolia v důsledku nabytí a pozbytí subjektů.</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Zvýšení objemu rizikově vážené expozice se vykazuje jako kladná hodnota a snížení objemu rizikově vážené expozice se vykazuje jako záporná hodnota.</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Devizové pohyby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Změna objemu rizikově vážené expozice mezi koncem předchozího období, za něž se informace zpřístupňují, a koncem běžného období, za něž se informace zpřístupňují, ke které došlo v důsledku devizových pohybů, tj. změn způsobených pohyby převodů z cizích měn.</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Zvýšení objemu rizikově vážené expozice se vykazuje jako kladná hodnota a snížení objemu rizikově vážené expozice se vykazuje jako záporná hodnota.</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Ostatní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Změna objemu rizikově vážené expozice mezi koncem předchozího období, za něž se informace zpřístupňují, a koncem běžného období, za něž se informace zpřístupňují, ke které došlo z jiných důvodů.</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Tato kategorie se použije k zachycení změn, které nelze zařadit do žádné jiné kategorie. V textu připojeném k této šabloně instituce dále popíší jakékoli jiné podstatné faktory pohybů rizikově vážených objemů za období, za něž se informace zpřístupňují, uvedených v tomto řádku.</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Zvýšení objemu rizikově vážené expozice se vykazuje jako kladná hodnota a snížení objemu rizikově vážené expozice se vykazuje jako záporná hodnota.</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Objem rizikově vážených expozic na konci vykazovaného období, za něž se informace zpřístupňují</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 xml:space="preserve">Šablona EU CR9 </w:t>
      </w:r>
      <w:r>
        <w:rPr>
          <w:rFonts w:ascii="Times New Roman" w:hAnsi="Times New Roman"/>
          <w:b/>
          <w:sz w:val="24"/>
        </w:rPr>
        <w:tab/>
        <w:t xml:space="preserve"> – přístup IRB – zpětné testování PD podle kategorií expozic. Šablona s pevným formátem.</w:t>
      </w:r>
    </w:p>
    <w:p w14:paraId="2ACD97A2" w14:textId="0561FA92"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Informace uvedené v čl. 452 písm. h) nařízení (EU) č. 575/2013 zpřístupňují instituce podle níže uvedených pokynů k vyplnění šablony EU CR9, obsažené v příloze XXI IT řešení orgánu EBA. Pokud instituce využívá základní i pokročilý přístup IRB, vyplní dva samostatné soubory šablon, jeden pro základní přístup IRB a jeden pro pokročilý přístup IRB, s jednou šablonou pro každou kategorii expozic v každém souboru.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Instituce zváží modely používané v každé kategorii expozic a vysvětlí procentní podíl objemu rizikově vážené expozice příslušné kategorie expozic, na kterou se vztahují modely a pro niž jsou zde uvedeny výsledky zpětného testování.</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V doprovodném komentáři instituce vysvětlí celkový počet dlužníků s krátkodobými smlouvami ke dni zpřístupnění informací a uvedou, které kategorie expozic obsahují větší počet dlužníků s krátkodobými smlouvami. Krátkodobými smlouvami se rozumějí smlouvy, jejichž zbytková splatnost je kratší než 12 měsíců. Instituce rovněž vysvětlí, zda při výpočtu dlouhodobých průměrných PD existují překrývající se časová okna.</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Tato šablona nezahrnuje expozice úvěrového rizika protistrany (expozice CCR) (část třetí hlava II kapitola 6 nařízení (EU) č. 575/2013), sekuritizované pozice, jiná aktiva nemající povahu úvěrového závazku a akciové expozice.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Odkazy na právní předpisy a pokyny</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Vysvětlení</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t>a (A-IRB)</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Kategorie expozic</w:t>
            </w:r>
          </w:p>
          <w:p w14:paraId="08CE6F91" w14:textId="43839CE4" w:rsidR="00CB5E48" w:rsidRPr="00F1728C" w:rsidRDefault="00087388" w:rsidP="000A6489">
            <w:pPr>
              <w:spacing w:after="120"/>
            </w:pPr>
            <w:r>
              <w:rPr>
                <w:rFonts w:ascii="Times New Roman" w:hAnsi="Times New Roman"/>
                <w:sz w:val="24"/>
              </w:rPr>
              <w:t xml:space="preserve">Pro každou kategorii expozic vyjmenovanou v čl. 147 odst. 2 nařízení (EU) č. 575/2013 instituce zpřístupňují samostatnou šablonu s dalším členěním pro následující kategorie expozic: </w:t>
            </w:r>
          </w:p>
          <w:p w14:paraId="20D6AF46"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v rámci kategorie expozic „expozice vůči podnikům“ členění v souladu s čl. 147 odst. 2 písm. c) body i), ii) a iii);</w:t>
            </w:r>
          </w:p>
          <w:p w14:paraId="3497FEF0" w14:textId="5A779F58" w:rsidR="00087388" w:rsidRPr="000A6489" w:rsidRDefault="001505CE" w:rsidP="000A6489">
            <w:pPr>
              <w:autoSpaceDE w:val="0"/>
              <w:autoSpaceDN w:val="0"/>
              <w:adjustRightInd w:val="0"/>
              <w:spacing w:after="120"/>
              <w:jc w:val="both"/>
              <w:rPr>
                <w:rFonts w:ascii="Times New Roman" w:hAnsi="Times New Roman" w:cs="Times New Roman"/>
                <w:sz w:val="24"/>
              </w:rPr>
            </w:pPr>
            <w:r>
              <w:rPr>
                <w:rFonts w:ascii="Times New Roman" w:hAnsi="Times New Roman"/>
              </w:rPr>
              <w:lastRenderedPageBreak/>
              <w:t>– v rámci kategorie expozic „retailové expozice“ členění v souladu s čl. 147 odst. 2 písm. d) body i), ii), iii) a iv).</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lastRenderedPageBreak/>
              <w:t>a (F-IRB)</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Kategorie expozic</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Pro každou kategorii expozic vyjmenovanou v čl. 147 odst. 2 nařízení (EU) č. 575/2013 instituce zpřístupňují samostatnou šablonu s dalším členěním pro následující kategorie expozic:</w:t>
            </w:r>
          </w:p>
          <w:p w14:paraId="2AD4AA46" w14:textId="1AA94ABB"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v rámci kategorie expozic „expozice vůči podnikům“ členění v souladu s čl. 147 odst. 2 písm. c) body i), ii) a iii).</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t xml:space="preserve"> b</w:t>
            </w:r>
          </w:p>
        </w:tc>
        <w:tc>
          <w:tcPr>
            <w:tcW w:w="7626" w:type="dxa"/>
          </w:tcPr>
          <w:p w14:paraId="0D2F2153" w14:textId="77777777" w:rsidR="00087388" w:rsidRPr="00F1728C" w:rsidRDefault="00087388" w:rsidP="00725D4D">
            <w:pPr>
              <w:pStyle w:val="Applicationdirecte"/>
              <w:spacing w:before="0"/>
              <w:rPr>
                <w:b/>
              </w:rPr>
            </w:pPr>
            <w:r>
              <w:rPr>
                <w:b/>
              </w:rPr>
              <w:t>Rozmezí hodnot PD</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Jedná se o pevné rozmezí PD, které se nesmí měnit.</w:t>
            </w:r>
          </w:p>
          <w:p w14:paraId="5C4179D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Expozice se přiřadí k vhodnému koši pevného rozmezí PD na základě PD pro každého dlužníka zařazeného do dané kategorie expozic (bez zohlednění případných substitučních účinků v důsledku snižování úvěrového rizika) odhadnuté na začátku období, za něž se informace zpřístupňují.  Všechny expozice, u nichž došlo k selhání, se zahrnují do koše PD o hodnotě 100 %.</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Počet dlužníků na konci předchozího roku</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Instituce zpřístupní tyto dva soubory informací: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Pr>
                <w:rFonts w:ascii="Times New Roman" w:hAnsi="Times New Roman"/>
                <w:sz w:val="24"/>
              </w:rPr>
              <w:t>počet dlužníků na konci předchozího roku (sloupec C této šablony),</w:t>
            </w:r>
          </w:p>
          <w:p w14:paraId="7A6561ED"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 xml:space="preserve">počet dlužníků na konci roku, za který se informace zpřístupňují. </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V obou případech se uvedou všichni dlužníci, kteří mají v příslušném okamžiku úvěrový závazek.</w:t>
            </w:r>
          </w:p>
          <w:p w14:paraId="34B48B79" w14:textId="77777777"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Pr>
                <w:rFonts w:ascii="Times New Roman" w:hAnsi="Times New Roman"/>
                <w:sz w:val="24"/>
              </w:rPr>
              <w:t xml:space="preserve">Instituce zpřístupní počet právních subjektů nebo dlužníků přiřazených ke každému koši pevně stanoveného rozmezí PD do konce předchozího roku, kteří byli ohodnoceni odděleně, bez ohledu na počet různých poskytnutých úvěrů nebo expozic. </w:t>
            </w:r>
          </w:p>
          <w:p w14:paraId="4CF8FD57" w14:textId="6C7FD8DF"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Pr>
                <w:rFonts w:ascii="Times New Roman" w:hAnsi="Times New Roman"/>
                <w:sz w:val="24"/>
              </w:rPr>
              <w:t xml:space="preserve">Se společnými dlužníky se zachází stejným způsobem jako pro účely kalibrace PD. Pokud jsou různé expozice vůči stejnému dlužníkovi ohodnoceny samostatně, započítávají se samostatně. K takové situaci může dojít v rámci kategorie retailových expozic, je-li definice selhání použita na úrovni jednotlivých úvěrových příslibů v souladu s čl. 178 odst. 1 poslední větou nařízení (EU) č. 575/2013. K takové situaci může rovněž dojít v případě, že jsou samostatné expozice vůči témuž dlužníkovi přiřazeny různým ratingovým stupňům dlužníka v jiných kategoriích expozic v souladu s čl. 172 odst. 1 písm. e) druhou větou nařízení (EU) č. 575/2013; </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Pr>
                <w:rFonts w:ascii="Times New Roman" w:hAnsi="Times New Roman"/>
                <w:sz w:val="24"/>
              </w:rPr>
              <w:t>z toho počet dlužníků, u nichž došlo k selhání během roku předcházejícího datu zpřístupnění informací (sloupec „d“ této šablony).</w:t>
            </w:r>
          </w:p>
          <w:p w14:paraId="42A4D76F" w14:textId="2BBF5C6D" w:rsidR="00087388" w:rsidRPr="000A6489" w:rsidRDefault="00087388" w:rsidP="000A6489">
            <w:pPr>
              <w:pStyle w:val="ListParagraph"/>
              <w:spacing w:after="120"/>
              <w:ind w:left="598"/>
              <w:jc w:val="both"/>
              <w:rPr>
                <w:rFonts w:ascii="Times New Roman" w:hAnsi="Times New Roman"/>
                <w:sz w:val="24"/>
              </w:rPr>
            </w:pPr>
            <w:r>
              <w:rPr>
                <w:rFonts w:ascii="Times New Roman" w:hAnsi="Times New Roman"/>
                <w:sz w:val="24"/>
              </w:rPr>
              <w:t xml:space="preserve">Bude se jednat o dílčí soubor sloupce C této šablony, který představuje počet dlužníků, u nichž došlo k selhání během roku. Selhání se určí v souladu s článkem 178 nařízení (EU) č. 575/2013. Každý dlužník, u nějž došlo k selhání, se v čitateli a jmenovateli výpočtu jednoletého </w:t>
            </w:r>
            <w:r>
              <w:rPr>
                <w:rFonts w:ascii="Times New Roman" w:hAnsi="Times New Roman"/>
                <w:sz w:val="24"/>
              </w:rPr>
              <w:lastRenderedPageBreak/>
              <w:t>poměru selhání počítá pouze jednou, a to i v případě, že u dlužníka během příslušného jednoletého období došlo k selhání více než jednou.</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Zjištěná průměrná míra selhání</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Aritmetický průměr jednoletého poměru selhání ve smyslu čl. 4 odst. 1 bodu 78 nařízení (EU) č. 575/2013, zjištěný v rámci dostupného souboru údajů.</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Při výpočtu jednoletého poměru selhání zajistí instituce splnění obou těchto požadavků:</w:t>
            </w:r>
          </w:p>
          <w:p w14:paraId="4172021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aby jmenovatel obsahoval počet dlužníků, kteří nejsou v selhání u jakéhokoliv úvěrového závazku pozorovaného na začátku jednoletého sledovaného období (začátek období, za něž se informace zpřístupňují, tj. začátek roku před referenčním datem zpřístupňování informací); v této souvislosti se úvěrovým závazkem rozumí: i) jakákoli rozvahová položka, včetně jakékoli částky jistiny, úroků a poplatků; ii) jakékoli podrozvahové položky, včetně záruk, které instituce vydala jako ručitel;</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b) aby čitatel zahrnoval všechny dlužníky uvažované ve jmenovateli, u nichž během sledovaného jednoletého období (rok před referenčním datem zpřístupňování informací) došlo alespoň k jednomu selhání.</w:t>
            </w:r>
          </w:p>
          <w:p w14:paraId="44140519"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Instituce zvolí vhodný přístup, přičemž se budou rozhodovat mezi přístupem založeným na překrývajících se nebo jednoletých časových oknech a přístupem založeným na nepřekrývajících se jednoletých časových oknech, aby vypočítaly pozorovaný průměrný poměr selhání.</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Expozicí vážená průměrná hodnota PD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Expozicí vážená průměrná hodnota PD (%) jako ve sloupci „f“ šablony EU CR6; u všech expozic v každém koši pevného rozmezí PD průměrný odhad PD každého dlužníka vážený hodnotou expozice po vynásobení úvěrovým konverzním faktorem a po snížení úvěrového rizika, jako ve sloupci „e“ šablony EU CR6.</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Průměrná hodnota PD k datu zpřístupnění informací (v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Aritmetický průměr PD na začátku období, za něž se informace zpřístupňují, u dlužníků, kteří spadají do koše pevného rozmezí PD, vypočtený ve sloupci „d“ (průměr vážený počtem dlužníků).</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Pr>
                <w:rFonts w:ascii="Times New Roman" w:hAnsi="Times New Roman"/>
                <w:b/>
                <w:sz w:val="24"/>
              </w:rPr>
              <w:t>Průměrný historický roční poměr selhání (v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Pr>
                <w:rFonts w:ascii="Times New Roman" w:hAnsi="Times New Roman"/>
                <w:sz w:val="24"/>
              </w:rPr>
              <w:t>Aritmetický průměr ročního poměru selhání za nejméně pět posledních let (dlužníci na začátku každého roku, u nichž v daném roce došlo k selhání / celkový počet dlužníků na začátku roku).</w:t>
            </w:r>
          </w:p>
          <w:p w14:paraId="19B9AA5D" w14:textId="28091B1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Instituce může použít delší historické období, které odpovídá jejím současným postupům řízení rizik. Pokud instituce používá delší historické období, vysvětlí to v komentáři přiloženém k šabloně.</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Pr>
          <w:rFonts w:ascii="Times New Roman" w:hAnsi="Times New Roman"/>
          <w:b/>
          <w:sz w:val="24"/>
        </w:rPr>
        <w:t>Šablona EU CR9.1 – Přístup IRB – Zpětné testování PD podle kategorií expozic (pouze pro odhady PD v souladu s čl. 180 odst. 1 písm. f) CRR)</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Kromě šablony EU CR9 instituce zpřístupňují informace obsažené v šabloně EU CR9.1 v případě, že pro odhad PD použijí čl. 180 odst. 1 písm. f) nařízení (EU) č. 575/2013, a pouze pro odhady PD v souladu s týmž článkem. Pokyny jsou stejné jako k šabloně EU CR9, s těmito výjimkami:</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Pr>
          <w:rFonts w:ascii="Times New Roman" w:hAnsi="Times New Roman"/>
          <w:sz w:val="24"/>
        </w:rPr>
        <w:t>ve sloupci „b“ této šablony instituce uvedou rozmezí PD v souladu se svými interními ratingovými stupni, které přiřazují ke stupnici užívané externí ratingovou agenturou, namísto pevného externího rozmezí PD;</w:t>
      </w:r>
    </w:p>
    <w:p w14:paraId="281A45A2" w14:textId="3F3B919E" w:rsidR="00087388" w:rsidRPr="00F1728C" w:rsidRDefault="00087388" w:rsidP="000A6489">
      <w:pPr>
        <w:pStyle w:val="ListParagraph"/>
        <w:numPr>
          <w:ilvl w:val="1"/>
          <w:numId w:val="7"/>
        </w:numPr>
        <w:spacing w:after="120"/>
        <w:jc w:val="both"/>
        <w:rPr>
          <w:rFonts w:ascii="Times New Roman" w:hAnsi="Times New Roman"/>
          <w:sz w:val="24"/>
          <w:szCs w:val="24"/>
        </w:rPr>
      </w:pPr>
      <w:r>
        <w:rPr>
          <w:rFonts w:ascii="Times New Roman" w:hAnsi="Times New Roman"/>
          <w:sz w:val="24"/>
        </w:rPr>
        <w:t>Instituce vyplňují jeden sloupec pro každou externí ratingovou agenturu, jež se zohlední podle čl. 180 odst. 1 nařízení (EU) č. 575/2013. Instituce v těchto sloupcích uvedou externí rating, k němuž jsou přiřazeny jejich interní rozsahy PD.</w:t>
      </w:r>
      <w:r>
        <w:rPr>
          <w:rFonts w:ascii="Times New Roman" w:hAnsi="Times New Roman"/>
        </w:rP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rsidR="00CB5E48">
          <w:t>12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222AAB" w:rsidRDefault="00725D4D" w:rsidP="00087388">
      <w:pPr>
        <w:pStyle w:val="FootnoteText"/>
        <w:rPr>
          <w:rFonts w:cstheme="minorHAnsi"/>
        </w:rPr>
      </w:pPr>
      <w:r>
        <w:rPr>
          <w:rStyle w:val="FootnoteReference"/>
          <w:rFonts w:cstheme="minorHAnsi"/>
        </w:rPr>
        <w:footnoteRef/>
      </w:r>
      <w:r>
        <w:t xml:space="preserve"> </w:t>
      </w:r>
      <w:r>
        <w:tab/>
        <w:t>Nařízení Evropského parlamentu a Rady (EU) č. 575/2013 ze dne 26. června 2013 o obezřetnostních požadavcích na úvěrové instituce a o změně nařízení (EU) č. 648/2012 ve znění nařízení (EU) 2024/1623 (</w:t>
      </w:r>
      <w:hyperlink r:id="rId1" w:history="1">
        <w:r>
          <w:rPr>
            <w:rStyle w:val="Hyperlink"/>
            <w:color w:val="800080"/>
          </w:rPr>
          <w:t>Úř. věst. L 176, 27.6.2013, s. 1</w:t>
        </w:r>
      </w:hyperlink>
      <w:r>
        <w:t>;</w:t>
      </w:r>
      <w:r>
        <w:rPr>
          <w:color w:val="800080"/>
          <w:u w:val="single"/>
        </w:rPr>
        <w:t xml:space="preserve"> </w:t>
      </w:r>
      <w:hyperlink r:id="rId2" w:history="1">
        <w:r>
          <w:rPr>
            <w:rStyle w:val="Hyperlink"/>
          </w:rPr>
          <w:t>nařízení – EU – 2024/1623 – CS – EUR-Lex (europa.eu)</w:t>
        </w:r>
      </w:hyperlink>
      <w:r>
        <w:rPr>
          <w:color w:val="444444"/>
        </w:rPr>
        <w:t>).</w:t>
      </w:r>
    </w:p>
  </w:footnote>
  <w:footnote w:id="2">
    <w:p w14:paraId="015156CF" w14:textId="77777777" w:rsidR="00725D4D" w:rsidRPr="00222AAB" w:rsidRDefault="00725D4D" w:rsidP="00087388">
      <w:pPr>
        <w:pStyle w:val="FootnoteText"/>
        <w:rPr>
          <w:rFonts w:cstheme="minorHAnsi"/>
        </w:rPr>
      </w:pPr>
      <w:r>
        <w:rPr>
          <w:rStyle w:val="FootnoteReference"/>
          <w:rFonts w:cstheme="minorHAnsi"/>
        </w:rPr>
        <w:footnoteRef/>
      </w:r>
      <w:r>
        <w:t xml:space="preserve"> </w:t>
      </w:r>
      <w:r>
        <w:tab/>
        <w:t>NAŘÍZENÍ KOMISE V PŘENESENÉ PRAVOMOCI (EU) č. 183/2014 ze dne 20. prosince 2013, kterým se doplňuje nařízení Evropského parlamentu a Rady (EU) č. 575/2013 o obezřetnostních požadavcích na úvěrové instituce a investiční podniky, pokud jde o regulační technické normy pro upřesnění výpočtu specifických a obecných úprav o úvěrové riziko (Úř. věst. L 57, 27.2.2014,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 pravidelné používá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EBA – pravidelné používání</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1149F0" id="_x0000_t202" coordsize="21600,21600" o:spt="202" path="m,l,21600r21600,l21600,xe">
              <v:stroke joinstyle="miter"/>
              <v:path gradientshapeok="t" o:connecttype="rect"/>
            </v:shapetype>
            <v:shape id="Text Box 5" o:spid="_x0000_s1026" type="#_x0000_t202" alt="EBA – pravidelné používání"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EBA – pravidelné používání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A – pravidelné používá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EBA – pravidelné používání</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3D7B59" id="_x0000_t202" coordsize="21600,21600" o:spt="202" path="m,l,21600r21600,l21600,xe">
              <v:stroke joinstyle="miter"/>
              <v:path gradientshapeok="t" o:connecttype="rect"/>
            </v:shapetype>
            <v:shape id="Text Box 6" o:spid="_x0000_s1027" type="#_x0000_t202" alt="EBA – pravidelné používání"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EBA – pravidelné používání</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 pravidelné používá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EBA – pravidelné používání</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52EC3A" id="_x0000_t202" coordsize="21600,21600" o:spt="202" path="m,l,21600r21600,l21600,xe">
              <v:stroke joinstyle="miter"/>
              <v:path gradientshapeok="t" o:connecttype="rect"/>
            </v:shapetype>
            <v:shape id="Text Box 4" o:spid="_x0000_s1028" type="#_x0000_t202" alt="EBA – pravidelné používání"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EBA – pravidelné používání</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D8DE7E48"/>
    <w:lvl w:ilvl="0" w:tplc="39DE5BE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283"/>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610E4"/>
    <w:rsid w:val="00993FC2"/>
    <w:rsid w:val="009A30F2"/>
    <w:rsid w:val="009C2B0F"/>
    <w:rsid w:val="00A11C69"/>
    <w:rsid w:val="00A44186"/>
    <w:rsid w:val="00A67F74"/>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453C7"/>
    <w:rsid w:val="00D67408"/>
    <w:rsid w:val="00D8212C"/>
    <w:rsid w:val="00D9503E"/>
    <w:rsid w:val="00DA7593"/>
    <w:rsid w:val="00DF2BFC"/>
    <w:rsid w:val="00DF74F9"/>
    <w:rsid w:val="00E42A78"/>
    <w:rsid w:val="00E60EAB"/>
    <w:rsid w:val="00E643F5"/>
    <w:rsid w:val="00E65AFD"/>
    <w:rsid w:val="00E91213"/>
    <w:rsid w:val="00EA36B5"/>
    <w:rsid w:val="00EE4075"/>
    <w:rsid w:val="00EF5AE5"/>
    <w:rsid w:val="00F1728C"/>
    <w:rsid w:val="00F17498"/>
    <w:rsid w:val="00F34968"/>
    <w:rsid w:val="00F611FA"/>
    <w:rsid w:val="00F614E6"/>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cs-CZ"/>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TXT/?uri=OJ%3AL_202401623" TargetMode="External"/><Relationship Id="rId1" Type="http://schemas.openxmlformats.org/officeDocument/2006/relationships/hyperlink" Target="https://eur-lex.europa.eu/legal-content/CS/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8B0221-E95E-46DD-B971-5017663EEBE7}"/>
</file>

<file path=customXml/itemProps2.xml><?xml version="1.0" encoding="utf-8"?>
<ds:datastoreItem xmlns:ds="http://schemas.openxmlformats.org/officeDocument/2006/customXml" ds:itemID="{473D6341-2661-4D36-B5D1-3BF328196C1D}"/>
</file>

<file path=customXml/itemProps3.xml><?xml version="1.0" encoding="utf-8"?>
<ds:datastoreItem xmlns:ds="http://schemas.openxmlformats.org/officeDocument/2006/customXml" ds:itemID="{8B547EE0-3D6E-4853-BFA9-58F857921C6F}"/>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6152</Words>
  <Characters>35378</Characters>
  <Application>Microsoft Office Word</Application>
  <DocSecurity>0</DocSecurity>
  <Lines>842</Lines>
  <Paragraphs>399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2024-10-17T10:00:00Z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