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3B806" w14:textId="66831D99" w:rsidR="009E7D0C" w:rsidRDefault="009E7D0C" w:rsidP="00A33695">
      <w:pPr>
        <w:jc w:val="center"/>
        <w:rPr>
          <w:rFonts w:ascii="Times New Roman" w:hAnsi="Times New Roman"/>
          <w:sz w:val="24"/>
        </w:rPr>
      </w:pPr>
      <w:bookmarkStart w:id="0" w:name="_Toc262568021"/>
      <w:bookmarkStart w:id="1" w:name="_Toc295829847"/>
      <w:r>
        <w:rPr>
          <w:rFonts w:ascii="Times New Roman" w:hAnsi="Times New Roman"/>
          <w:sz w:val="24"/>
        </w:rPr>
        <w:t>LV</w:t>
      </w:r>
    </w:p>
    <w:p w14:paraId="2704A83C" w14:textId="77777777" w:rsidR="009E7D0C" w:rsidRDefault="009E7D0C" w:rsidP="00A33695">
      <w:pPr>
        <w:jc w:val="center"/>
        <w:rPr>
          <w:rFonts w:ascii="Times New Roman" w:hAnsi="Times New Roman"/>
          <w:sz w:val="24"/>
        </w:rPr>
      </w:pPr>
    </w:p>
    <w:p w14:paraId="24333E7A" w14:textId="5EEA2C00" w:rsidR="008D696E" w:rsidRDefault="008D696E" w:rsidP="00A33695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XLIV PIELIKUMS</w:t>
      </w:r>
    </w:p>
    <w:p w14:paraId="327777EC" w14:textId="412B4B5A" w:rsidR="002648B0" w:rsidRPr="002A677E" w:rsidRDefault="00D03B1B" w:rsidP="00C87CE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Norādījumi informācijas atklāšanai par </w:t>
      </w:r>
      <w:proofErr w:type="spellStart"/>
      <w:r>
        <w:rPr>
          <w:rFonts w:ascii="Times New Roman" w:hAnsi="Times New Roman"/>
          <w:b/>
          <w:sz w:val="24"/>
        </w:rPr>
        <w:t>kriptoaktīvu</w:t>
      </w:r>
      <w:proofErr w:type="spellEnd"/>
      <w:r>
        <w:rPr>
          <w:rFonts w:ascii="Times New Roman" w:hAnsi="Times New Roman"/>
          <w:b/>
          <w:sz w:val="24"/>
        </w:rPr>
        <w:t xml:space="preserve"> riska darījumiem</w:t>
      </w:r>
    </w:p>
    <w:p w14:paraId="2C40683C" w14:textId="77777777" w:rsidR="00436204" w:rsidRPr="002A677E" w:rsidRDefault="00436204" w:rsidP="00C87CEE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4099A354" w14:textId="5F7E540B" w:rsidR="00464F34" w:rsidRPr="00D03B1B" w:rsidRDefault="00D03B1B" w:rsidP="002F1D8D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  <w:bookmarkStart w:id="2" w:name="_Toc163551527"/>
      <w:bookmarkEnd w:id="0"/>
      <w:bookmarkEnd w:id="1"/>
      <w:r>
        <w:rPr>
          <w:rFonts w:ascii="Times New Roman" w:hAnsi="Times New Roman"/>
          <w:b/>
          <w:sz w:val="24"/>
          <w:u w:val="none"/>
        </w:rPr>
        <w:t xml:space="preserve">Veidne EU CAE 1- </w:t>
      </w:r>
      <w:proofErr w:type="spellStart"/>
      <w:r>
        <w:rPr>
          <w:rFonts w:ascii="Times New Roman" w:hAnsi="Times New Roman"/>
          <w:b/>
          <w:sz w:val="24"/>
          <w:u w:val="none"/>
        </w:rPr>
        <w:t>Kriptoaktīvu</w:t>
      </w:r>
      <w:proofErr w:type="spellEnd"/>
      <w:r>
        <w:rPr>
          <w:rFonts w:ascii="Times New Roman" w:hAnsi="Times New Roman"/>
          <w:b/>
          <w:sz w:val="24"/>
          <w:u w:val="none"/>
        </w:rPr>
        <w:t xml:space="preserve"> veidne</w:t>
      </w:r>
      <w:bookmarkEnd w:id="2"/>
      <w:r>
        <w:rPr>
          <w:rFonts w:ascii="Times New Roman" w:hAnsi="Times New Roman"/>
          <w:b/>
          <w:sz w:val="24"/>
          <w:u w:val="none"/>
        </w:rPr>
        <w:t>.</w:t>
      </w:r>
      <w:r>
        <w:rPr>
          <w:rFonts w:ascii="Times New Roman" w:hAnsi="Times New Roman"/>
          <w:sz w:val="24"/>
          <w:u w:val="none"/>
        </w:rPr>
        <w:t xml:space="preserve"> Fiksēts formāts.</w:t>
      </w:r>
    </w:p>
    <w:p w14:paraId="041009DD" w14:textId="3EFC441D" w:rsidR="00464F34" w:rsidRPr="0076606B" w:rsidRDefault="00D03B1B" w:rsidP="002F1D8D">
      <w:pPr>
        <w:pStyle w:val="InstructionsText2"/>
        <w:jc w:val="both"/>
      </w:pPr>
      <w:r>
        <w:t xml:space="preserve">Iestādes piemēro turpmāk sniegtos norādījumus veidnes EU CAE1 aizpildīšanai EBI IT risinājumu XLIII pielikumā, lai atklātu informāciju par riska darījumu riska svērtajām vērtībām un pašu kapitāla prasībām attiecībā uz </w:t>
      </w:r>
      <w:proofErr w:type="spellStart"/>
      <w:r>
        <w:t>kriptoaktīvu</w:t>
      </w:r>
      <w:proofErr w:type="spellEnd"/>
      <w:r>
        <w:t xml:space="preserve"> riska darījumu veidiem, kas minēti Regulas (ES) Nr. 575/2013</w:t>
      </w:r>
      <w:r w:rsidR="0076606B" w:rsidRPr="0076606B">
        <w:rPr>
          <w:rStyle w:val="FootnoteReference"/>
          <w:rFonts w:ascii="Times New Roman" w:eastAsiaTheme="minorEastAsia" w:hAnsi="Times New Roman"/>
          <w:bCs w:val="0"/>
          <w:color w:val="000000"/>
          <w:sz w:val="24"/>
          <w:szCs w:val="24"/>
          <w:vertAlign w:val="superscript"/>
        </w:rPr>
        <w:footnoteReference w:id="2"/>
      </w:r>
      <w:r>
        <w:t> 501.d panta 2. punktā.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464F34" w:rsidRPr="002A677E" w14:paraId="05FA098D" w14:textId="77777777" w:rsidTr="00D9757A">
        <w:trPr>
          <w:trHeight w:val="397"/>
        </w:trPr>
        <w:tc>
          <w:tcPr>
            <w:tcW w:w="9918" w:type="dxa"/>
            <w:gridSpan w:val="2"/>
            <w:shd w:val="clear" w:color="auto" w:fill="CCCCCC"/>
          </w:tcPr>
          <w:p w14:paraId="76571629" w14:textId="6F36549B" w:rsidR="00464F34" w:rsidRPr="002A677E" w:rsidRDefault="0076606B" w:rsidP="002F1D8D">
            <w:pPr>
              <w:pStyle w:val="InstructionsText"/>
            </w:pPr>
            <w:r>
              <w:t>Atsauces uz tiesību aktiem un norādījumi</w:t>
            </w:r>
          </w:p>
        </w:tc>
      </w:tr>
      <w:tr w:rsidR="0076606B" w:rsidRPr="0076606B" w14:paraId="355F95A3" w14:textId="77777777" w:rsidTr="00D9757A">
        <w:tc>
          <w:tcPr>
            <w:tcW w:w="1555" w:type="dxa"/>
            <w:shd w:val="clear" w:color="auto" w:fill="CCCCCC"/>
          </w:tcPr>
          <w:p w14:paraId="5227B491" w14:textId="73380187" w:rsidR="0076606B" w:rsidRPr="0076606B" w:rsidRDefault="0076606B" w:rsidP="002F1D8D">
            <w:pPr>
              <w:pStyle w:val="InstructionsText"/>
            </w:pPr>
            <w:r>
              <w:t xml:space="preserve">Ailes numurs </w:t>
            </w:r>
          </w:p>
        </w:tc>
        <w:tc>
          <w:tcPr>
            <w:tcW w:w="8363" w:type="dxa"/>
            <w:shd w:val="clear" w:color="auto" w:fill="CCCCCC"/>
          </w:tcPr>
          <w:p w14:paraId="5846F631" w14:textId="28D78C36" w:rsidR="0076606B" w:rsidRPr="0076606B" w:rsidRDefault="0076606B" w:rsidP="002F1D8D">
            <w:pPr>
              <w:pStyle w:val="InstructionsText"/>
            </w:pPr>
            <w:r>
              <w:t>Paskaidrojums</w:t>
            </w:r>
          </w:p>
        </w:tc>
      </w:tr>
      <w:tr w:rsidR="002953A0" w:rsidRPr="0076606B" w14:paraId="11675C2A" w14:textId="77777777" w:rsidTr="001A633E">
        <w:tc>
          <w:tcPr>
            <w:tcW w:w="1555" w:type="dxa"/>
          </w:tcPr>
          <w:p w14:paraId="4BE7CB71" w14:textId="77777777" w:rsidR="002953A0" w:rsidRPr="0076606B" w:rsidRDefault="002953A0" w:rsidP="002F1D8D">
            <w:pPr>
              <w:pStyle w:val="InstructionsText"/>
            </w:pPr>
            <w:r>
              <w:t>a</w:t>
            </w:r>
          </w:p>
        </w:tc>
        <w:tc>
          <w:tcPr>
            <w:tcW w:w="8363" w:type="dxa"/>
          </w:tcPr>
          <w:p w14:paraId="16748558" w14:textId="2EDF205C" w:rsidR="002953A0" w:rsidRPr="0076606B" w:rsidRDefault="002953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Riska darījumu vērtība</w:t>
            </w:r>
          </w:p>
          <w:p w14:paraId="3168829C" w14:textId="3F57F48A" w:rsidR="002953A0" w:rsidRPr="0076606B" w:rsidRDefault="002953A0" w:rsidP="002F1D8D">
            <w:pPr>
              <w:pStyle w:val="InstructionsText"/>
            </w:pPr>
            <w:proofErr w:type="spellStart"/>
            <w:r>
              <w:t>Kriptoaktīvu</w:t>
            </w:r>
            <w:proofErr w:type="spellEnd"/>
            <w:r>
              <w:t xml:space="preserve"> riska darījumu vērtība dažādu veidu </w:t>
            </w:r>
            <w:proofErr w:type="spellStart"/>
            <w:r>
              <w:t>kriptoaktīviem</w:t>
            </w:r>
            <w:proofErr w:type="spellEnd"/>
            <w:r>
              <w:t>, kas minēti Regulas (ES) Nr. 575/2013 501.d panta 2. punktā</w:t>
            </w:r>
            <w:r>
              <w:rPr>
                <w:rStyle w:val="InstructionsTabelleberschrift"/>
              </w:rPr>
              <w:t>.</w:t>
            </w:r>
          </w:p>
        </w:tc>
      </w:tr>
      <w:tr w:rsidR="00E46AC0" w:rsidRPr="0076606B" w14:paraId="25D246EF" w14:textId="77777777" w:rsidTr="00D9757A">
        <w:tc>
          <w:tcPr>
            <w:tcW w:w="1555" w:type="dxa"/>
          </w:tcPr>
          <w:p w14:paraId="15D7F3E0" w14:textId="5E6C5043" w:rsidR="0076606B" w:rsidRPr="0076606B" w:rsidRDefault="002953A0" w:rsidP="002F1D8D">
            <w:pPr>
              <w:pStyle w:val="InstructionsText"/>
            </w:pPr>
            <w:r>
              <w:t>b</w:t>
            </w:r>
          </w:p>
        </w:tc>
        <w:tc>
          <w:tcPr>
            <w:tcW w:w="8363" w:type="dxa"/>
          </w:tcPr>
          <w:p w14:paraId="18B3A388" w14:textId="519B3BC9" w:rsidR="00E46AC0" w:rsidRPr="0076606B" w:rsidRDefault="0076606B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Riska darījumu riska svērtās vērtības (</w:t>
            </w:r>
            <w:r>
              <w:rPr>
                <w:rStyle w:val="InstructionsTabelleberschrift"/>
                <w:rFonts w:ascii="Times New Roman" w:hAnsi="Times New Roman"/>
                <w:i/>
                <w:iCs/>
                <w:sz w:val="24"/>
                <w:u w:val="none"/>
              </w:rPr>
              <w:t>RWEA</w:t>
            </w: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)</w:t>
            </w:r>
          </w:p>
          <w:p w14:paraId="2AB54302" w14:textId="6CD1C0C9" w:rsidR="002953A0" w:rsidRDefault="002953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t>Regulas (ES) Nr. 575/2013 501.d panta 2. punkts.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</w:p>
          <w:p w14:paraId="2EA1E817" w14:textId="7862AD81" w:rsidR="002953A0" w:rsidRDefault="002953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Dažādu veidu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kriptoaktīvu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riska darījumu riska svērtās vērtības, kas aprēķinātas saskaņā ar </w:t>
            </w:r>
            <w:r>
              <w:t>Regulas (ES) Nr. 575/2013 501.d panta 2. punkta f) apakšpunktu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019E027E" w14:textId="27A9F1F5" w:rsidR="000811A0" w:rsidRPr="0076606B" w:rsidRDefault="000811A0" w:rsidP="002F1D8D">
            <w:pPr>
              <w:pStyle w:val="InstructionsText"/>
            </w:pPr>
          </w:p>
        </w:tc>
      </w:tr>
      <w:tr w:rsidR="0076606B" w:rsidRPr="0076606B" w14:paraId="31E88113" w14:textId="77777777" w:rsidTr="00D9757A">
        <w:tc>
          <w:tcPr>
            <w:tcW w:w="1555" w:type="dxa"/>
          </w:tcPr>
          <w:p w14:paraId="276588C9" w14:textId="2559B7BA" w:rsidR="0076606B" w:rsidRDefault="002953A0" w:rsidP="002F1D8D">
            <w:pPr>
              <w:pStyle w:val="InstructionsText"/>
            </w:pPr>
            <w:r>
              <w:t>c</w:t>
            </w:r>
          </w:p>
        </w:tc>
        <w:tc>
          <w:tcPr>
            <w:tcW w:w="8363" w:type="dxa"/>
          </w:tcPr>
          <w:p w14:paraId="1DB08D4E" w14:textId="77777777" w:rsidR="0076606B" w:rsidRDefault="0076606B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Pašu kapitāla prasības </w:t>
            </w:r>
          </w:p>
          <w:p w14:paraId="7787F909" w14:textId="33023A71" w:rsidR="003B6B5F" w:rsidRDefault="003B6B5F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t>Regulas (ES) Nr. 575/2013 501.d panta 2. punkts.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</w:p>
          <w:p w14:paraId="7D3D40B6" w14:textId="26A2D5FE" w:rsidR="0076606B" w:rsidRPr="0076606B" w:rsidRDefault="0076606B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Pašu kapitāla prasības, kas atbilst riska darījumu riska svērtajām vērtībām dažādu veidu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kriptoaktīviem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</w:tbl>
    <w:p w14:paraId="310FB6E2" w14:textId="77777777" w:rsidR="00464F34" w:rsidRPr="0076606B" w:rsidRDefault="00464F34" w:rsidP="002F1D8D">
      <w:pPr>
        <w:pStyle w:val="InstructionsText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D9757A" w:rsidRPr="002A677E" w14:paraId="485D8F4A" w14:textId="77777777" w:rsidTr="00D9757A">
        <w:trPr>
          <w:trHeight w:val="397"/>
        </w:trPr>
        <w:tc>
          <w:tcPr>
            <w:tcW w:w="9918" w:type="dxa"/>
            <w:gridSpan w:val="2"/>
            <w:shd w:val="clear" w:color="auto" w:fill="CCCCCC"/>
          </w:tcPr>
          <w:p w14:paraId="57E6B293" w14:textId="77777777" w:rsidR="00D9757A" w:rsidRPr="002A677E" w:rsidRDefault="00D9757A" w:rsidP="002F1D8D">
            <w:pPr>
              <w:pStyle w:val="InstructionsText"/>
            </w:pPr>
            <w:r>
              <w:t>Atsauces uz tiesību aktiem un norādījumi</w:t>
            </w:r>
          </w:p>
        </w:tc>
      </w:tr>
      <w:tr w:rsidR="00464F34" w:rsidRPr="0076606B" w14:paraId="511AFFC7" w14:textId="77777777" w:rsidTr="00D9757A">
        <w:tc>
          <w:tcPr>
            <w:tcW w:w="1555" w:type="dxa"/>
            <w:shd w:val="clear" w:color="auto" w:fill="CCCCCC"/>
          </w:tcPr>
          <w:p w14:paraId="42E7C874" w14:textId="4DAD3DCD" w:rsidR="00464F34" w:rsidRPr="0076606B" w:rsidRDefault="007106FB" w:rsidP="002F1D8D">
            <w:pPr>
              <w:pStyle w:val="InstructionsText"/>
            </w:pPr>
            <w:r>
              <w:t>Rindas numurs</w:t>
            </w:r>
          </w:p>
        </w:tc>
        <w:tc>
          <w:tcPr>
            <w:tcW w:w="8363" w:type="dxa"/>
            <w:shd w:val="clear" w:color="auto" w:fill="CCCCCC"/>
          </w:tcPr>
          <w:p w14:paraId="5101E780" w14:textId="6FFAFB3B" w:rsidR="00464F34" w:rsidRPr="0076606B" w:rsidRDefault="0076606B" w:rsidP="002F1D8D">
            <w:pPr>
              <w:pStyle w:val="InstructionsText"/>
            </w:pPr>
            <w:r>
              <w:t>Paskaidrojums</w:t>
            </w:r>
          </w:p>
        </w:tc>
      </w:tr>
      <w:tr w:rsidR="00464F34" w:rsidRPr="0076606B" w14:paraId="4200F5F5" w14:textId="77777777" w:rsidTr="00D9757A">
        <w:tc>
          <w:tcPr>
            <w:tcW w:w="1555" w:type="dxa"/>
          </w:tcPr>
          <w:p w14:paraId="13D34CD0" w14:textId="17D414E2" w:rsidR="00464F34" w:rsidRPr="0076606B" w:rsidRDefault="0076606B" w:rsidP="002F1D8D">
            <w:pPr>
              <w:pStyle w:val="InstructionsText"/>
            </w:pPr>
            <w:r>
              <w:t>1</w:t>
            </w:r>
          </w:p>
        </w:tc>
        <w:tc>
          <w:tcPr>
            <w:tcW w:w="8363" w:type="dxa"/>
          </w:tcPr>
          <w:p w14:paraId="6642D329" w14:textId="77777777" w:rsidR="002F1D8D" w:rsidRDefault="00A15ACF" w:rsidP="002F1D8D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</w:rPr>
            </w:pPr>
            <w:proofErr w:type="spellStart"/>
            <w:r>
              <w:rPr>
                <w:rStyle w:val="cf01"/>
                <w:rFonts w:ascii="Times New Roman" w:hAnsi="Times New Roman"/>
                <w:b/>
                <w:sz w:val="24"/>
              </w:rPr>
              <w:t>Žetonizēti</w:t>
            </w:r>
            <w:proofErr w:type="spellEnd"/>
            <w:r>
              <w:rPr>
                <w:rStyle w:val="cf01"/>
                <w:rFonts w:ascii="Times New Roman" w:hAnsi="Times New Roman"/>
                <w:b/>
                <w:sz w:val="24"/>
              </w:rPr>
              <w:t xml:space="preserve"> tradicionālie aktīvi</w:t>
            </w:r>
          </w:p>
          <w:p w14:paraId="2C368109" w14:textId="5EEDDCF7" w:rsidR="000811A0" w:rsidRPr="0076606B" w:rsidRDefault="000C1FFC" w:rsidP="002F1D8D">
            <w:pPr>
              <w:pStyle w:val="InstructionsText"/>
            </w:pPr>
            <w:r>
              <w:t>Regulas (ES) Nr. 575/2013 501.d panta 2. punkta a) apakšpunkts.</w:t>
            </w:r>
          </w:p>
        </w:tc>
      </w:tr>
      <w:tr w:rsidR="00373762" w:rsidRPr="0076606B" w14:paraId="3CBB5149" w14:textId="77777777" w:rsidTr="00D9757A">
        <w:tc>
          <w:tcPr>
            <w:tcW w:w="1555" w:type="dxa"/>
          </w:tcPr>
          <w:p w14:paraId="6C15DAA6" w14:textId="315E07AC" w:rsidR="00373762" w:rsidRPr="0076606B" w:rsidRDefault="0076606B" w:rsidP="002F1D8D">
            <w:pPr>
              <w:pStyle w:val="InstructionsText"/>
            </w:pPr>
            <w:r>
              <w:t>2</w:t>
            </w:r>
          </w:p>
        </w:tc>
        <w:tc>
          <w:tcPr>
            <w:tcW w:w="8363" w:type="dxa"/>
          </w:tcPr>
          <w:p w14:paraId="1BDD91BD" w14:textId="121E64C7" w:rsidR="000C1FFC" w:rsidRPr="0076606B" w:rsidRDefault="00A02EBC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Aktīviem piesaistīti žetoni</w:t>
            </w:r>
          </w:p>
          <w:p w14:paraId="1D7215CE" w14:textId="2358370C" w:rsidR="000811A0" w:rsidRPr="0076606B" w:rsidRDefault="000811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t>Regulas (ES) Nr. 575/2013 501.d panta 2. punkta b) apakšpunkts.</w:t>
            </w:r>
          </w:p>
        </w:tc>
      </w:tr>
      <w:tr w:rsidR="00373762" w:rsidRPr="0076606B" w14:paraId="5E466513" w14:textId="77777777" w:rsidTr="00D9757A">
        <w:tc>
          <w:tcPr>
            <w:tcW w:w="1555" w:type="dxa"/>
          </w:tcPr>
          <w:p w14:paraId="39E8A0FB" w14:textId="215B912E" w:rsidR="00373762" w:rsidRPr="0076606B" w:rsidRDefault="00D9757A" w:rsidP="002F1D8D">
            <w:pPr>
              <w:pStyle w:val="InstructionsText"/>
            </w:pPr>
            <w:r>
              <w:lastRenderedPageBreak/>
              <w:t>3</w:t>
            </w:r>
          </w:p>
        </w:tc>
        <w:tc>
          <w:tcPr>
            <w:tcW w:w="8363" w:type="dxa"/>
          </w:tcPr>
          <w:p w14:paraId="0CD31563" w14:textId="11ABCDFB" w:rsidR="000C1FFC" w:rsidRPr="0076606B" w:rsidRDefault="006C06AC" w:rsidP="002F1D8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Citu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kriptoaktīvu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riska darījumi</w:t>
            </w:r>
          </w:p>
          <w:p w14:paraId="22594EAC" w14:textId="2A3C1F16" w:rsidR="00373762" w:rsidRPr="0076606B" w:rsidRDefault="000811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t>Regulas (ES) Nr. 575/2013 501.d panta 2. punkta c) apakšpunkts.</w:t>
            </w:r>
          </w:p>
          <w:p w14:paraId="1BCB3895" w14:textId="28C442F0" w:rsidR="000811A0" w:rsidRPr="00D9757A" w:rsidRDefault="4EBA09A7" w:rsidP="002F1D8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Citi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kriptoaktīvu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riska darījumi, kas atšķiras no </w:t>
            </w:r>
            <w:r>
              <w:t>Regulas (ES) Nr.</w:t>
            </w:r>
            <w:r w:rsidR="00155F5B">
              <w:t> </w:t>
            </w:r>
            <w:r>
              <w:t>575/2013 501.d panta 2. punkta a) un b) apakšpunkta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623C6D" w:rsidRPr="0076606B" w14:paraId="10277CD1" w14:textId="77777777" w:rsidTr="00D9757A">
        <w:tc>
          <w:tcPr>
            <w:tcW w:w="1555" w:type="dxa"/>
          </w:tcPr>
          <w:p w14:paraId="33D217D5" w14:textId="13A52B17" w:rsidR="00623C6D" w:rsidRPr="0076606B" w:rsidRDefault="00D9757A" w:rsidP="002F1D8D">
            <w:pPr>
              <w:pStyle w:val="InstructionsText"/>
            </w:pPr>
            <w:r>
              <w:t>4</w:t>
            </w:r>
          </w:p>
        </w:tc>
        <w:tc>
          <w:tcPr>
            <w:tcW w:w="8363" w:type="dxa"/>
          </w:tcPr>
          <w:p w14:paraId="5385821A" w14:textId="259A3565" w:rsidR="00623C6D" w:rsidRPr="0076606B" w:rsidRDefault="00931726" w:rsidP="002F1D8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Kopā</w:t>
            </w:r>
          </w:p>
          <w:p w14:paraId="55F5AED4" w14:textId="5039CC11" w:rsidR="003B6B5F" w:rsidRDefault="0088549A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Kopējās vērtības, kas aprēķinātas kā 1., 2., 3. rindas summa. </w:t>
            </w:r>
          </w:p>
          <w:p w14:paraId="2CF3B315" w14:textId="6D98023C" w:rsidR="00623C6D" w:rsidRDefault="003B6B5F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Kopējās riska darījumu vērtības ir vienādas ar vērtību, kas atklāta veidnes EU OV1 EU24.a rindas a) ailē.</w:t>
            </w:r>
          </w:p>
          <w:p w14:paraId="1DE909BE" w14:textId="28825665" w:rsidR="003B6B5F" w:rsidRPr="0076606B" w:rsidRDefault="003B6B5F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Kopējā pašu kapitāla prasības ir vienādas ar vērtību, kas atklāta veidnes EU OV1 EU 24.a rindas c) ailē.</w:t>
            </w:r>
          </w:p>
        </w:tc>
      </w:tr>
      <w:tr w:rsidR="001F0121" w:rsidRPr="0076606B" w14:paraId="1E203B4D" w14:textId="77777777" w:rsidTr="001F0121">
        <w:tc>
          <w:tcPr>
            <w:tcW w:w="1555" w:type="dxa"/>
            <w:shd w:val="clear" w:color="auto" w:fill="D9D9D9" w:themeFill="background1" w:themeFillShade="D9"/>
          </w:tcPr>
          <w:p w14:paraId="5024020C" w14:textId="77777777" w:rsidR="001F0121" w:rsidRDefault="001F0121" w:rsidP="002F1D8D">
            <w:pPr>
              <w:pStyle w:val="InstructionsText"/>
            </w:pPr>
          </w:p>
        </w:tc>
        <w:tc>
          <w:tcPr>
            <w:tcW w:w="8363" w:type="dxa"/>
            <w:shd w:val="clear" w:color="auto" w:fill="D9D9D9" w:themeFill="background1" w:themeFillShade="D9"/>
          </w:tcPr>
          <w:p w14:paraId="106F6FC9" w14:textId="3BB95B54" w:rsidR="001F0121" w:rsidRPr="001F0121" w:rsidRDefault="001F0121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Ārpusbilances postenis </w:t>
            </w:r>
          </w:p>
        </w:tc>
      </w:tr>
      <w:tr w:rsidR="001F0121" w:rsidRPr="0076606B" w14:paraId="50DA30D3" w14:textId="77777777" w:rsidTr="00D9757A">
        <w:tc>
          <w:tcPr>
            <w:tcW w:w="1555" w:type="dxa"/>
          </w:tcPr>
          <w:p w14:paraId="41FBBB67" w14:textId="5DBC581B" w:rsidR="001F0121" w:rsidRDefault="001F0121" w:rsidP="002F1D8D">
            <w:pPr>
              <w:pStyle w:val="InstructionsText"/>
            </w:pPr>
            <w:r>
              <w:t>5</w:t>
            </w:r>
          </w:p>
        </w:tc>
        <w:tc>
          <w:tcPr>
            <w:tcW w:w="8363" w:type="dxa"/>
          </w:tcPr>
          <w:p w14:paraId="47F1511E" w14:textId="768E44DB" w:rsidR="00AA385A" w:rsidRDefault="00685F67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Citu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kriptoaktīvu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riska darījumi, kas izteikti kā procentuālā daļa no iestādes pirmā līmeņa kapitāla</w:t>
            </w:r>
          </w:p>
          <w:p w14:paraId="77AFF5E7" w14:textId="2EE951BB" w:rsidR="001F0121" w:rsidRPr="0076606B" w:rsidRDefault="001F0121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t>Regulas (ES) Nr. 575/2013 501.d panta 3. punkts.</w:t>
            </w:r>
          </w:p>
          <w:p w14:paraId="715123E0" w14:textId="3FEC4A67" w:rsidR="001F0121" w:rsidRPr="001F0121" w:rsidRDefault="001F0121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</w:p>
        </w:tc>
      </w:tr>
    </w:tbl>
    <w:p w14:paraId="0793ABC6" w14:textId="77777777" w:rsidR="001C7AB7" w:rsidRPr="002A677E" w:rsidRDefault="001C7AB7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sectPr w:rsidR="001C7AB7" w:rsidRPr="002A677E" w:rsidSect="00570E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7B7E6" w14:textId="77777777" w:rsidR="00570E7E" w:rsidRDefault="00570E7E" w:rsidP="00D946DB">
      <w:pPr>
        <w:spacing w:before="0" w:after="0"/>
      </w:pPr>
      <w:r>
        <w:separator/>
      </w:r>
    </w:p>
  </w:endnote>
  <w:endnote w:type="continuationSeparator" w:id="0">
    <w:p w14:paraId="2E781888" w14:textId="77777777" w:rsidR="00570E7E" w:rsidRDefault="00570E7E" w:rsidP="00D946DB">
      <w:pPr>
        <w:spacing w:before="0" w:after="0"/>
      </w:pPr>
      <w:r>
        <w:continuationSeparator/>
      </w:r>
    </w:p>
  </w:endnote>
  <w:endnote w:type="continuationNotice" w:id="1">
    <w:p w14:paraId="6EEE3799" w14:textId="77777777" w:rsidR="00570E7E" w:rsidRDefault="00570E7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</w:t>
    </w:r>
    <w:r>
      <w:rPr>
        <w:rStyle w:val="PageNumber"/>
      </w:rPr>
      <w:t>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5885" w14:textId="71A1082C" w:rsidR="00C3070C" w:rsidRPr="00ED1956" w:rsidRDefault="00C3070C">
    <w:pPr>
      <w:pStyle w:val="Footer"/>
      <w:jc w:val="right"/>
      <w:rPr>
        <w:rFonts w:ascii="Times New Roman" w:hAnsi="Times New Roman"/>
        <w:sz w:val="20"/>
        <w:szCs w:val="20"/>
      </w:rPr>
    </w:pPr>
    <w:r w:rsidRPr="00ED1956">
      <w:rPr>
        <w:rFonts w:ascii="Times New Roman" w:hAnsi="Times New Roman"/>
        <w:sz w:val="20"/>
      </w:rPr>
      <w:fldChar w:fldCharType="begin"/>
    </w:r>
    <w:r w:rsidRPr="00ED1956">
      <w:rPr>
        <w:rFonts w:ascii="Times New Roman" w:hAnsi="Times New Roman"/>
        <w:sz w:val="20"/>
      </w:rPr>
      <w:instrText xml:space="preserve"> PAGE   \* MERGEFORMAT </w:instrText>
    </w:r>
    <w:r w:rsidRPr="00ED1956">
      <w:rPr>
        <w:rFonts w:ascii="Times New Roman" w:hAnsi="Times New Roman"/>
        <w:sz w:val="20"/>
      </w:rPr>
      <w:fldChar w:fldCharType="separate"/>
    </w:r>
    <w:r w:rsidR="008F3052">
      <w:rPr>
        <w:rFonts w:ascii="Times New Roman" w:hAnsi="Times New Roman"/>
        <w:sz w:val="20"/>
      </w:rPr>
      <w:t>4</w:t>
    </w:r>
    <w:r w:rsidR="008F3052">
      <w:rPr>
        <w:rFonts w:ascii="Times New Roman" w:hAnsi="Times New Roman"/>
        <w:sz w:val="20"/>
      </w:rPr>
      <w:t>2</w:t>
    </w:r>
    <w:r w:rsidRPr="00ED1956">
      <w:rPr>
        <w:rFonts w:ascii="Times New Roman" w:hAnsi="Times New Roman"/>
        <w:sz w:val="20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FA028" w14:textId="77777777" w:rsidR="00570E7E" w:rsidRDefault="00570E7E" w:rsidP="00D946DB">
      <w:pPr>
        <w:spacing w:before="0" w:after="0"/>
      </w:pPr>
      <w:r>
        <w:separator/>
      </w:r>
    </w:p>
  </w:footnote>
  <w:footnote w:type="continuationSeparator" w:id="0">
    <w:p w14:paraId="4CBBD974" w14:textId="77777777" w:rsidR="00570E7E" w:rsidRDefault="00570E7E" w:rsidP="00D946DB">
      <w:pPr>
        <w:spacing w:before="0" w:after="0"/>
      </w:pPr>
      <w:r>
        <w:continuationSeparator/>
      </w:r>
    </w:p>
  </w:footnote>
  <w:footnote w:type="continuationNotice" w:id="1">
    <w:p w14:paraId="47999F3E" w14:textId="77777777" w:rsidR="00570E7E" w:rsidRDefault="00570E7E">
      <w:pPr>
        <w:spacing w:before="0" w:after="0"/>
      </w:pPr>
    </w:p>
  </w:footnote>
  <w:footnote w:id="2">
    <w:p w14:paraId="5704B613" w14:textId="770B6789" w:rsidR="0076606B" w:rsidRPr="00D9757A" w:rsidRDefault="0076606B" w:rsidP="0076606B">
      <w:pPr>
        <w:pStyle w:val="FootnoteText"/>
        <w:rPr>
          <w:rFonts w:ascii="Times New Roman" w:eastAsia="Calibri" w:hAnsi="Times New Roman"/>
          <w:sz w:val="20"/>
          <w:szCs w:val="20"/>
        </w:rPr>
      </w:pPr>
      <w:r>
        <w:rPr>
          <w:rStyle w:val="FootnoteReference"/>
          <w:rFonts w:ascii="Times New Roman" w:hAnsi="Times New Roman"/>
          <w:sz w:val="20"/>
          <w:szCs w:val="20"/>
        </w:rPr>
        <w:footnoteRef/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ab/>
      </w:r>
      <w:r>
        <w:t xml:space="preserve">Eiropas Parlamenta un Padomes Regula (ES) Nr. 575/2013 (2013. gada 26. jūnijs) par </w:t>
      </w:r>
      <w:proofErr w:type="spellStart"/>
      <w:r>
        <w:t>prudenciālajām</w:t>
      </w:r>
      <w:proofErr w:type="spellEnd"/>
      <w:r>
        <w:t xml:space="preserve"> prasībām attiecībā uz kredītiestādēm, un ar ko groza Regulu (ES) Nr. 648/2012, kas grozīta ar Regulu (ES) Nr. 2024/1623 </w:t>
      </w:r>
      <w:r>
        <w:rPr>
          <w:color w:val="444444"/>
        </w:rPr>
        <w:t>(</w:t>
      </w:r>
      <w:hyperlink r:id="rId1" w:history="1">
        <w:r>
          <w:rPr>
            <w:rStyle w:val="Hyperlink"/>
            <w:color w:val="800080"/>
          </w:rPr>
          <w:t>OV L 176, 27.6.2013., 1. lpp.</w:t>
        </w:r>
      </w:hyperlink>
      <w:r>
        <w:rPr>
          <w:color w:val="800080"/>
          <w:u w:val="single"/>
        </w:rPr>
        <w:t xml:space="preserve">; </w:t>
      </w:r>
      <w:hyperlink r:id="rId2" w:history="1">
        <w:r>
          <w:rPr>
            <w:rStyle w:val="Hyperlink"/>
          </w:rPr>
          <w:t>Regula - ES - 2024/1623 - EN - EUR-</w:t>
        </w:r>
        <w:proofErr w:type="spellStart"/>
        <w:r>
          <w:rPr>
            <w:rStyle w:val="Hyperlink"/>
          </w:rPr>
          <w:t>Lex</w:t>
        </w:r>
        <w:proofErr w:type="spellEnd"/>
        <w:r>
          <w:rPr>
            <w:rStyle w:val="Hyperlink"/>
          </w:rPr>
          <w:t xml:space="preserve"> (europa.eu)</w:t>
        </w:r>
      </w:hyperlink>
      <w:r>
        <w:rPr>
          <w:color w:val="444444"/>
        </w:rPr>
        <w:t>)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A98C1" w14:textId="7C971337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EBI oficiālai lietošanai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EBI oficiālai lietošanai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Title:  - Description: EBI oficiālai lietošanai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EBI oficiālai lietošanai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BBC0" w14:textId="5C594065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EBI oficiālai lietošanai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EBI oficiālai lietošanai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Title:  - Description: EBI oficiālai lietošanai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EBI oficiālai lietošanai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EBI oficiālai lietošanai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EBI oficiālai lietošanai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Title:  - Description: EBI oficiālai lietošanai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EBI oficiālai lietošanai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360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447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hideSpellingErrors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LU" w:vendorID="64" w:dllVersion="0" w:nlCheck="1" w:checkStyle="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2A80"/>
    <w:rsid w:val="00052CAE"/>
    <w:rsid w:val="00052EE6"/>
    <w:rsid w:val="000530BC"/>
    <w:rsid w:val="00053448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1A0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B67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1FFC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6FA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ADA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3E6F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5F5B"/>
    <w:rsid w:val="00156555"/>
    <w:rsid w:val="00156B24"/>
    <w:rsid w:val="001570C4"/>
    <w:rsid w:val="0015712A"/>
    <w:rsid w:val="00157883"/>
    <w:rsid w:val="00157B19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12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61D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53A0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479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D8D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4A9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8D4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6B5F"/>
    <w:rsid w:val="003B7060"/>
    <w:rsid w:val="003B7693"/>
    <w:rsid w:val="003C050A"/>
    <w:rsid w:val="003C0D58"/>
    <w:rsid w:val="003C0FB5"/>
    <w:rsid w:val="003C1374"/>
    <w:rsid w:val="003C189D"/>
    <w:rsid w:val="003C195D"/>
    <w:rsid w:val="003C1BB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3E3A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600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05F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1BA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547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588D"/>
    <w:rsid w:val="005666F4"/>
    <w:rsid w:val="00566905"/>
    <w:rsid w:val="00566A45"/>
    <w:rsid w:val="00566DB5"/>
    <w:rsid w:val="00566E59"/>
    <w:rsid w:val="005704F9"/>
    <w:rsid w:val="00570E7E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17B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4E6F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C6D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F94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AF4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85F67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6AC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858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2D4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30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06B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0A3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5FC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54A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1D1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485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B90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33BC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49A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A2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0BE"/>
    <w:rsid w:val="00931528"/>
    <w:rsid w:val="00931726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2EBC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1E9B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5ACF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3C47"/>
    <w:rsid w:val="00A94552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385A"/>
    <w:rsid w:val="00AA42A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178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7A9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88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458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4182"/>
    <w:rsid w:val="00CE47AF"/>
    <w:rsid w:val="00CE4BEB"/>
    <w:rsid w:val="00CE4C49"/>
    <w:rsid w:val="00CE5006"/>
    <w:rsid w:val="00CE51FF"/>
    <w:rsid w:val="00CE5491"/>
    <w:rsid w:val="00CE5507"/>
    <w:rsid w:val="00CE5512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3B1B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03C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57C6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9757A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0D0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03C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1E83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1F62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875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7F8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0B67"/>
    <w:rsid w:val="00F30C57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448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6630"/>
    <w:rsid w:val="00FF6BEE"/>
    <w:rsid w:val="00FF6E0E"/>
    <w:rsid w:val="00FF75CC"/>
    <w:rsid w:val="01C30CCF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B4EEB3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2B9F95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A7184F1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6B689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7A2490F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BDB7AAB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0304A7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BA09A7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7CBBA0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AF3F54"/>
    <w:rsid w:val="5FCB8A86"/>
    <w:rsid w:val="5FF14103"/>
    <w:rsid w:val="600C2FB0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3F3CB66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A76FA2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lv-LV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lv-LV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lv-LV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lv-LV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74408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lv-LV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lv-LV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2F1D8D"/>
    <w:pPr>
      <w:spacing w:before="0"/>
      <w:ind w:left="360"/>
      <w:jc w:val="left"/>
    </w:pPr>
    <w:rPr>
      <w:rFonts w:ascii="Times New Roman" w:hAnsi="Times New Roman"/>
      <w:bCs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lv-LV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2F1D8D"/>
    <w:rPr>
      <w:rFonts w:ascii="Times New Roman" w:eastAsia="Times New Roman" w:hAnsi="Times New Roman"/>
      <w:bCs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lv-LV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lv-LV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lv-LV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lv-LV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lv-LV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lv-LV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lv-LV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EN/TXT/?uri=OJ:L_202401623" TargetMode="External"/><Relationship Id="rId1" Type="http://schemas.openxmlformats.org/officeDocument/2006/relationships/hyperlink" Target="https://eur-lex.europa.eu/legal-content/EN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CA2A56-A0F6-4816-8DE8-63B90E0A1E7F}"/>
</file>

<file path=customXml/itemProps3.xml><?xml version="1.0" encoding="utf-8"?>
<ds:datastoreItem xmlns:ds="http://schemas.openxmlformats.org/officeDocument/2006/customXml" ds:itemID="{75B6FA69-2410-4F4F-B8B1-F3B4DFE73C5B}"/>
</file>

<file path=customXml/itemProps4.xml><?xml version="1.0" encoding="utf-8"?>
<ds:datastoreItem xmlns:ds="http://schemas.openxmlformats.org/officeDocument/2006/customXml" ds:itemID="{BFFBC9CB-F4A4-4DD0-BC07-1DD3370F431E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1772</Characters>
  <Application>Microsoft Office Word</Application>
  <DocSecurity>0</DocSecurity>
  <Lines>63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2024-06-06T15:40:00Z</dcterms:created>
  <dcterms:modified xsi:type="dcterms:W3CDTF">2024-10-17T09:41:00Z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2024-09-26T14:35:25Z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a7de5dab-f179-4ce4-a821-7fc8370dee9b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