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647B8" w14:textId="080B76AD" w:rsidR="00931C32" w:rsidRPr="001F1865" w:rsidRDefault="3E2CC804" w:rsidP="06503780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ПРИЛОЖЕНИЕ XXX — Таблици и образци за оповестяване на пазарния риск, измерван по стандартизирания и по вътрешния подход. Указания </w:t>
      </w:r>
    </w:p>
    <w:p w14:paraId="30BCD097" w14:textId="4E7CD1C5" w:rsidR="00931C32" w:rsidRPr="001F1865" w:rsidRDefault="3E2CC804" w:rsidP="5DD19F35">
      <w:pPr>
        <w:pStyle w:val="Titlelevel2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В настоящото приложение се съдържат указанията, които институциите трябва да следват при попълването на представените в приложение XXIX към ИТ решенията на ЕБО таблици и образци за оповестяване на пазарния риск, предназначени за оповестяването на информацията, посочена в членове 435, 445 и 455 от Регламент (ЕС) № 575/2013</w:t>
      </w:r>
      <w:r w:rsidR="00931C32" w:rsidRPr="00DB0A49">
        <w:rPr>
          <w:rStyle w:val="FootnoteReference"/>
          <w:rFonts w:ascii="Times New Roman" w:hAnsi="Times New Roman" w:cs="Times New Roman"/>
          <w:color w:val="auto"/>
          <w:lang w:val="en-GB"/>
        </w:rPr>
        <w:footnoteReference w:id="2"/>
      </w:r>
      <w:r>
        <w:rPr>
          <w:rFonts w:ascii="Times New Roman" w:hAnsi="Times New Roman"/>
          <w:color w:val="auto"/>
          <w:sz w:val="24"/>
        </w:rPr>
        <w:t xml:space="preserve"> („РКИ“). </w:t>
      </w:r>
    </w:p>
    <w:p w14:paraId="69DA8DE0" w14:textId="77777777" w:rsidR="00931C32" w:rsidRPr="001F1865" w:rsidRDefault="00931C32" w:rsidP="00931C32">
      <w:pPr>
        <w:spacing w:after="2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>Таблица EU MRA — Изисквания за оповестяването на качествена информация за пазарния риск:</w:t>
      </w:r>
      <w:r>
        <w:rPr>
          <w:rFonts w:ascii="Times New Roman" w:hAnsi="Times New Roman"/>
          <w:sz w:val="24"/>
        </w:rPr>
        <w:t xml:space="preserve"> Полета за свободен текст</w:t>
      </w:r>
    </w:p>
    <w:p w14:paraId="1B9BDBE7" w14:textId="621617DF" w:rsidR="00931C32" w:rsidRPr="001F1865" w:rsidRDefault="00931C32" w:rsidP="72461198">
      <w:pPr>
        <w:pStyle w:val="Titlelevel2"/>
        <w:numPr>
          <w:ilvl w:val="0"/>
          <w:numId w:val="4"/>
        </w:numPr>
        <w:spacing w:befor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Институциите оповестяват информацията, посочена в член 435, параграф 1, букви а) — г) от Регламент (ЕС) № 575/2013, като попълват таблица EU MRA от приложение XXIX, следвайки изложените по-долу в настоящото приложение указания.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31C32" w:rsidRPr="001F1865" w14:paraId="4FA5DD43" w14:textId="77777777" w:rsidTr="72461198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879875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Препратки към нормативни актове и указания</w:t>
            </w:r>
          </w:p>
        </w:tc>
      </w:tr>
      <w:tr w:rsidR="00931C32" w:rsidRPr="001F1865" w14:paraId="0BB6A5B1" w14:textId="77777777" w:rsidTr="72461198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A522B50" w14:textId="77777777" w:rsidR="00931C32" w:rsidRPr="001F1865" w:rsidRDefault="00931C32" w:rsidP="00DE090B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Ред №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BF504D8" w14:textId="77777777" w:rsidR="00931C32" w:rsidRPr="001F1865" w:rsidRDefault="00931C32" w:rsidP="00DE090B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Обяснение</w:t>
            </w:r>
          </w:p>
        </w:tc>
      </w:tr>
      <w:tr w:rsidR="00931C32" w:rsidRPr="001F1865" w14:paraId="75D64070" w14:textId="77777777" w:rsidTr="72461198">
        <w:trPr>
          <w:trHeight w:val="680"/>
        </w:trPr>
        <w:tc>
          <w:tcPr>
            <w:tcW w:w="1384" w:type="dxa"/>
          </w:tcPr>
          <w:p w14:paraId="5CBE7772" w14:textId="77777777" w:rsidR="00931C32" w:rsidRPr="001F1865" w:rsidRDefault="00931C32" w:rsidP="00DE090B">
            <w:pPr>
              <w:pStyle w:val="Applicationdirecte"/>
              <w:spacing w:before="0" w:after="240"/>
              <w:jc w:val="center"/>
            </w:pPr>
            <w:r>
              <w:t>а)</w:t>
            </w:r>
          </w:p>
        </w:tc>
        <w:tc>
          <w:tcPr>
            <w:tcW w:w="7655" w:type="dxa"/>
            <w:vAlign w:val="center"/>
          </w:tcPr>
          <w:p w14:paraId="0ECBECD6" w14:textId="59A2C39A" w:rsidR="00931C32" w:rsidRPr="001F1865" w:rsidRDefault="00931C32" w:rsidP="72461198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Когато оповестяват посочената в член 435, параграф 1, букви а) и г) от Регламент (ЕС) № 575/2013 информация за целите и политиките на управление на пазарния риск, институциите включват:</w:t>
            </w:r>
          </w:p>
          <w:p w14:paraId="2954CCD3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обяснение на стратегическите цели на ръководството при търгуване с финансови инструменти; </w:t>
            </w:r>
          </w:p>
          <w:p w14:paraId="28C8AA1E" w14:textId="2D7A10DE" w:rsidR="00DE4020" w:rsidRPr="001F1865" w:rsidRDefault="00EC10EF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описание на политиките, посочени в член 104, параграф 1, за определяне на позициите, които трябва да бъдат включени в търговския портфейл, в т.ч. определение на нетъргувани позиции и политиките за управление на риска за наблюдение на тези позиции. Освен това институциите описват случаите, в които инструментите са отнесени към търговския или банковия портфейл в противоречие с общите презумпции за тяхната категория инструменти, в т.ч. тяхната пазарна и справедлива стойност, както и всяко прекласифициране от един портфейл в друг след последния отчетен период,  в т.ч. справедливата стойност в тези случаи и причината за прекласифицирането;</w:t>
            </w:r>
          </w:p>
          <w:p w14:paraId="20F3C237" w14:textId="77E3E75D" w:rsidR="00795618" w:rsidRPr="001F1865" w:rsidRDefault="002C5234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описание на дейностите по вътрешно прехвърляне на риск, включително видовете отдели за вътрешно прехвърляне на риск;</w:t>
            </w:r>
          </w:p>
          <w:p w14:paraId="17B1142E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въведените процеси за установяване, измерване, наблюдение и контрол на пазарните рискове за институцията;</w:t>
            </w:r>
          </w:p>
          <w:p w14:paraId="216165DD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политиките за хеджиране и редуциране на риска;</w:t>
            </w:r>
          </w:p>
          <w:p w14:paraId="5B43C932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стратегиите и процесите за наблюдение на непрекъснатата ефективност на хеджирането.</w:t>
            </w:r>
          </w:p>
        </w:tc>
      </w:tr>
      <w:tr w:rsidR="00931C32" w:rsidRPr="001F1865" w14:paraId="2F078747" w14:textId="77777777" w:rsidTr="72461198">
        <w:trPr>
          <w:trHeight w:val="680"/>
        </w:trPr>
        <w:tc>
          <w:tcPr>
            <w:tcW w:w="1384" w:type="dxa"/>
          </w:tcPr>
          <w:p w14:paraId="3715BE68" w14:textId="77777777" w:rsidR="00931C32" w:rsidRPr="001F1865" w:rsidRDefault="00931C32" w:rsidP="00DE090B">
            <w:pPr>
              <w:pStyle w:val="Applicationdirecte"/>
              <w:spacing w:before="0" w:after="240"/>
              <w:jc w:val="center"/>
            </w:pPr>
            <w:r>
              <w:lastRenderedPageBreak/>
              <w:t>б)</w:t>
            </w:r>
          </w:p>
        </w:tc>
        <w:tc>
          <w:tcPr>
            <w:tcW w:w="7655" w:type="dxa"/>
          </w:tcPr>
          <w:p w14:paraId="57B23AAF" w14:textId="53C0A959" w:rsidR="00931C32" w:rsidRPr="001F1865" w:rsidRDefault="00931C32" w:rsidP="72461198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Когато оповестяват посочената в член 435, параграф 1, буква б) от Регламент (ЕС) № 575/2013 информация за структурирането и организирането на функцията за управление на пазарния риск, институциите включват:</w:t>
            </w:r>
          </w:p>
          <w:p w14:paraId="15341445" w14:textId="0D70F6B3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описание на структурата за управление на пазарния риск, създадена за изпълнение на техните гореизложени в ред „а“ стратегии и процеси; </w:t>
            </w:r>
          </w:p>
          <w:p w14:paraId="10C87729" w14:textId="77777777" w:rsidR="00931C32" w:rsidRPr="001F1865" w:rsidRDefault="00931C32" w:rsidP="00931C32">
            <w:pPr>
              <w:pStyle w:val="ListParagraph"/>
              <w:numPr>
                <w:ilvl w:val="0"/>
                <w:numId w:val="3"/>
              </w:numPr>
              <w:spacing w:after="2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описание на връзките и механизмите за комуникация между различните участници в управлението на пазарния риск. </w:t>
            </w:r>
          </w:p>
        </w:tc>
      </w:tr>
      <w:tr w:rsidR="00931C32" w:rsidRPr="001F1865" w14:paraId="15179A4A" w14:textId="77777777" w:rsidTr="72461198">
        <w:trPr>
          <w:trHeight w:val="436"/>
        </w:trPr>
        <w:tc>
          <w:tcPr>
            <w:tcW w:w="1384" w:type="dxa"/>
          </w:tcPr>
          <w:p w14:paraId="0F95AF50" w14:textId="77777777" w:rsidR="00931C32" w:rsidRPr="001F1865" w:rsidRDefault="00931C32" w:rsidP="00DE090B">
            <w:pPr>
              <w:pStyle w:val="Applicationdirecte"/>
              <w:spacing w:before="0" w:after="240"/>
              <w:jc w:val="center"/>
            </w:pPr>
            <w:r>
              <w:t>в)</w:t>
            </w:r>
          </w:p>
          <w:p w14:paraId="672A6659" w14:textId="77777777" w:rsidR="00931C32" w:rsidRPr="001F1865" w:rsidRDefault="00931C32" w:rsidP="00DE090B">
            <w:pPr>
              <w:pStyle w:val="Fait"/>
              <w:spacing w:before="0" w:after="240"/>
            </w:pPr>
          </w:p>
        </w:tc>
        <w:tc>
          <w:tcPr>
            <w:tcW w:w="7655" w:type="dxa"/>
          </w:tcPr>
          <w:p w14:paraId="1ADA7F58" w14:textId="27D05688" w:rsidR="00931C32" w:rsidRPr="001F1865" w:rsidRDefault="3E2CC804" w:rsidP="72461198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Когато оповестяват посочената в член 435, параграф 1, буква в) от Регламент (ЕС) № 575/2013 информация за обхвата и естеството на системите за докладване и измерване на пазарния риск, институциите посочват техния обхват и характеристики. </w:t>
            </w:r>
          </w:p>
        </w:tc>
      </w:tr>
      <w:tr w:rsidR="06503780" w:rsidRPr="001F1865" w14:paraId="5B327CF1" w14:textId="77777777" w:rsidTr="72461198">
        <w:trPr>
          <w:trHeight w:val="435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B48C11C" w14:textId="4971874D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(EU г)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42D3ED" w14:textId="19D1B8F3" w:rsidR="06503780" w:rsidRPr="001F1865" w:rsidRDefault="5B873F98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Когато оповестяват посочената в член 445, параграф 1 от Регламент (ЕС) № 575/2013 информация относно общия преглед на позициите в търговския портфейл, институциите представят обобщено описание на позициите в търговския си портфейл.</w:t>
            </w:r>
          </w:p>
        </w:tc>
      </w:tr>
    </w:tbl>
    <w:p w14:paraId="0A37501D" w14:textId="5B1DE2AB" w:rsidR="00931C32" w:rsidRPr="00B55A87" w:rsidRDefault="00931C32" w:rsidP="06503780">
      <w:pPr>
        <w:pStyle w:val="Titlelevel2"/>
        <w:spacing w:before="0"/>
        <w:rPr>
          <w:rFonts w:ascii="Times New Roman" w:hAnsi="Times New Roman" w:cs="Times New Roman"/>
          <w:b/>
          <w:sz w:val="24"/>
        </w:rPr>
      </w:pPr>
    </w:p>
    <w:p w14:paraId="6A05A809" w14:textId="77777777" w:rsidR="00931C32" w:rsidRPr="00B55A87" w:rsidRDefault="00931C32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</w:p>
    <w:p w14:paraId="21FE8BB6" w14:textId="0765936F" w:rsidR="00931C32" w:rsidRPr="00DB0A49" w:rsidRDefault="4E51ABE0" w:rsidP="00DB0A49">
      <w:pPr>
        <w:spacing w:after="24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hAnsi="Times New Roman"/>
          <w:b/>
          <w:bCs/>
          <w:sz w:val="24"/>
        </w:rPr>
        <w:t>Образец EU MR1 – Пазарен риск по алтернативния стандартизиран подход (АСП)</w:t>
      </w:r>
      <w:r>
        <w:rPr>
          <w:rFonts w:ascii="Times New Roman" w:hAnsi="Times New Roman"/>
          <w:sz w:val="24"/>
        </w:rPr>
        <w:t xml:space="preserve"> Зададен формат</w:t>
      </w:r>
    </w:p>
    <w:p w14:paraId="328A3EAE" w14:textId="50FF69DE" w:rsidR="00931C32" w:rsidRPr="00DB0A49" w:rsidRDefault="4E51ABE0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rFonts w:ascii="Times New Roman" w:eastAsiaTheme="minorEastAsia" w:hAnsi="Times New Roman" w:cs="Times New Roman"/>
          <w:color w:val="auto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Институциите оповестяват информацията, посочена в член 445 от Регламент (ЕС) № 575/2013, като попълват образец EU MR1 от приложение XXIX, следвайки изложените по-долу в настоящото приложение указания. </w:t>
      </w:r>
      <w:r>
        <w:rPr>
          <w:rFonts w:ascii="Times New Roman" w:hAnsi="Times New Roman"/>
          <w:color w:val="auto"/>
          <w:sz w:val="24"/>
        </w:rPr>
        <w:t>Институциите не включват в този образец данни за своя отдел за вътрешно прехвърляне на риск.</w:t>
      </w:r>
    </w:p>
    <w:tbl>
      <w:tblPr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1170"/>
        <w:gridCol w:w="7245"/>
      </w:tblGrid>
      <w:tr w:rsidR="06503780" w:rsidRPr="001F1865" w14:paraId="369C907B" w14:textId="77777777" w:rsidTr="00DB0A49">
        <w:trPr>
          <w:trHeight w:val="300"/>
        </w:trPr>
        <w:tc>
          <w:tcPr>
            <w:tcW w:w="84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5856BA3" w14:textId="6D5ECF63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Препратки към нормативни актове и указания</w:t>
            </w:r>
          </w:p>
        </w:tc>
      </w:tr>
      <w:tr w:rsidR="06503780" w:rsidRPr="001F1865" w14:paraId="795949FA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1A68A0C0" w14:textId="23544452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Ред №</w:t>
            </w:r>
          </w:p>
        </w:tc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6505A62" w14:textId="1D45DAD9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Обяснение</w:t>
            </w:r>
          </w:p>
        </w:tc>
      </w:tr>
      <w:tr w:rsidR="06503780" w:rsidRPr="001F1865" w14:paraId="71E2347C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47B57D3D" w14:textId="541004BD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05989EB1" w14:textId="332222EF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Метод въз основа на чувствителността</w:t>
            </w:r>
            <w:r>
              <w:rPr>
                <w:rFonts w:ascii="Times New Roman" w:hAnsi="Times New Roman"/>
                <w:sz w:val="24"/>
                <w:u w:val="single"/>
              </w:rPr>
              <w:t xml:space="preserve"> </w:t>
            </w:r>
          </w:p>
          <w:p w14:paraId="32BE5AB7" w14:textId="13D92956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съответствие с трета част, дял IV, глава 1а, раздел 2 от Регламент (ЕС) № 575/2013.</w:t>
            </w:r>
          </w:p>
        </w:tc>
      </w:tr>
      <w:tr w:rsidR="06503780" w:rsidRPr="001F1865" w14:paraId="2A5FB346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DACAA6" w14:textId="4438CD41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5CA48DD" w14:textId="1A77007D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 лихвен риск (ОЛР)</w:t>
            </w:r>
          </w:p>
          <w:p w14:paraId="7CFD9A05" w14:textId="08877C85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съгласно член 325в, параграф 2, буква а) и член 325г, параграф 1, подточка i) от Регламент (ЕС) 575/2013.</w:t>
            </w:r>
          </w:p>
        </w:tc>
      </w:tr>
      <w:tr w:rsidR="006852CB" w:rsidRPr="001F1865" w14:paraId="69667920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DC1D211" w14:textId="22B10623" w:rsidR="006852CB" w:rsidRPr="001F1865" w:rsidRDefault="006852CB" w:rsidP="006852CB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623B38" w14:textId="77777777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Риск от капиталови инструменти (РКИ)</w:t>
            </w:r>
          </w:p>
          <w:p w14:paraId="7FA49EA1" w14:textId="72B40A8D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съгласно член 325в, параграф 2, буква а) и член 325г, параграф 1, подточка v) от Регламент (ЕС) 575/2013.</w:t>
            </w:r>
          </w:p>
        </w:tc>
      </w:tr>
      <w:tr w:rsidR="006852CB" w:rsidRPr="001F1865" w14:paraId="719DB443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6F2BD2" w14:textId="663EF07F" w:rsidR="006852CB" w:rsidRPr="001F1865" w:rsidRDefault="006852CB" w:rsidP="006852CB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FFF8925" w14:textId="77777777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Стоков риск (СР)</w:t>
            </w:r>
          </w:p>
          <w:p w14:paraId="2EF1141F" w14:textId="6573588B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съгласно член 325в, параграф 2, буква а) и член 325г, параграф 1, подточка vi) от Регламент (ЕС) 575/2013.</w:t>
            </w:r>
          </w:p>
        </w:tc>
      </w:tr>
      <w:tr w:rsidR="006852CB" w:rsidRPr="001F1865" w14:paraId="0F63097B" w14:textId="77777777" w:rsidTr="72461198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A0CA9C" w14:textId="3D6ACB22" w:rsidR="006852CB" w:rsidRPr="001F1865" w:rsidRDefault="006852CB" w:rsidP="006852CB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21571B" w14:textId="77777777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Валутен риск (ВР)</w:t>
            </w:r>
          </w:p>
          <w:p w14:paraId="4E899697" w14:textId="1EDAE9C1" w:rsidR="006852CB" w:rsidRPr="001F1865" w:rsidRDefault="006852CB" w:rsidP="006852CB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съгласно член 325в, параграф 2, буква а) и член 325г, параграф 1, подточка vii) от Регламент (ЕС) 575/2013.</w:t>
            </w:r>
          </w:p>
        </w:tc>
      </w:tr>
      <w:tr w:rsidR="06503780" w:rsidRPr="001F1865" w14:paraId="6069A777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71C4CC0" w14:textId="116256D7" w:rsidR="06503780" w:rsidRPr="001F1865" w:rsidRDefault="006852CB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ADD606" w14:textId="28FE3969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Риск от кредитния спред за несекюритизиращи позиции (РКС)</w:t>
            </w:r>
          </w:p>
          <w:p w14:paraId="7FFBB47A" w14:textId="19FCC5B4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съгласно член 325в, параграф 2, буква а) и член 325г, параграф 1, подточка ii) от Регламент (ЕС) 575/2013.</w:t>
            </w:r>
          </w:p>
        </w:tc>
      </w:tr>
      <w:tr w:rsidR="06503780" w:rsidRPr="001F1865" w14:paraId="05E22EA0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86D099A" w14:textId="2AA85B66" w:rsidR="06503780" w:rsidRPr="001F1865" w:rsidRDefault="006852CB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2E01FBC" w14:textId="0075C0D5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Риск от кредитния спред за секюритизиращи позиции, които не са включени в алтернативния портфейл за корелационно търгуване (РКС извън АПКТ)</w:t>
            </w:r>
          </w:p>
          <w:p w14:paraId="7767EDBC" w14:textId="24BC8D91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съгласно член 325в, параграф 2, буква а) и член 325г, параграф 1, подточка iii) от Регламент (ЕС) 575/2013.</w:t>
            </w:r>
          </w:p>
        </w:tc>
      </w:tr>
      <w:tr w:rsidR="06503780" w:rsidRPr="001F1865" w14:paraId="14D767E3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A20E610" w14:textId="7B3DAB47" w:rsidR="06503780" w:rsidRPr="001F1865" w:rsidRDefault="006852CB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0A00A1D" w14:textId="07E0B969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Риск от кредитния спред за секюритизиращи позиции, включени в алтернативния портфейл за корелационно търгуване (РКС в АПКТ)</w:t>
            </w:r>
          </w:p>
          <w:p w14:paraId="3E4A8A35" w14:textId="160B9A80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съгласно член 325в, параграф 2, буква а) и член 325г, параграф 1, подточка iv) от Регламент (ЕС) 575/2013.</w:t>
            </w:r>
          </w:p>
        </w:tc>
      </w:tr>
      <w:tr w:rsidR="06503780" w:rsidRPr="001F1865" w14:paraId="5BB1038C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22C0155" w14:textId="1C2CF576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4AC462EA" w14:textId="24FC6AB3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Риск от неизпълнение</w:t>
            </w:r>
          </w:p>
          <w:p w14:paraId="50AC8B96" w14:textId="24D7EC82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съответствие с трета част, дял IV, глава 1а, раздел 5 от Регламент (ЕС) № 575/2013.</w:t>
            </w:r>
          </w:p>
        </w:tc>
      </w:tr>
      <w:tr w:rsidR="06503780" w:rsidRPr="001F1865" w14:paraId="4CA77AC2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D9CDA3" w14:textId="20B6ABEB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D3825E" w14:textId="1E8FC60A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Несекюритизиращи позиции</w:t>
            </w:r>
          </w:p>
          <w:p w14:paraId="6E07A74F" w14:textId="60055B48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съгласно член 325в, параграф 2, буква б) и трета част, дял IV, глава 1а, раздел 5, подраздел 1 от Регламент (ЕС) № 575/2013.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6503780" w:rsidRPr="001F1865" w14:paraId="7297D5CB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54CE0F" w14:textId="0108E6B7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034D48" w14:textId="567356EB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Секюритизиращи позиции, които не са включени в алтернативния портфейл за корелационно търгуване (извън АПКТ)</w:t>
            </w:r>
          </w:p>
          <w:p w14:paraId="093A58C5" w14:textId="0BD66CFC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съгласно член 325в, параграф 2, буква б) и трета част, дял IV, глава 1а, раздел 5, подраздел 2 от Регламент (ЕС) № 575/2013.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6503780" w:rsidRPr="001F1865" w14:paraId="7399949B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60F427" w14:textId="2083466B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50980D" w14:textId="2B90AE8D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Секюритизиращи позиции, включени в алтернативния портфейл за корелационно търгуване (в АПКТ)</w:t>
            </w:r>
          </w:p>
          <w:p w14:paraId="4F126C34" w14:textId="2E83A436" w:rsidR="06503780" w:rsidRPr="001F1865" w:rsidRDefault="06503780" w:rsidP="00DB0A49">
            <w:pPr>
              <w:spacing w:after="24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съгласно член 325в, параграф 2, буква б) и трета част, дял IV, глава 1а, раздел 5, подраздел 3 от Регламент (ЕС) № 575/2013.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6503780" w:rsidRPr="001F1865" w14:paraId="1A1B8236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8B14961" w14:textId="055D18A0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38DF7BF" w14:textId="7E1499C0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Остатъчен риск</w:t>
            </w:r>
          </w:p>
          <w:p w14:paraId="3E3A6F03" w14:textId="754D8113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Трета част, дял IV, глава 1а, раздел 4 от Регламент (ЕС) № 575/2013.</w:t>
            </w:r>
          </w:p>
        </w:tc>
      </w:tr>
      <w:tr w:rsidR="06503780" w:rsidRPr="001F1865" w14:paraId="179BEFFD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D2F5C6" w14:textId="1E18CC3B" w:rsidR="06503780" w:rsidRPr="001F1865" w:rsidRDefault="007E00FD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EU 11а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885E79" w14:textId="10B5A147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Екзотични базисни инструменти</w:t>
            </w:r>
          </w:p>
          <w:p w14:paraId="7ED02FAC" w14:textId="7DFCBC6E" w:rsidR="06503780" w:rsidRPr="001F1865" w:rsidRDefault="06503780" w:rsidP="00DB0A49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съгласно член 325в, параграф 2, буква в) и член 325ф, параграф 2, буква а) от Регламент (ЕС) 575/2013.</w:t>
            </w:r>
          </w:p>
        </w:tc>
      </w:tr>
      <w:tr w:rsidR="06503780" w:rsidRPr="001F1865" w14:paraId="397A3B6A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87ED4F" w14:textId="568A449C" w:rsidR="06503780" w:rsidRPr="001F1865" w:rsidRDefault="007E00FD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EU 11б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F12FF09" w14:textId="69432A4B" w:rsidR="06503780" w:rsidRPr="001F1865" w:rsidRDefault="06503780" w:rsidP="00DB0A49">
            <w:pPr>
              <w:spacing w:before="120" w:after="120"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Други остатъчни рискове</w:t>
            </w:r>
          </w:p>
          <w:p w14:paraId="5E46032C" w14:textId="013FBB68" w:rsidR="06503780" w:rsidRPr="001F1865" w:rsidRDefault="06503780" w:rsidP="00DB0A49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съгласно член 325в, параграф 2, буква в) и член 325ф, параграф 2, буква б) от Регламент (ЕС) 575/2013.</w:t>
            </w:r>
          </w:p>
        </w:tc>
      </w:tr>
      <w:tr w:rsidR="06503780" w:rsidRPr="001F1865" w14:paraId="106996A8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4A57C66" w14:textId="56FC3416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F69C8C" w14:textId="2E5029F0" w:rsidR="224E1E9F" w:rsidRPr="001F1865" w:rsidRDefault="224E1E9F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Общ размер на капиталовите изисквания (КИ)</w:t>
            </w:r>
          </w:p>
          <w:p w14:paraId="3AEB87FA" w14:textId="63F7CC8B" w:rsidR="06503780" w:rsidRDefault="002A353C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Сборът на редове 1—EU11б.</w:t>
            </w:r>
          </w:p>
          <w:p w14:paraId="65A75CAB" w14:textId="1D4354D4" w:rsidR="002A353C" w:rsidRPr="001F1865" w:rsidRDefault="002A353C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6503780" w:rsidRPr="001F1865" w14:paraId="01D665D7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6C2FE727" w14:textId="64C5B7A3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Колона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370E68CC" w14:textId="5A5AF052" w:rsidR="06503780" w:rsidRPr="001F1865" w:rsidRDefault="06503780" w:rsidP="00DB0A49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Обяснение</w:t>
            </w:r>
          </w:p>
        </w:tc>
      </w:tr>
      <w:tr w:rsidR="06503780" w:rsidRPr="001F1865" w14:paraId="57E6568D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4DF7122" w14:textId="3D824940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277B88BE" w14:textId="5948A214" w:rsidR="01DFB7EB" w:rsidRPr="001F1865" w:rsidRDefault="01DFB7EB" w:rsidP="06503780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Общ размер на капиталовите изисквания (КИ)</w:t>
            </w:r>
          </w:p>
        </w:tc>
      </w:tr>
      <w:tr w:rsidR="06503780" w:rsidRPr="001F1865" w14:paraId="37D30FC4" w14:textId="77777777" w:rsidTr="00DB0A49">
        <w:trPr>
          <w:trHeight w:val="3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01C04F1" w14:textId="4F64D071" w:rsidR="06503780" w:rsidRPr="001F1865" w:rsidRDefault="06503780" w:rsidP="00DB0A49">
            <w:pPr>
              <w:spacing w:after="240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669159E" w14:textId="0505478C" w:rsidR="517DDA85" w:rsidRPr="001F1865" w:rsidRDefault="02A66E37" w:rsidP="7246119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Оповестяване на капиталовите изисквания, посочени в член 438, буква г) от Регламент (ЕС) № 575/2013, изчислени като обикновен сбор на сумите по-горе в редове 1 — EU 11б.</w:t>
            </w:r>
          </w:p>
          <w:p w14:paraId="4E5B9771" w14:textId="40E878CC" w:rsidR="06503780" w:rsidRPr="001F1865" w:rsidRDefault="06503780" w:rsidP="06503780">
            <w:pPr>
              <w:spacing w:after="120" w:line="257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41C8F396" w14:textId="77777777" w:rsidR="00931C32" w:rsidRPr="001F1865" w:rsidRDefault="00931C32" w:rsidP="00931C32">
      <w:pPr>
        <w:spacing w:after="240"/>
        <w:rPr>
          <w:rFonts w:ascii="Times New Roman" w:hAnsi="Times New Roman" w:cs="Times New Roman"/>
          <w:b/>
          <w:sz w:val="24"/>
        </w:rPr>
      </w:pPr>
    </w:p>
    <w:p w14:paraId="49AD8C16" w14:textId="467238F4" w:rsidR="00931C32" w:rsidRPr="001F1865" w:rsidRDefault="00931C32" w:rsidP="48484374">
      <w:pPr>
        <w:spacing w:after="24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/>
          <w:b/>
          <w:sz w:val="24"/>
        </w:rPr>
        <w:t>Таблица EU MRB: Изисквания към институциите, които използват вътрешни модели за пазарния риск, за оповестяване на качествена информация</w:t>
      </w:r>
      <w:r>
        <w:rPr>
          <w:rFonts w:ascii="Times New Roman" w:hAnsi="Times New Roman"/>
          <w:sz w:val="24"/>
        </w:rPr>
        <w:t>: Свободен текст</w:t>
      </w:r>
    </w:p>
    <w:p w14:paraId="32EDF34C" w14:textId="442D1C01" w:rsidR="00931C32" w:rsidRPr="001F1865" w:rsidRDefault="00931C32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Институциите оповестяват информацията, посочена в член 455, букви а), б), в), г), д) и е) от Регламент (ЕС) № 575/2013, като попълват таблица EU MRB от приложение XXIX, следвайки изложените по-долу в настоящото приложение указания.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7184"/>
      </w:tblGrid>
      <w:tr w:rsidR="00931C32" w:rsidRPr="001F1865" w14:paraId="39C1942C" w14:textId="77777777" w:rsidTr="72461198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FE3064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Препратки към нормативни актове и указания</w:t>
            </w:r>
          </w:p>
        </w:tc>
      </w:tr>
      <w:tr w:rsidR="00931C32" w:rsidRPr="001F1865" w14:paraId="1B6F00FD" w14:textId="77777777" w:rsidTr="00DB0A49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C4E9D0C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Ред №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0C9A014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Обяснение</w:t>
            </w:r>
          </w:p>
        </w:tc>
      </w:tr>
      <w:tr w:rsidR="3765CAC5" w:rsidRPr="001F1865" w14:paraId="0407979F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F9E1B4" w14:textId="5201D106" w:rsidR="3765CAC5" w:rsidRPr="001F1865" w:rsidRDefault="3765CAC5" w:rsidP="3765CAC5">
            <w:pPr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FE12632" w14:textId="11982131" w:rsidR="7BC02D42" w:rsidRPr="001F1865" w:rsidRDefault="2716EDAD" w:rsidP="7246119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Когато оповестяват посочената в член 455, параграф 1а от Регламент (ЕС) № 575/2013 информация относно алтернативните вътрешни модели за пазарния риск, институциите включват:</w:t>
            </w:r>
          </w:p>
        </w:tc>
      </w:tr>
      <w:tr w:rsidR="3765CAC5" w:rsidRPr="00AA772E" w14:paraId="6AB031EF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29A411" w14:textId="55099BA3" w:rsidR="3C9E464D" w:rsidRPr="00DB0A49" w:rsidRDefault="00B02BFD" w:rsidP="3765CA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а)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283DE8" w14:textId="143E0B94" w:rsidR="3C9E464D" w:rsidRPr="00445013" w:rsidRDefault="3C9E464D" w:rsidP="3765CAC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целите на институцията при извършването на дейности по търгуване и прилаганите процеси за идентифициране, измерване, наблюдение и контрол на пазарните рискове на институцията. Тази информация може да бъде предоставена чрез препратка към таблица EU MRA;</w:t>
            </w:r>
          </w:p>
        </w:tc>
      </w:tr>
      <w:tr w:rsidR="3765CAC5" w:rsidRPr="00AA772E" w14:paraId="3EEEAC3B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B7E23A" w14:textId="2C8F59E6" w:rsidR="3C9E464D" w:rsidRPr="00DB0A49" w:rsidRDefault="00671C85" w:rsidP="3765CA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б)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EECC21" w14:textId="2B4ED7C7" w:rsidR="3C9E464D" w:rsidRPr="00DB0A49" w:rsidRDefault="3C9E464D" w:rsidP="3765CAC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политиките, посочени в член 104, параграф 1, за определяне кои позиции да бъдат включени в търговския портфейл. Тази информация може да бъде предоставена чрез препратка към таблица EU MRA.</w:t>
            </w:r>
          </w:p>
        </w:tc>
      </w:tr>
      <w:tr w:rsidR="00671C85" w:rsidRPr="00AA772E" w14:paraId="0D6ADAE7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CC578F" w14:textId="7D03AC39" w:rsidR="00671C85" w:rsidRPr="00DB0A49" w:rsidRDefault="00C06844" w:rsidP="00DE090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в)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47B801" w14:textId="77777777" w:rsidR="00671C85" w:rsidRPr="00DB0A49" w:rsidRDefault="00671C85" w:rsidP="00DE090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структурата и организацията на функцията за управление на пазарния риск и нейното ръководство;</w:t>
            </w:r>
          </w:p>
        </w:tc>
      </w:tr>
      <w:tr w:rsidR="00701D8F" w:rsidRPr="00AA772E" w14:paraId="2E7B7CF0" w14:textId="77777777" w:rsidTr="00DB0A49">
        <w:trPr>
          <w:trHeight w:val="1301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25068B" w14:textId="77777777" w:rsidR="00701D8F" w:rsidRPr="00DB0A49" w:rsidRDefault="00701D8F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14:paraId="3A0D6228" w14:textId="0AB8AAD0" w:rsidR="00701D8F" w:rsidRPr="00DB0A49" w:rsidRDefault="0D04DF7A" w:rsidP="140F9D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(A) (Б) Общо описание на структурата на бюрото за търгуване и видовете инструменти, включени в бюрото за търгуване по АПВМ, в съответствие с член 455, параграф 1, букви в) и г) от Регламент (ЕС) № 575/2013. </w:t>
            </w:r>
          </w:p>
        </w:tc>
      </w:tr>
      <w:tr w:rsidR="001B4290" w:rsidRPr="00AA772E" w14:paraId="59395D4F" w14:textId="77777777" w:rsidTr="00DB0A49">
        <w:trPr>
          <w:trHeight w:val="300"/>
        </w:trPr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1B5BC89" w14:textId="266872D2" w:rsidR="001B4290" w:rsidRPr="00DB0A49" w:rsidRDefault="001B4290" w:rsidP="00DB0A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 a)</w:t>
            </w:r>
          </w:p>
          <w:p w14:paraId="6D2F2E9A" w14:textId="09BF2D11" w:rsidR="001B4290" w:rsidRPr="00445013" w:rsidRDefault="001B4290" w:rsidP="00DB0A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3361A9" w14:textId="697DA5E8" w:rsidR="001B4290" w:rsidRPr="00DB0A49" w:rsidRDefault="6FF6DD2C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Когато оповестяват посочената в член 455, параграф 1, буква в) от Регламент (ЕС) № 575/2013 информация, институциите предоставят общо описание на структурата на бюрото за търгуване, за които се използват вътрешни модели по член 325ащ, включително – за всяко бюро – подробно описание на неговата стопанска стратегия, разрешените от нея инструменти и основните видове риск във връзка с това бюро;</w:t>
            </w:r>
          </w:p>
        </w:tc>
      </w:tr>
      <w:tr w:rsidR="001B4290" w:rsidRPr="00AA772E" w14:paraId="50FBF6A8" w14:textId="77777777" w:rsidTr="00DB0A49">
        <w:trPr>
          <w:trHeight w:val="300"/>
        </w:trPr>
        <w:tc>
          <w:tcPr>
            <w:tcW w:w="1230" w:type="dxa"/>
            <w:vMerge/>
            <w:hideMark/>
          </w:tcPr>
          <w:p w14:paraId="79170C23" w14:textId="7B220C5D" w:rsidR="001B4290" w:rsidRPr="00445013" w:rsidRDefault="001B4290" w:rsidP="3765CAC5">
            <w:pPr>
              <w:rPr>
                <w:rFonts w:ascii="Times New Roman" w:hAnsi="Times New Roman" w:cs="Times New Roman"/>
                <w:b/>
                <w:bCs/>
                <w:sz w:val="24"/>
                <w:lang w:eastAsia="ja-JP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D9458D" w14:textId="1452A5E7" w:rsidR="001B4290" w:rsidRPr="00DB0A49" w:rsidRDefault="00F5701F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Когато оповестяват посочената в член 455, параграф 1, буква г) от Регламент (ЕС) № 575/2013 информация, институциите правят общ преглед на позициите в търговския портфейл, за които не се използват вътрешни модели по член 325ащ, включително общо описание на структурата на бюрото и на вида инструменти, включени в бюрата или в категориите бюра в съответствие с член 104б;</w:t>
            </w:r>
          </w:p>
        </w:tc>
      </w:tr>
      <w:tr w:rsidR="00090EA4" w:rsidRPr="00AA772E" w:rsidDel="00671C85" w14:paraId="0C8EF869" w14:textId="77777777" w:rsidTr="72461198">
        <w:trPr>
          <w:trHeight w:val="300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868DE" w14:textId="77777777" w:rsidR="00090EA4" w:rsidRPr="00DB0A49" w:rsidRDefault="00090EA4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Б) В) Д) Описание на  основните характеристики на моделите, използвани на консолидирано равнище, в т.ч. подходите, използвани подход при утвърждаването на моделите и процесите на моделиране.</w:t>
            </w:r>
          </w:p>
          <w:p w14:paraId="32D410A2" w14:textId="3D7C861F" w:rsidR="00DE5B78" w:rsidRPr="00DB0A49" w:rsidDel="00671C85" w:rsidRDefault="00DE5B78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8A05A4" w:rsidRPr="00AA772E" w:rsidDel="00671C85" w14:paraId="2A2D75B6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5B40F" w14:textId="09595E2A" w:rsidR="00A75779" w:rsidRPr="00DB0A49" w:rsidDel="00671C85" w:rsidRDefault="00A75779" w:rsidP="3765CA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 б) в) г) д)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955CD" w14:textId="150F8DFA" w:rsidR="007E7D7A" w:rsidRPr="00DB0A49" w:rsidDel="00671C85" w:rsidRDefault="001D2F69" w:rsidP="0BE403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Когато оповестяват информацията, посочена в член 455, параграф 1, буква е), подточка i) от Регламент (ЕС) № 575/2013, институциите посочват:  обхвата, основните характеристики и ключовите решения за моделирането на различните вътрешни модели, посочени в член 325ащ от Регламент (ЕС) № 575/2013, използвани за изчисляване на размерите на рисковите експозиции за основните модели, използвани на консолидирано равнище, и описание до каква степен тези вътрешни модели представляват всички модели, използвани на консолидирано равнище, включително, когато е приложимо: i) общо описание на подхода на моделиране, използван за изчисляване на очаквания недостиг по член 325ба, параграф 1, буква а) от РКИ, включително честотата на актуализиране на данните;</w:t>
            </w:r>
          </w:p>
        </w:tc>
      </w:tr>
      <w:tr w:rsidR="008A05A4" w:rsidRPr="00AA772E" w:rsidDel="00671C85" w14:paraId="45EADEA6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293FED" w14:textId="77E5A12E" w:rsidR="008A05A4" w:rsidRPr="00DB0A49" w:rsidDel="00671C85" w:rsidRDefault="00C82CB4" w:rsidP="3765CAC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 а)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501C58" w14:textId="29B0602F" w:rsidR="00D6625B" w:rsidRPr="00DB0A49" w:rsidRDefault="00A75779" w:rsidP="0BE403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Когато оповестяват информацията, посочена в член 455, параграф 1, буква е), подточка ii) от Регламент (ЕС) № 575/2013, институциите посочват, когато е приложимо: общо описание на методиката, използвана за изчисляване на мярката на риска при сценарий на напрежение (стрес) по член 325ба, параграф 1, буква б) от Регламент (ЕС) № 575/2013, различна от спецификациите, предвидени в член 325бк, параграф 3 от Регламент (ЕС) № 575/2013;</w:t>
            </w:r>
          </w:p>
          <w:p w14:paraId="3E866C05" w14:textId="635C3FD9" w:rsidR="008A05A4" w:rsidRPr="00DB0A49" w:rsidDel="00671C85" w:rsidRDefault="008A05A4" w:rsidP="3765CA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C3247D" w:rsidRPr="00AA772E" w:rsidDel="00671C85" w14:paraId="24E01ADC" w14:textId="77777777" w:rsidTr="72461198">
        <w:trPr>
          <w:trHeight w:val="300"/>
        </w:trPr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44C901" w14:textId="4C917FDF" w:rsidR="00C3247D" w:rsidRPr="00DB0A49" w:rsidRDefault="00C3247D" w:rsidP="00D6625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Г) Описание на вътрешните модели за изчисляване на капиталовото изискване за риска от неизпълнение</w:t>
            </w:r>
          </w:p>
        </w:tc>
      </w:tr>
      <w:tr w:rsidR="3765CAC5" w:rsidRPr="00AA772E" w14:paraId="77D1514B" w14:textId="77777777" w:rsidTr="00DB0A49">
        <w:trPr>
          <w:trHeight w:val="3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5EB9A4" w14:textId="4C21A863" w:rsidR="3C9E464D" w:rsidRPr="00DB0A49" w:rsidRDefault="00827740" w:rsidP="00DB0A4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б)</w:t>
            </w: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FC28FC" w14:textId="6E66AC42" w:rsidR="3C9E464D" w:rsidRPr="00DB0A49" w:rsidRDefault="00FF5D12" w:rsidP="0BE403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Когато оповестяват информацията, посочена в член 455, параграф 1, буква е), подточка iii) от Регламент (ЕС) № 575/2013, институциите посочват, когато е приложимо: общо описание на подхода на моделиране, използван за изчисляване на капиталовото изискване за риска от неизпълнение по член 325ба, параграф 2 от Регламент (ЕС) № 575/2013, включително честотата на актуализиране на данните.</w:t>
            </w:r>
          </w:p>
        </w:tc>
      </w:tr>
    </w:tbl>
    <w:p w14:paraId="116B518F" w14:textId="73EB613A" w:rsidR="3765CAC5" w:rsidRDefault="3765CAC5">
      <w:pPr>
        <w:rPr>
          <w:rFonts w:ascii="Times New Roman" w:hAnsi="Times New Roman" w:cs="Times New Roman"/>
        </w:rPr>
      </w:pPr>
    </w:p>
    <w:p w14:paraId="471DC03E" w14:textId="77777777" w:rsidR="00445013" w:rsidRPr="00DB0A49" w:rsidRDefault="00445013">
      <w:pPr>
        <w:rPr>
          <w:rFonts w:ascii="Times New Roman" w:hAnsi="Times New Roman" w:cs="Times New Roman"/>
        </w:rPr>
      </w:pPr>
    </w:p>
    <w:p w14:paraId="681251D5" w14:textId="0749B91A" w:rsidR="00931C32" w:rsidRPr="001F1865" w:rsidRDefault="00931C32" w:rsidP="3821DFBC">
      <w:pPr>
        <w:pStyle w:val="Titlelevel2"/>
        <w:spacing w:before="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Образец EU MR2 – Пазарен риск по алтернативния подход на вътрешните модели (АПВМ):</w:t>
      </w:r>
      <w:r>
        <w:rPr>
          <w:rFonts w:ascii="Times New Roman" w:hAnsi="Times New Roman"/>
          <w:color w:val="auto"/>
          <w:sz w:val="24"/>
        </w:rPr>
        <w:t xml:space="preserve"> Зададен формат</w:t>
      </w:r>
    </w:p>
    <w:p w14:paraId="2D64DF36" w14:textId="6604692C" w:rsidR="00931C32" w:rsidRPr="00DB0A49" w:rsidRDefault="00931C32" w:rsidP="00DB0A49">
      <w:pPr>
        <w:pStyle w:val="Titlelevel2"/>
        <w:numPr>
          <w:ilvl w:val="0"/>
          <w:numId w:val="4"/>
        </w:numPr>
        <w:spacing w:before="0"/>
        <w:ind w:left="284" w:hanging="284"/>
        <w:jc w:val="both"/>
        <w:rPr>
          <w:rFonts w:ascii="Times New Roman" w:eastAsiaTheme="minorEastAsia" w:hAnsi="Times New Roman" w:cs="Times New Roman"/>
          <w:color w:val="auto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Институциите оповестяват информацията, посочена в член 455, точка 2 от Регламент (ЕС) № 575/2013, като попълват образец EU MR2 от приложение XXIX, следвайки изложените по-долу в настоящото приложение указания. </w:t>
      </w:r>
      <w:r>
        <w:rPr>
          <w:rFonts w:ascii="Times New Roman" w:hAnsi="Times New Roman"/>
          <w:color w:val="auto"/>
          <w:sz w:val="24"/>
        </w:rPr>
        <w:t>Институциите не включват в този образец данни за своя отдел за вътрешно прехвърляне на риск.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242"/>
      </w:tblGrid>
      <w:tr w:rsidR="00931C32" w:rsidRPr="001F1865" w14:paraId="454671C8" w14:textId="77777777" w:rsidTr="0BE40342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ECF57C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Препратки към нормативни актове и указания</w:t>
            </w:r>
          </w:p>
        </w:tc>
      </w:tr>
      <w:tr w:rsidR="00931C32" w:rsidRPr="001F1865" w14:paraId="74EB4602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D9C09D3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Ред №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5527BB7" w14:textId="77777777" w:rsidR="00931C32" w:rsidRPr="001F1865" w:rsidRDefault="00931C32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Обяснение</w:t>
            </w:r>
          </w:p>
        </w:tc>
      </w:tr>
      <w:tr w:rsidR="3765CAC5" w:rsidRPr="00DB0A49" w14:paraId="34D4196F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87A1073" w14:textId="03BB75EC" w:rsidR="3765CAC5" w:rsidRPr="00DB0A49" w:rsidRDefault="59A8805A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AF62FAF" w14:textId="54B9E90E" w:rsidR="02494BE7" w:rsidRPr="00AA44B0" w:rsidRDefault="42390ABD" w:rsidP="4A0450B5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Неограничена мярка на очаквания недостиг (UESt)</w:t>
            </w:r>
          </w:p>
          <w:p w14:paraId="1E53AB6F" w14:textId="2D37B3D8" w:rsidR="3E91330B" w:rsidRPr="00DB0A49" w:rsidRDefault="3BB31265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Оповестената стойност се изчислява на равнището на цялостния портфейл, а не на равнището на широкообхватна категория риск съгласно членове 325бб и 325бв от Регламент (ЕС) № 575/2013.</w:t>
            </w:r>
          </w:p>
        </w:tc>
      </w:tr>
      <w:tr w:rsidR="4A0450B5" w:rsidRPr="00DB0A49" w14:paraId="2678203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01045CC" w14:textId="043660EE" w:rsidR="3B3426CC" w:rsidRPr="00DB0A49" w:rsidRDefault="3B3426CC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A1B0F63" w14:textId="348EF369" w:rsidR="3B3426CC" w:rsidRPr="00AA44B0" w:rsidRDefault="3B3426CC" w:rsidP="4A0450B5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Неограничена мярка на очаквания недостиг за категорията рисков фактор „лихвен процент“</w:t>
            </w:r>
          </w:p>
          <w:p w14:paraId="39E48A15" w14:textId="5243BB2A" w:rsidR="40EE3118" w:rsidRPr="00DB0A49" w:rsidRDefault="749F8553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Оповестената стойност се изчислява за рисковите фактори от категория „лихвен риск“ съгласно членове 325бб, 325бв и 325бг от Регламент (ЕС) № 575/2013.</w:t>
            </w:r>
          </w:p>
        </w:tc>
      </w:tr>
      <w:tr w:rsidR="00234F41" w:rsidRPr="00DB0A49" w14:paraId="1583C761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75B8C21" w14:textId="1D60FC2A" w:rsidR="00234F41" w:rsidRPr="00DB0A49" w:rsidRDefault="002F3022" w:rsidP="00234F4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FEEC3A3" w14:textId="32D0F810" w:rsidR="00234F41" w:rsidRPr="00AA44B0" w:rsidRDefault="471075D0" w:rsidP="140F9DE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Неограничена мярка на очаквания недостиг за категория рисков фактор „капиталови инструменти“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</w:p>
          <w:p w14:paraId="4E1BA488" w14:textId="705548F0" w:rsidR="00234F41" w:rsidRPr="00DB0A49" w:rsidRDefault="7A25B94F" w:rsidP="140F9DE1">
            <w:pP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Оповестената стойност се изчислява за рисковите фактори от категория „риск от капиталови инструменти“ съгласно членове 325бб, 325бв и 325бг от Регламент (ЕС) № 575/2013.</w:t>
            </w:r>
          </w:p>
        </w:tc>
      </w:tr>
      <w:tr w:rsidR="00B86E1A" w:rsidRPr="00DB0A49" w14:paraId="3E75A527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6499A8B" w14:textId="729DAF1D" w:rsidR="00B86E1A" w:rsidRPr="00DB0A49" w:rsidRDefault="002F3022" w:rsidP="00B86E1A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1D6A90B" w14:textId="77777777" w:rsidR="00B86E1A" w:rsidRPr="00AA44B0" w:rsidRDefault="00B86E1A" w:rsidP="00B86E1A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Неограничена мярка на очаквания недостиг за категория рисков фактор „стоки“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0BA8462" w14:textId="47AECB7A" w:rsidR="00B86E1A" w:rsidRPr="00DB0A49" w:rsidRDefault="05EA5842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Оповестената стойност се изчислява за рисковите фактори от категория „стоков риск“ съгласно членове 325бб, 325бв и 325бг от Регламент (ЕС) № 575/2013.</w:t>
            </w:r>
          </w:p>
        </w:tc>
      </w:tr>
      <w:tr w:rsidR="002F3022" w:rsidRPr="00DB0A49" w14:paraId="1C3E96A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3DAF73" w14:textId="5051FDEF" w:rsidR="002F3022" w:rsidRPr="00DB0A49" w:rsidRDefault="002F3022" w:rsidP="002F302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F42D096" w14:textId="4FA1AF42" w:rsidR="002F3022" w:rsidRPr="00AA44B0" w:rsidRDefault="12ADB0E7" w:rsidP="140F9DE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Неограничена мярка на очаквания недостиг за категория рисков фактор „чуждестранна валута“</w:t>
            </w:r>
          </w:p>
          <w:p w14:paraId="1880B223" w14:textId="34F16589" w:rsidR="002F3022" w:rsidRPr="00DB0A49" w:rsidRDefault="1F3BA536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color w:val="44444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Оповестената стойност се изчислява за рисковите фактори от категория „валутен риск“ съгласно членове 325бб, 325бв и 325бг от Регламент (ЕС) № 575/2013.</w:t>
            </w:r>
          </w:p>
        </w:tc>
      </w:tr>
      <w:tr w:rsidR="00234F41" w:rsidRPr="00DB0A49" w14:paraId="12D27988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B07D6BA" w14:textId="0E7E67E0" w:rsidR="00234F41" w:rsidRPr="00DB0A49" w:rsidRDefault="00572E3E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8BE84B9" w14:textId="21B277FE" w:rsidR="00234F41" w:rsidRPr="00AA44B0" w:rsidRDefault="00234F41" w:rsidP="00234F4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Неограничена мярка на очаквания недостиг за категория рисков фактор „кредитен спред“ </w:t>
            </w:r>
          </w:p>
          <w:p w14:paraId="5C567B92" w14:textId="2263B6AC" w:rsidR="00234F41" w:rsidRPr="00DB0A49" w:rsidRDefault="79641B5E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Оповестената стойност се изчислява за рисковите фактори от категория „риск от кредитния спред“ съгласно членове 325бб, 325бв и 325бг от Регламент (ЕС) № 575/2013.</w:t>
            </w:r>
          </w:p>
        </w:tc>
      </w:tr>
      <w:tr w:rsidR="00234F41" w:rsidRPr="00DB0A49" w14:paraId="4B55EABD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1FDAC90" w14:textId="59585282" w:rsidR="00234F41" w:rsidRPr="00DB0A49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DB2F1C1" w14:textId="77777777" w:rsidR="00AA44B0" w:rsidRPr="00AA44B0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Сбор на неограничената мярка на очаквания недостиг за всяка широкообхватна категория фактори на риска</w:t>
            </w:r>
            <w:r>
              <w:rPr>
                <w:rFonts w:ascii="Times New Roman" w:hAnsi="Times New Roman"/>
                <w:sz w:val="24"/>
              </w:rPr>
              <w:t xml:space="preserve"> (∑UES</w:t>
            </w:r>
            <w:r>
              <w:rPr>
                <w:rFonts w:ascii="Times New Roman" w:hAnsi="Times New Roman"/>
                <w:sz w:val="24"/>
                <w:vertAlign w:val="superscript"/>
              </w:rPr>
              <w:t>i</w:t>
            </w:r>
            <w:r>
              <w:rPr>
                <w:rFonts w:ascii="Times New Roman" w:hAnsi="Times New Roman"/>
                <w:sz w:val="24"/>
                <w:vertAlign w:val="subscript"/>
              </w:rPr>
              <w:t>t</w:t>
            </w:r>
            <w:r>
              <w:rPr>
                <w:rFonts w:ascii="Times New Roman" w:hAnsi="Times New Roman"/>
                <w:sz w:val="24"/>
              </w:rPr>
              <w:t xml:space="preserve">) </w:t>
            </w:r>
          </w:p>
          <w:p w14:paraId="014CC777" w14:textId="17C0E236" w:rsidR="00234F41" w:rsidRPr="00AA44B0" w:rsidRDefault="00F80764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Сборът на редове 2—6.</w:t>
            </w:r>
          </w:p>
          <w:p w14:paraId="0D4B3B7E" w14:textId="0C505591" w:rsidR="00234F41" w:rsidRPr="00DB0A49" w:rsidRDefault="00234F41" w:rsidP="140F9DE1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</w:p>
        </w:tc>
      </w:tr>
      <w:tr w:rsidR="00234F41" w:rsidRPr="00DB0A49" w14:paraId="329330E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256B5C8" w14:textId="228F99DD" w:rsidR="00234F41" w:rsidRPr="00DB0A49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E988D5B" w14:textId="6487394C" w:rsidR="00234F41" w:rsidRPr="00AA44B0" w:rsidRDefault="00234F41" w:rsidP="00234F4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Мярка на очаквания недостиг (ES</w:t>
            </w:r>
            <w:r>
              <w:rPr>
                <w:rFonts w:ascii="Times New Roman" w:hAnsi="Times New Roman"/>
                <w:b/>
                <w:sz w:val="24"/>
                <w:vertAlign w:val="subscript"/>
              </w:rPr>
              <w:t>t</w:t>
            </w:r>
            <w:r>
              <w:rPr>
                <w:rFonts w:ascii="Times New Roman" w:hAnsi="Times New Roman"/>
                <w:b/>
                <w:sz w:val="24"/>
              </w:rPr>
              <w:t>)</w:t>
            </w:r>
          </w:p>
          <w:p w14:paraId="3985A7B9" w14:textId="37C4DB19" w:rsidR="00234F41" w:rsidRPr="00DB0A49" w:rsidRDefault="5D2FC7FD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Мярката на риска от очакван недостиг се изчислява в съответствие с член 325ба, параграф 1, буква а), подточка i) от Регламент (ЕС) № 575/2013.</w:t>
            </w:r>
          </w:p>
        </w:tc>
      </w:tr>
      <w:tr w:rsidR="00234F41" w:rsidRPr="00AA772E" w14:paraId="5C7A25A8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80EB380" w14:textId="3CBA7B62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6CE40AF" w14:textId="0618CAD3" w:rsidR="00234F41" w:rsidRPr="00AA44B0" w:rsidRDefault="00234F41" w:rsidP="00234F4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Мярка на риска при сценарий на напрежение (стрес сценарий) (SS</w:t>
            </w:r>
            <w:r>
              <w:rPr>
                <w:rFonts w:ascii="Times New Roman" w:hAnsi="Times New Roman"/>
                <w:b/>
                <w:sz w:val="24"/>
                <w:vertAlign w:val="subscript"/>
              </w:rPr>
              <w:t>t</w:t>
            </w:r>
            <w:r>
              <w:rPr>
                <w:rFonts w:ascii="Times New Roman" w:hAnsi="Times New Roman"/>
                <w:b/>
                <w:sz w:val="24"/>
              </w:rPr>
              <w:t>)</w:t>
            </w:r>
          </w:p>
          <w:p w14:paraId="1A984573" w14:textId="59113B26" w:rsidR="00234F41" w:rsidRPr="00DB0A49" w:rsidRDefault="060F6C17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Мярката на риска при сценарий на напрежение се изчислява в съответствие с член 325ба, параграф 1, буква а), подточка ii) от Регламент (ЕС) № 575/2013.</w:t>
            </w:r>
          </w:p>
        </w:tc>
      </w:tr>
      <w:tr w:rsidR="00234F41" w:rsidRPr="00AA772E" w14:paraId="3AAE30D9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E8C72FB" w14:textId="2E7D9982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9FBF8F2" w14:textId="1A7A8A4A" w:rsidR="00234F41" w:rsidRPr="00AA44B0" w:rsidRDefault="00234F41" w:rsidP="00234F4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Капиталово изискване за риска от неизпълнение (DRC</w:t>
            </w:r>
            <w:r>
              <w:rPr>
                <w:rFonts w:ascii="Times New Roman" w:hAnsi="Times New Roman"/>
                <w:b/>
                <w:sz w:val="24"/>
                <w:vertAlign w:val="subscript"/>
              </w:rPr>
              <w:t>t</w:t>
            </w:r>
            <w:r>
              <w:rPr>
                <w:rFonts w:ascii="Times New Roman" w:hAnsi="Times New Roman"/>
                <w:b/>
                <w:sz w:val="24"/>
              </w:rPr>
              <w:t>)</w:t>
            </w:r>
          </w:p>
          <w:p w14:paraId="0AF5675B" w14:textId="1F8133B2" w:rsidR="00234F41" w:rsidRPr="00DB0A49" w:rsidRDefault="654BF7D8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Капиталово изискване за риска от неизпълнение се изчислява в съответствие с член 325ба, параграф 2, буква а) от Регламент (ЕС) № 575/2013.</w:t>
            </w:r>
          </w:p>
        </w:tc>
      </w:tr>
      <w:tr w:rsidR="00234F41" w:rsidRPr="00AA772E" w14:paraId="001F5A7A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3795AF9" w14:textId="7BC27148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6C377DB" w14:textId="02406F87" w:rsidR="00234F41" w:rsidRPr="00AA44B0" w:rsidRDefault="1AC2462E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PLAaddon</w:t>
            </w:r>
          </w:p>
          <w:p w14:paraId="72CEFFB9" w14:textId="21DFFB57" w:rsidR="00234F41" w:rsidRPr="00DB0A49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Тази стойност се изчислява в съответствие с член 325ба, параграф 3 от Регламент (ЕС) № 575/2013 във връзка с член 10, параграф 1 от Регламент (ЕС) 2022/2059.</w:t>
            </w:r>
          </w:p>
        </w:tc>
      </w:tr>
      <w:tr w:rsidR="00234F41" w:rsidRPr="00AA772E" w14:paraId="1E5CB73A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8C254C1" w14:textId="74B26BAD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675D025" w14:textId="6D4C388A" w:rsidR="00234F41" w:rsidRPr="00AA44B0" w:rsidRDefault="11A57A2D" w:rsidP="140F9DE1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Капиталови изисквания (КИ) за балансови и задбалансови дейности плюс PLAaddon (АПВМ + PLAaddon)</w:t>
            </w:r>
          </w:p>
          <w:p w14:paraId="595AB2F9" w14:textId="23FB87CE" w:rsidR="00234F41" w:rsidRPr="00DB0A49" w:rsidRDefault="00234F41" w:rsidP="00234F4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Тази стойност се изчислява в съответствие с член 10, параграф 1 от Регламент (ЕС) 2022/2059. Добавя се стойността на ред 11.</w:t>
            </w:r>
          </w:p>
        </w:tc>
      </w:tr>
      <w:tr w:rsidR="00234F41" w:rsidRPr="00AA772E" w14:paraId="4CFEF046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4323EEB1" w14:textId="3C3F701D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4FCE8B3" w14:textId="20C19D22" w:rsidR="00234F41" w:rsidRPr="00AA44B0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 размер на КИ по АСП за бюрата за търгуване, които не отговарят на условията за използване на АПВМ (АСП без апвм)</w:t>
            </w:r>
          </w:p>
          <w:p w14:paraId="010A62FB" w14:textId="286F0BA2" w:rsidR="00234F41" w:rsidRPr="00DB0A49" w:rsidRDefault="11B9774E" w:rsidP="140F9DE1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Тази стойност се изчислява в съответствие с член 325ба, параграф 3 от Регламент (ЕС) 575/2013.</w:t>
            </w:r>
          </w:p>
        </w:tc>
      </w:tr>
      <w:tr w:rsidR="00234F41" w:rsidRPr="00AA772E" w14:paraId="2E80D7EC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32017943" w14:textId="29CFFEEE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7A4C34B" w14:textId="20DBF86B" w:rsidR="00234F41" w:rsidRPr="00AA44B0" w:rsidRDefault="471075D0" w:rsidP="140F9DE1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Разлика в КИ по АПВМ и АСП за бюрата за търгуване по АПВМ (АПВМ - АСПапвм)</w:t>
            </w:r>
          </w:p>
          <w:p w14:paraId="326E0483" w14:textId="73A09039" w:rsidR="00234F41" w:rsidRPr="00DB0A49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Тази стойност се изчислява като разликата между капиталовите изисквания по АПВМ за бюрата по АПВМ (член 10, параграф 1 от Регламент (ЕС) 2022/2059) и стойността на капиталовите изисквания по АСП за всички бюра по АПВМ (преглед на портфейла) (член 10, параграф 1 от Регламент (ЕС) 2022/2059).</w:t>
            </w:r>
          </w:p>
        </w:tc>
      </w:tr>
      <w:tr w:rsidR="00234F41" w:rsidRPr="00AA772E" w14:paraId="04D8994F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E08381D" w14:textId="6243191D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1DBA1AB" w14:textId="2D7FAA07" w:rsidR="00234F41" w:rsidRPr="00AA44B0" w:rsidRDefault="471075D0" w:rsidP="140F9DE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КИ по АСП за всички бюра за търгуване (в т.ч. онези, за които се прилага АПВМ) (АСПпълен портфейл)</w:t>
            </w:r>
          </w:p>
          <w:p w14:paraId="7232E72B" w14:textId="0064FE14" w:rsidR="00234F41" w:rsidRPr="00DB0A49" w:rsidRDefault="3A829CD0" w:rsidP="140F9DE1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Тази стойност се изчислява в съответствие с член 325ба, параграф 3 от Регламент (ЕС) 575/2013.</w:t>
            </w:r>
          </w:p>
        </w:tc>
      </w:tr>
      <w:tr w:rsidR="00234F41" w:rsidRPr="00AA772E" w14:paraId="1AA0793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875442B" w14:textId="25353664" w:rsidR="00234F41" w:rsidRPr="00445013" w:rsidRDefault="00234F41" w:rsidP="00DB0A4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7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E1B75E7" w14:textId="2021ED29" w:rsidR="00234F41" w:rsidRPr="00FE3752" w:rsidRDefault="471075D0" w:rsidP="3821DFBC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Общи капиталови изисквания по АПВМ</w:t>
            </w:r>
          </w:p>
          <w:p w14:paraId="11A40A93" w14:textId="2A4DA65C" w:rsidR="00234F41" w:rsidRPr="00DB0A49" w:rsidRDefault="7D4B7A18" w:rsidP="3821DFBC">
            <w:pPr>
              <w:rPr>
                <w:rFonts w:ascii="Times New Roman" w:eastAsia="Times New Roman" w:hAnsi="Times New Roman" w:cs="Times New Roman"/>
                <w:color w:val="444444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Тази стойност се изчислява в съответствие с член 325ба, параграф 3 от Регламент (ЕС) 575/2013. </w:t>
            </w:r>
          </w:p>
        </w:tc>
      </w:tr>
      <w:tr w:rsidR="00234F41" w:rsidRPr="001F1865" w14:paraId="6CF294F9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5D7C567" w14:textId="77777777" w:rsidR="00234F41" w:rsidRPr="001F1865" w:rsidRDefault="00234F41" w:rsidP="00234F41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Колона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B0A2FF6" w14:textId="77777777" w:rsidR="00234F41" w:rsidRPr="001F1865" w:rsidRDefault="00234F41" w:rsidP="00234F41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Обяснение</w:t>
            </w:r>
          </w:p>
        </w:tc>
      </w:tr>
      <w:tr w:rsidR="00234F41" w:rsidRPr="00AA772E" w14:paraId="691830EE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F2D892" w14:textId="13945D56" w:rsidR="00234F41" w:rsidRPr="00445013" w:rsidRDefault="00234F41" w:rsidP="00DB0A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BC3495" w14:textId="6299B921" w:rsidR="00234F41" w:rsidRPr="00DB0A49" w:rsidRDefault="00234F41" w:rsidP="00234F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Оповестяване на най-актуалната мярка на риска [редове 1—10] или капиталови изисквания [редове 11—16] към текущото тримесечие. </w:t>
            </w:r>
          </w:p>
        </w:tc>
      </w:tr>
      <w:tr w:rsidR="00825C6F" w:rsidRPr="00AA772E" w14:paraId="3E585EB2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81655A" w14:textId="6A209115" w:rsidR="00825C6F" w:rsidRPr="00445013" w:rsidRDefault="00825C6F" w:rsidP="00825C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19F853" w14:textId="5237A310" w:rsidR="00825C6F" w:rsidRPr="00445013" w:rsidRDefault="00825C6F" w:rsidP="3821DFB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Средната стойност на мярката за риска [редове 1—10] през предходните 60 работни дни [редове 1—9] или през предходните 12 седмици [ред 10] към текущото тримесечие.</w:t>
            </w:r>
          </w:p>
        </w:tc>
      </w:tr>
      <w:tr w:rsidR="00234F41" w:rsidRPr="00AA772E" w14:paraId="541E044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D9A3D63" w14:textId="38507D4F" w:rsidR="00234F41" w:rsidRPr="00445013" w:rsidRDefault="00825C6F" w:rsidP="00DB0A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AE0E847" w14:textId="02E42442" w:rsidR="00234F41" w:rsidRPr="00445013" w:rsidRDefault="00234F41" w:rsidP="3821DFB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Най-високата мярка за риска през предходните 60 работни дни [редове 1—6] към настоящото тримесечие.</w:t>
            </w:r>
          </w:p>
        </w:tc>
      </w:tr>
      <w:tr w:rsidR="00234F41" w:rsidRPr="00AA772E" w14:paraId="517652D9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185729" w14:textId="054FA251" w:rsidR="00234F41" w:rsidRPr="00445013" w:rsidRDefault="00825C6F" w:rsidP="00234F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CA32AC" w14:textId="30C74DA0" w:rsidR="00234F41" w:rsidRPr="00445013" w:rsidRDefault="00234F41" w:rsidP="3821DFB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Най-ниската мярка за риска през предходните 60 работни дни [редове 1—6] към настоящото тримесечие.</w:t>
            </w:r>
          </w:p>
        </w:tc>
      </w:tr>
      <w:tr w:rsidR="00234F41" w:rsidRPr="00AA772E" w14:paraId="41E2A894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9FA296F" w14:textId="5510FEEB" w:rsidR="00234F41" w:rsidRPr="00445013" w:rsidRDefault="00234F41" w:rsidP="00234F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57FA4A" w14:textId="0166676A" w:rsidR="00234F41" w:rsidRPr="00445013" w:rsidRDefault="00234F4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Брой на превишенията при бек-тестове [ред 1]</w:t>
            </w:r>
          </w:p>
          <w:p w14:paraId="486CF129" w14:textId="49048050" w:rsidR="00234F41" w:rsidRPr="00445013" w:rsidRDefault="51A69309" w:rsidP="0BE4034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това поле се докладва броят на превишенията, използван за определяне на добавката в съответствие с таблица 3 от член 325бе, параграф 6, буква б) от Регламент (ЕС) № 575/2013. Не се включват превишенията, които са изключени с разрешението на компетентния орган.</w:t>
            </w:r>
          </w:p>
        </w:tc>
      </w:tr>
      <w:tr w:rsidR="00234F41" w:rsidRPr="00AA772E" w14:paraId="4299B6F7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3441333" w14:textId="19304036" w:rsidR="00234F41" w:rsidRPr="00445013" w:rsidRDefault="00234F41" w:rsidP="00234F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8BD1C0" w14:textId="66C9B10A" w:rsidR="00234F41" w:rsidRPr="00445013" w:rsidRDefault="00234F41" w:rsidP="00234F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Най-актуална мярка на риска [редове 1—10] или капиталови изисквания [редове 11—16] към предходното тримесечие. </w:t>
            </w:r>
          </w:p>
        </w:tc>
      </w:tr>
      <w:tr w:rsidR="00234F41" w:rsidRPr="001F1865" w14:paraId="2CC4031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83754D" w14:textId="4239198E" w:rsidR="00234F41" w:rsidRPr="001F1865" w:rsidRDefault="00234F41" w:rsidP="00234F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88BFF1" w14:textId="1DB2F358" w:rsidR="00234F41" w:rsidRPr="001F1865" w:rsidRDefault="00234F41" w:rsidP="00234F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Средната стойност на мярката за риска [редове 1—10] през предходните 60 работни дни [редове 1—9] или през предходните 12 седмици [ред 10] към предходното тримесечие.</w:t>
            </w:r>
          </w:p>
        </w:tc>
      </w:tr>
    </w:tbl>
    <w:p w14:paraId="60061E4C" w14:textId="6CE0B0D3" w:rsidR="00AA4A0F" w:rsidRPr="00B55A87" w:rsidRDefault="00AA4A0F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</w:p>
    <w:p w14:paraId="7EADC0A6" w14:textId="5B12A297" w:rsidR="00AA4A0F" w:rsidRPr="001F1865" w:rsidRDefault="00AA4A0F" w:rsidP="140F9DE1">
      <w:pPr>
        <w:pStyle w:val="Titlelevel2"/>
        <w:spacing w:before="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Образец EU MR3 – Пазарен риск по опростения стандартизиран подход (ОСП)</w:t>
      </w:r>
      <w:r>
        <w:rPr>
          <w:rFonts w:ascii="Times New Roman" w:hAnsi="Times New Roman"/>
          <w:color w:val="auto"/>
          <w:sz w:val="24"/>
        </w:rPr>
        <w:t>: Зададен формат</w:t>
      </w:r>
    </w:p>
    <w:p w14:paraId="6AC491D2" w14:textId="6E61C37E" w:rsidR="00AA4A0F" w:rsidRPr="001F1865" w:rsidRDefault="00AA4A0F" w:rsidP="00DB0A49">
      <w:pPr>
        <w:pStyle w:val="Titlelevel2"/>
        <w:numPr>
          <w:ilvl w:val="0"/>
          <w:numId w:val="5"/>
        </w:numPr>
        <w:spacing w:before="0"/>
        <w:ind w:left="284" w:hanging="284"/>
        <w:jc w:val="both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Институциите оповестяват информацията, посочена в член 445 от Регламент (ЕС) № 575/2013, като попълват образец EU MR 3 от приложение XXIX към ИТ решенията, следвайки изложените по-долу в настоящото приложение указания.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242"/>
      </w:tblGrid>
      <w:tr w:rsidR="00AA4A0F" w:rsidRPr="001F1865" w14:paraId="31CE5A52" w14:textId="77777777" w:rsidTr="0BE40342">
        <w:tc>
          <w:tcPr>
            <w:tcW w:w="8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21B0653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Препратки към нормативни актове и указания</w:t>
            </w:r>
          </w:p>
        </w:tc>
      </w:tr>
      <w:tr w:rsidR="00AA4A0F" w:rsidRPr="001F1865" w14:paraId="5141F344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46BD028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Ред №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71D7C9A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Обяснение</w:t>
            </w:r>
          </w:p>
        </w:tc>
      </w:tr>
      <w:tr w:rsidR="00AA4A0F" w:rsidRPr="001F1865" w14:paraId="2557E2E3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A1E50F1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141434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lang w:eastAsia="ja-JP"/>
              </w:rPr>
            </w:pPr>
          </w:p>
        </w:tc>
      </w:tr>
      <w:tr w:rsidR="00AA4A0F" w:rsidRPr="001F1865" w14:paraId="739AED95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E9B2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133A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Лихвен риск (общ и специфичен) </w:t>
            </w:r>
          </w:p>
          <w:p w14:paraId="53976F70" w14:textId="7239AE46" w:rsidR="00AA4A0F" w:rsidRPr="001F1865" w:rsidRDefault="00AA4A0F" w:rsidP="0BE40342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Общият и специфичният риск при позициите в търгувани дългови инструменти в търговския портфейл съгласно трета част, дял IV, глава 2 от Регламент (ЕС) № 575/2013, без специфичния риск, свързан със секюритизация.</w:t>
            </w:r>
          </w:p>
        </w:tc>
      </w:tr>
      <w:tr w:rsidR="00AA4A0F" w:rsidRPr="001F1865" w14:paraId="3866E5CD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5B6D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2676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Риск от капиталовите инструменти (общ и специфичен)</w:t>
            </w:r>
          </w:p>
          <w:p w14:paraId="7CB149BE" w14:textId="7EC2652A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Общият и специфичният риск при позициите в капиталови инструменти в търговския портфейл съгласно трета част, дял IV, глава 2 от Регламент (ЕС) № 575/2013.</w:t>
            </w:r>
          </w:p>
        </w:tc>
      </w:tr>
      <w:tr w:rsidR="00AA4A0F" w:rsidRPr="001F1865" w14:paraId="036D3FF7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B2FA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01EE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Стоков риск</w:t>
            </w:r>
          </w:p>
          <w:p w14:paraId="63B3CA85" w14:textId="0B927E14" w:rsidR="00AA4A0F" w:rsidRPr="001F1865" w:rsidRDefault="00AA4A0F" w:rsidP="0BE40342">
            <w:pPr>
              <w:spacing w:after="2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Рискът при позициите в стоки съгласно трета част, дял IV, глава 4 от Регламент (ЕС) № 575/2013.</w:t>
            </w:r>
          </w:p>
        </w:tc>
      </w:tr>
      <w:tr w:rsidR="00AA4A0F" w:rsidRPr="001F1865" w14:paraId="7A3EA1BB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8C93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8C77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Валутен риск</w:t>
            </w:r>
          </w:p>
          <w:p w14:paraId="0EF57964" w14:textId="5BB6583A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Рискът при позициите в чуждестранна валута в съответствие с трета част, дял IV, глава 3 от Регламент (ЕС) № 575/2013.</w:t>
            </w:r>
          </w:p>
        </w:tc>
      </w:tr>
      <w:tr w:rsidR="00AA4A0F" w:rsidRPr="001F1865" w14:paraId="510BA8A3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69CF" w14:textId="77777777" w:rsidR="00AA4A0F" w:rsidRPr="001F1865" w:rsidRDefault="00AA4A0F" w:rsidP="00DE09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132C" w14:textId="77777777" w:rsidR="00AA4A0F" w:rsidRPr="001F1865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Секюритизация (специфичен риск)</w:t>
            </w:r>
          </w:p>
          <w:p w14:paraId="20BB6B2F" w14:textId="370CD600" w:rsidR="00AA4A0F" w:rsidRPr="00DE72D6" w:rsidRDefault="00AA4A0F" w:rsidP="00DE09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</w:rPr>
              <w:t>Специфичният риск при секюритизиращи позиции в търговския портфейл съгласно трета част, дял IV, глава 2, членове 337 и 338 от Регламент (ЕС) № 575/2013.</w:t>
            </w:r>
          </w:p>
        </w:tc>
      </w:tr>
      <w:tr w:rsidR="00AA4A0F" w:rsidRPr="001F1865" w14:paraId="7C502C6B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68C1" w14:textId="77777777" w:rsidR="00AA4A0F" w:rsidRPr="001F1865" w:rsidRDefault="00AA4A0F" w:rsidP="00DE09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9167" w14:textId="77777777" w:rsidR="00AA4A0F" w:rsidRPr="001F1865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Общ размер на КИ по ОСП </w:t>
            </w:r>
          </w:p>
          <w:p w14:paraId="5DD2D55D" w14:textId="027A9E83" w:rsidR="00AA4A0F" w:rsidRPr="001F1865" w:rsidRDefault="00AA4A0F" w:rsidP="00DE090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Оповестяване на капиталовите изисквания, посочени в член 438, буква г) от Регламент (ЕС) № 575/2013, изчислени като обикновен сбор от стойностите в редове 1—5 по-горе за колона „а“ и като прост сбор на сумите в редове 1—4 по-горе за колони „б“, „в“ и „г“.</w:t>
            </w:r>
          </w:p>
        </w:tc>
      </w:tr>
      <w:tr w:rsidR="00AA4A0F" w:rsidRPr="001F1865" w14:paraId="56185555" w14:textId="77777777" w:rsidTr="00DB0A49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50AB2" w14:textId="77777777" w:rsidR="00AA4A0F" w:rsidRPr="001F1865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Колона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4381206" w14:textId="77777777" w:rsidR="00AA4A0F" w:rsidRPr="00DB0A49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Обяснение</w:t>
            </w:r>
          </w:p>
        </w:tc>
      </w:tr>
      <w:tr w:rsidR="00AA4A0F" w:rsidRPr="001F1865" w14:paraId="2E9CE451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8E7FF5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CFD14A" w14:textId="77777777" w:rsidR="00AA4A0F" w:rsidRPr="00FE3752" w:rsidRDefault="00AA4A0F" w:rsidP="00DE090B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Продукти без възможност за избор</w:t>
            </w:r>
          </w:p>
        </w:tc>
      </w:tr>
      <w:tr w:rsidR="00AA4A0F" w:rsidRPr="001F1865" w14:paraId="5A2CAA0E" w14:textId="77777777" w:rsidTr="0BE40342">
        <w:trPr>
          <w:trHeight w:val="300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C87F" w14:textId="77777777" w:rsidR="00AA4A0F" w:rsidRPr="001F1865" w:rsidRDefault="00AA4A0F" w:rsidP="00DE090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9E82" w14:textId="3E3EB933" w:rsidR="00AA4A0F" w:rsidRPr="00DB0A49" w:rsidRDefault="00AA4A0F" w:rsidP="00DE090B">
            <w:pPr>
              <w:rPr>
                <w:rFonts w:ascii="Times New Roman" w:eastAsia="Calibri" w:hAnsi="Times New Roman" w:cs="Times New Roman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Позиции в продукти, които не са незадължителни и не са включени в подходите, разгледани в РТС за риска по опции, различен от делта риска, при стандартизирания подход за пазарен риск</w:t>
            </w:r>
            <w:r w:rsidRPr="00DB0A49">
              <w:rPr>
                <w:rFonts w:ascii="Times New Roman" w:eastAsia="Calibri" w:hAnsi="Times New Roman" w:cs="Times New Roman"/>
                <w:szCs w:val="22"/>
                <w:vertAlign w:val="superscript"/>
              </w:rPr>
              <w:footnoteReference w:id="3"/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AA4A0F" w:rsidRPr="001F1865" w14:paraId="198A0D0F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E84CA33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lang w:eastAsia="ja-JP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4E150A" w14:textId="77777777" w:rsidR="00AA4A0F" w:rsidRPr="001F1865" w:rsidRDefault="00AA4A0F" w:rsidP="00DE090B">
            <w:pPr>
              <w:spacing w:after="2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Опции</w:t>
            </w:r>
          </w:p>
        </w:tc>
      </w:tr>
      <w:tr w:rsidR="00AA4A0F" w:rsidRPr="001F1865" w14:paraId="4D311DFE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A58E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1FC3" w14:textId="77777777" w:rsidR="00AA4A0F" w:rsidRPr="001F1865" w:rsidRDefault="00AA4A0F" w:rsidP="00DE090B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Опростен подход</w:t>
            </w:r>
          </w:p>
          <w:p w14:paraId="71365A3F" w14:textId="32ACEA9A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Опциите или варантите съгласно определението в трета част, дял IV, глава 2, член 329, параграф 3 от Регламент (ЕС) № 575/2013, за които институциите изчисляват капиталовите изисквания за риска, различен от делта риска, по опростения подход</w:t>
            </w:r>
            <w:r w:rsidRPr="00DB0A49">
              <w:rPr>
                <w:rStyle w:val="FootnoteReference"/>
                <w:rFonts w:ascii="Times New Roman" w:eastAsia="Times New Roman" w:hAnsi="Times New Roman" w:cs="Times New Roman"/>
              </w:rPr>
              <w:footnoteReference w:id="4"/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AA4A0F" w:rsidRPr="001F1865" w14:paraId="41891054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83E5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D43E" w14:textId="77777777" w:rsidR="00AA4A0F" w:rsidRPr="001F1865" w:rsidRDefault="00AA4A0F" w:rsidP="00DE090B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Подход делта плюс</w:t>
            </w:r>
          </w:p>
          <w:p w14:paraId="4982FF4D" w14:textId="11E24DA9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Опциите или варантите в търговския портфейл съгласно определението в трета част, дял IV, глава 2, член 329, параграф 3 от Регламент (ЕС) № 575/2013, за които институциите изчисляват капиталовите изисквания за риска, различен от делта риска, по подхода делта плюс</w:t>
            </w:r>
            <w:r w:rsidRPr="00DB0A49">
              <w:rPr>
                <w:rStyle w:val="FootnoteReference"/>
                <w:rFonts w:ascii="Times New Roman" w:eastAsia="Times New Roman" w:hAnsi="Times New Roman" w:cs="Times New Roman"/>
              </w:rPr>
              <w:footnoteReference w:id="5"/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AA4A0F" w:rsidRPr="001F1865" w14:paraId="4EBB665F" w14:textId="77777777" w:rsidTr="0BE40342"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3ACF" w14:textId="77777777" w:rsidR="00AA4A0F" w:rsidRPr="001F1865" w:rsidRDefault="00AA4A0F" w:rsidP="00DE090B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г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FE4D" w14:textId="77777777" w:rsidR="00AA4A0F" w:rsidRPr="001F1865" w:rsidRDefault="00AA4A0F" w:rsidP="00DE090B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Сценариен подход</w:t>
            </w:r>
          </w:p>
          <w:p w14:paraId="2B78A76A" w14:textId="583FBB66" w:rsidR="00AA4A0F" w:rsidRPr="001F1865" w:rsidRDefault="00AA4A0F" w:rsidP="0BE40342">
            <w:pPr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Опциите или варантите в търговския портфейл съгласно определението в трета част, дял IV, глава 2, член 329, параграф 3 от Регламент (ЕС) № 575/2013, за които институциите изчисляват капиталовите изисквания за риска, различен от делта риска, по сценарийния подход</w:t>
            </w:r>
            <w:r w:rsidRPr="00DB0A49">
              <w:rPr>
                <w:rStyle w:val="FootnoteReference"/>
                <w:rFonts w:ascii="Times New Roman" w:eastAsia="Times New Roman" w:hAnsi="Times New Roman" w:cs="Times New Roman"/>
              </w:rPr>
              <w:footnoteReference w:id="6"/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</w:tbl>
    <w:p w14:paraId="79592B57" w14:textId="77777777" w:rsidR="00931C32" w:rsidRPr="00B55A87" w:rsidRDefault="00931C32" w:rsidP="00931C32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</w:rPr>
      </w:pPr>
    </w:p>
    <w:sectPr w:rsidR="00931C32" w:rsidRPr="00B55A8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1A622" w14:textId="77777777" w:rsidR="00F2772C" w:rsidRDefault="00F2772C" w:rsidP="00931C32">
      <w:r>
        <w:separator/>
      </w:r>
    </w:p>
  </w:endnote>
  <w:endnote w:type="continuationSeparator" w:id="0">
    <w:p w14:paraId="5609A27D" w14:textId="77777777" w:rsidR="00F2772C" w:rsidRDefault="00F2772C" w:rsidP="00931C32">
      <w:r>
        <w:continuationSeparator/>
      </w:r>
    </w:p>
  </w:endnote>
  <w:endnote w:type="continuationNotice" w:id="1">
    <w:p w14:paraId="2EEBBAF9" w14:textId="77777777" w:rsidR="00677CBD" w:rsidRDefault="00677C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29608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B6A1F2" w14:textId="77777777" w:rsidR="001E400B" w:rsidRDefault="001E400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3585">
          <w:t>1</w:t>
        </w:r>
        <w:r w:rsidR="006E3585">
          <w:t>4</w:t>
        </w:r>
        <w:r>
          <w:fldChar w:fldCharType="end"/>
        </w:r>
      </w:p>
    </w:sdtContent>
  </w:sdt>
  <w:p w14:paraId="2946DB82" w14:textId="77777777" w:rsidR="001E400B" w:rsidRDefault="001E40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7FBD0" w14:textId="77777777" w:rsidR="00F2772C" w:rsidRDefault="00F2772C" w:rsidP="00931C32">
      <w:r>
        <w:separator/>
      </w:r>
    </w:p>
  </w:footnote>
  <w:footnote w:type="continuationSeparator" w:id="0">
    <w:p w14:paraId="012E5BFC" w14:textId="77777777" w:rsidR="00F2772C" w:rsidRDefault="00F2772C" w:rsidP="00931C32">
      <w:r>
        <w:continuationSeparator/>
      </w:r>
    </w:p>
  </w:footnote>
  <w:footnote w:type="continuationNotice" w:id="1">
    <w:p w14:paraId="05A445BA" w14:textId="77777777" w:rsidR="00677CBD" w:rsidRDefault="00677CBD"/>
  </w:footnote>
  <w:footnote w:id="2">
    <w:p w14:paraId="62EBF3C5" w14:textId="4E8F5FFE" w:rsidR="00931C32" w:rsidRPr="00222AAB" w:rsidRDefault="00931C32" w:rsidP="007F0B68">
      <w:pPr>
        <w:pStyle w:val="FootnoteText"/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Регламент (ЕС) № 575/2013 на Европейския парламент и на Съвета от 26 юни 2013 г. относно пруденциалните изисквания за кредитните институции и инвестиционните посредници и за изменение на Регламент (ЕС) № 648/2012, изменен с Регламент (ЕС) 2024/1623 (</w:t>
      </w:r>
      <w:hyperlink r:id="rId1" w:history="1">
        <w:r>
          <w:rPr>
            <w:rStyle w:val="Hyperlink"/>
            <w:color w:val="800080"/>
          </w:rPr>
          <w:t>ОВ L 176, 27.6.2013 г., стр. 1</w:t>
        </w:r>
      </w:hyperlink>
      <w:r>
        <w:rPr>
          <w:color w:val="800080"/>
          <w:u w:val="single"/>
        </w:rPr>
        <w:t xml:space="preserve">; </w:t>
      </w:r>
      <w:hyperlink r:id="rId2" w:history="1">
        <w:r>
          <w:rPr>
            <w:rStyle w:val="Hyperlink"/>
          </w:rPr>
          <w:t>Регламент — ЕС — 2024/1623 — BG — EUR-Lex (europa.eu)</w:t>
        </w:r>
      </w:hyperlink>
      <w:r>
        <w:t>).</w:t>
      </w:r>
    </w:p>
  </w:footnote>
  <w:footnote w:id="3">
    <w:p w14:paraId="6651B5AC" w14:textId="77777777" w:rsidR="00AA4A0F" w:rsidRPr="008158FF" w:rsidRDefault="00AA4A0F" w:rsidP="00AA4A0F">
      <w:pPr>
        <w:pStyle w:val="FootnoteText"/>
      </w:pPr>
      <w:r>
        <w:footnoteRef/>
      </w:r>
      <w:r>
        <w:t xml:space="preserve"> </w:t>
      </w:r>
      <w:r>
        <w:tab/>
      </w:r>
      <w:r>
        <w:t>Както е определен в Делегиран регламент (ЕС) № 528/2014 на Комисията от 12 март 2014 г. за допълнение на Регламент (ЕС) № 575/2013 на Европейския парламент и на Съвета по отношение на регулаторните технически стандарти за риска по опции, различен от делта риска, при стандартизирания подход за пазарен риск (ОВ L 148, 20.5.2014 г., стр. 29).</w:t>
      </w:r>
    </w:p>
  </w:footnote>
  <w:footnote w:id="4">
    <w:p w14:paraId="67B37F98" w14:textId="77777777" w:rsidR="00AA4A0F" w:rsidRPr="00222AAB" w:rsidRDefault="00AA4A0F" w:rsidP="00AA4A0F">
      <w:pPr>
        <w:pStyle w:val="FootnoteText"/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>Както е определен в Делегиран регламент (ЕС) № 528/2014 на Комисията от 12 март 2014 г. за допълнение на Регламент (ЕС) № 575/2013 на Европейския парламент и на Съвета по отношение на регулаторните технически стандарти за риска по опции, различен от делта риска, при стандартизирания подход за пазарен риск (ОВ L 148, 20.5.2014 г., стр. 29).</w:t>
      </w:r>
    </w:p>
  </w:footnote>
  <w:footnote w:id="5">
    <w:p w14:paraId="6C32CA93" w14:textId="77777777" w:rsidR="00AA4A0F" w:rsidRPr="00222AAB" w:rsidRDefault="00AA4A0F" w:rsidP="00AA4A0F">
      <w:pPr>
        <w:pStyle w:val="FootnoteText"/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>Както е определен в Делегиран регламент (ЕС) № 528/2014 на Комисията от 12 март 2014 г. за допълнение на Регламент (ЕС) № 575/2013 на Европейския парламент и на Съвета по отношение на регулаторните технически стандарти за риска по опции, различен от делта риска, при стандартизирания подход за пазарен риск (ОВ L 148, 20.5.2014 г., стр. 29).</w:t>
      </w:r>
    </w:p>
  </w:footnote>
  <w:footnote w:id="6">
    <w:p w14:paraId="739259DE" w14:textId="77777777" w:rsidR="00AA4A0F" w:rsidRPr="00222AAB" w:rsidRDefault="00AA4A0F" w:rsidP="00AA4A0F">
      <w:pPr>
        <w:pStyle w:val="FootnoteText"/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>Както е определен в Делегиран регламент (ЕС) № 528/2014 на Комисията от 12 март 2014 г. за допълнение на Регламент (ЕС) № 575/2013 на Европейския парламент и на Съвета по отношение на регулаторните технически стандарти за риска по опции, различен от делта риска, при стандартизирания подход за пазарен риск (ОВ L 148, 20.5.2014 г., стр. 29).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BEF00" w14:textId="2FF13506" w:rsidR="001E400B" w:rsidRDefault="003711D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538BE4FF" wp14:editId="37B8D3A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2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56FCDE" w14:textId="162F82C7" w:rsidR="003711D5" w:rsidRPr="00DB0A49" w:rsidRDefault="003711D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38BE4F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1A56FCDE" w14:textId="162F82C7" w:rsidR="003711D5" w:rsidRPr="00DB0A49" w:rsidRDefault="003711D5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C43A" w14:textId="273E788A" w:rsidR="001E400B" w:rsidRDefault="003711D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77F8E82E" wp14:editId="22A30FA4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3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81BB6A" w14:textId="11FFB457" w:rsidR="003711D5" w:rsidRPr="00DB0A49" w:rsidRDefault="003711D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7F8E82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3E81BB6A" w14:textId="11FFB457" w:rsidR="003711D5" w:rsidRPr="00DB0A49" w:rsidRDefault="003711D5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39945" w14:textId="5EFD03C3" w:rsidR="001E400B" w:rsidRDefault="003711D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B864388" wp14:editId="43407DD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1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9E11F3" w14:textId="6F23960E" w:rsidR="003711D5" w:rsidRPr="00DB0A49" w:rsidRDefault="003711D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B86438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749E11F3" w14:textId="6F23960E" w:rsidR="003711D5" w:rsidRPr="00DB0A49" w:rsidRDefault="003711D5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75914"/>
    <w:multiLevelType w:val="hybridMultilevel"/>
    <w:tmpl w:val="9A60C088"/>
    <w:lvl w:ilvl="0" w:tplc="858CAB9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B3313"/>
    <w:multiLevelType w:val="hybridMultilevel"/>
    <w:tmpl w:val="3FB20E04"/>
    <w:lvl w:ilvl="0" w:tplc="0804D116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  <w:lang w:val="en-GB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44831"/>
    <w:multiLevelType w:val="hybridMultilevel"/>
    <w:tmpl w:val="7B5E3790"/>
    <w:lvl w:ilvl="0" w:tplc="A4E42E54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C464D"/>
    <w:multiLevelType w:val="hybridMultilevel"/>
    <w:tmpl w:val="7E3EA194"/>
    <w:lvl w:ilvl="0" w:tplc="C1D6BA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7D5598"/>
    <w:multiLevelType w:val="hybridMultilevel"/>
    <w:tmpl w:val="32BCBD6C"/>
    <w:lvl w:ilvl="0" w:tplc="6F103D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2ECD9"/>
    <w:multiLevelType w:val="hybridMultilevel"/>
    <w:tmpl w:val="FFFFFFFF"/>
    <w:lvl w:ilvl="0" w:tplc="E932B00C">
      <w:start w:val="1"/>
      <w:numFmt w:val="decimal"/>
      <w:lvlText w:val="%1."/>
      <w:lvlJc w:val="left"/>
      <w:pPr>
        <w:ind w:left="720" w:hanging="360"/>
      </w:pPr>
    </w:lvl>
    <w:lvl w:ilvl="1" w:tplc="48C88220">
      <w:start w:val="1"/>
      <w:numFmt w:val="lowerLetter"/>
      <w:lvlText w:val="%2."/>
      <w:lvlJc w:val="left"/>
      <w:pPr>
        <w:ind w:left="1440" w:hanging="360"/>
      </w:pPr>
    </w:lvl>
    <w:lvl w:ilvl="2" w:tplc="7E166E12">
      <w:start w:val="1"/>
      <w:numFmt w:val="lowerRoman"/>
      <w:lvlText w:val="%3."/>
      <w:lvlJc w:val="right"/>
      <w:pPr>
        <w:ind w:left="2160" w:hanging="180"/>
      </w:pPr>
    </w:lvl>
    <w:lvl w:ilvl="3" w:tplc="10D641B0">
      <w:start w:val="1"/>
      <w:numFmt w:val="decimal"/>
      <w:lvlText w:val="%4."/>
      <w:lvlJc w:val="left"/>
      <w:pPr>
        <w:ind w:left="2880" w:hanging="360"/>
      </w:pPr>
    </w:lvl>
    <w:lvl w:ilvl="4" w:tplc="51DA6A34">
      <w:start w:val="1"/>
      <w:numFmt w:val="lowerLetter"/>
      <w:lvlText w:val="%5."/>
      <w:lvlJc w:val="left"/>
      <w:pPr>
        <w:ind w:left="3600" w:hanging="360"/>
      </w:pPr>
    </w:lvl>
    <w:lvl w:ilvl="5" w:tplc="B596B25E">
      <w:start w:val="1"/>
      <w:numFmt w:val="lowerRoman"/>
      <w:lvlText w:val="%6."/>
      <w:lvlJc w:val="right"/>
      <w:pPr>
        <w:ind w:left="4320" w:hanging="180"/>
      </w:pPr>
    </w:lvl>
    <w:lvl w:ilvl="6" w:tplc="5E96F650">
      <w:start w:val="1"/>
      <w:numFmt w:val="decimal"/>
      <w:lvlText w:val="%7."/>
      <w:lvlJc w:val="left"/>
      <w:pPr>
        <w:ind w:left="5040" w:hanging="360"/>
      </w:pPr>
    </w:lvl>
    <w:lvl w:ilvl="7" w:tplc="16062A40">
      <w:start w:val="1"/>
      <w:numFmt w:val="lowerLetter"/>
      <w:lvlText w:val="%8."/>
      <w:lvlJc w:val="left"/>
      <w:pPr>
        <w:ind w:left="5760" w:hanging="360"/>
      </w:pPr>
    </w:lvl>
    <w:lvl w:ilvl="8" w:tplc="20CE046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9FB826"/>
    <w:multiLevelType w:val="hybridMultilevel"/>
    <w:tmpl w:val="FFFFFFFF"/>
    <w:lvl w:ilvl="0" w:tplc="916C4F76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2CE8F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267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C034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148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E2C4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72EE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384C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A0FE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C159B3"/>
    <w:multiLevelType w:val="hybridMultilevel"/>
    <w:tmpl w:val="01102932"/>
    <w:lvl w:ilvl="0" w:tplc="674E8D52">
      <w:start w:val="6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270715">
    <w:abstractNumId w:val="6"/>
  </w:num>
  <w:num w:numId="2" w16cid:durableId="1371295629">
    <w:abstractNumId w:val="5"/>
  </w:num>
  <w:num w:numId="3" w16cid:durableId="1245528726">
    <w:abstractNumId w:val="3"/>
  </w:num>
  <w:num w:numId="4" w16cid:durableId="164059399">
    <w:abstractNumId w:val="2"/>
  </w:num>
  <w:num w:numId="5" w16cid:durableId="1786731752">
    <w:abstractNumId w:val="7"/>
  </w:num>
  <w:num w:numId="6" w16cid:durableId="1612781493">
    <w:abstractNumId w:val="0"/>
  </w:num>
  <w:num w:numId="7" w16cid:durableId="1525171532">
    <w:abstractNumId w:val="4"/>
  </w:num>
  <w:num w:numId="8" w16cid:durableId="674765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EC2249"/>
    <w:rsid w:val="000336E7"/>
    <w:rsid w:val="0003639D"/>
    <w:rsid w:val="000370C1"/>
    <w:rsid w:val="00090EA4"/>
    <w:rsid w:val="000B08B4"/>
    <w:rsid w:val="000C11E2"/>
    <w:rsid w:val="000C7025"/>
    <w:rsid w:val="000D77D3"/>
    <w:rsid w:val="001018F4"/>
    <w:rsid w:val="001057C3"/>
    <w:rsid w:val="0011346D"/>
    <w:rsid w:val="00160583"/>
    <w:rsid w:val="001609D9"/>
    <w:rsid w:val="001737C7"/>
    <w:rsid w:val="00180294"/>
    <w:rsid w:val="001941CB"/>
    <w:rsid w:val="001B4290"/>
    <w:rsid w:val="001B6FDE"/>
    <w:rsid w:val="001D2F69"/>
    <w:rsid w:val="001E400B"/>
    <w:rsid w:val="001E5FF3"/>
    <w:rsid w:val="001F1865"/>
    <w:rsid w:val="00200AE2"/>
    <w:rsid w:val="00214362"/>
    <w:rsid w:val="002316A7"/>
    <w:rsid w:val="00234F41"/>
    <w:rsid w:val="00243650"/>
    <w:rsid w:val="00257A70"/>
    <w:rsid w:val="00260316"/>
    <w:rsid w:val="00264C63"/>
    <w:rsid w:val="00265D4A"/>
    <w:rsid w:val="00266BB6"/>
    <w:rsid w:val="002808D9"/>
    <w:rsid w:val="0028138E"/>
    <w:rsid w:val="002A353C"/>
    <w:rsid w:val="002C07D9"/>
    <w:rsid w:val="002C1404"/>
    <w:rsid w:val="002C44FE"/>
    <w:rsid w:val="002C5234"/>
    <w:rsid w:val="002F3022"/>
    <w:rsid w:val="002F7116"/>
    <w:rsid w:val="00313F1F"/>
    <w:rsid w:val="00347F3B"/>
    <w:rsid w:val="00350C8C"/>
    <w:rsid w:val="003711D5"/>
    <w:rsid w:val="003B4210"/>
    <w:rsid w:val="003B45C4"/>
    <w:rsid w:val="003C13EE"/>
    <w:rsid w:val="003E7DFC"/>
    <w:rsid w:val="003F26DE"/>
    <w:rsid w:val="00433034"/>
    <w:rsid w:val="0043C992"/>
    <w:rsid w:val="00445013"/>
    <w:rsid w:val="004832DE"/>
    <w:rsid w:val="00487226"/>
    <w:rsid w:val="00487DDA"/>
    <w:rsid w:val="00498A5B"/>
    <w:rsid w:val="0049D48D"/>
    <w:rsid w:val="004C112C"/>
    <w:rsid w:val="004D0D9E"/>
    <w:rsid w:val="00522E9A"/>
    <w:rsid w:val="00537B45"/>
    <w:rsid w:val="00572E3E"/>
    <w:rsid w:val="005938AD"/>
    <w:rsid w:val="005B429A"/>
    <w:rsid w:val="005C6FC8"/>
    <w:rsid w:val="005E135A"/>
    <w:rsid w:val="005E6E16"/>
    <w:rsid w:val="0060218B"/>
    <w:rsid w:val="00605F82"/>
    <w:rsid w:val="00621E9C"/>
    <w:rsid w:val="0065560D"/>
    <w:rsid w:val="00671C85"/>
    <w:rsid w:val="0067349D"/>
    <w:rsid w:val="00677CBD"/>
    <w:rsid w:val="0068248E"/>
    <w:rsid w:val="006852CB"/>
    <w:rsid w:val="006A5A7A"/>
    <w:rsid w:val="006B62CF"/>
    <w:rsid w:val="006BDE35"/>
    <w:rsid w:val="006D7761"/>
    <w:rsid w:val="006E3585"/>
    <w:rsid w:val="006E73FE"/>
    <w:rsid w:val="00701D8F"/>
    <w:rsid w:val="00714AE5"/>
    <w:rsid w:val="007336D9"/>
    <w:rsid w:val="007541E2"/>
    <w:rsid w:val="0079214C"/>
    <w:rsid w:val="00795618"/>
    <w:rsid w:val="007A4465"/>
    <w:rsid w:val="007D19BD"/>
    <w:rsid w:val="007D59E2"/>
    <w:rsid w:val="007E00FD"/>
    <w:rsid w:val="007E7D7A"/>
    <w:rsid w:val="007F0B68"/>
    <w:rsid w:val="007F14DD"/>
    <w:rsid w:val="007F2DC3"/>
    <w:rsid w:val="008158FF"/>
    <w:rsid w:val="00824BCF"/>
    <w:rsid w:val="00825C6F"/>
    <w:rsid w:val="00827740"/>
    <w:rsid w:val="00857EB9"/>
    <w:rsid w:val="00877F9B"/>
    <w:rsid w:val="008A05A4"/>
    <w:rsid w:val="008D03CB"/>
    <w:rsid w:val="009063C1"/>
    <w:rsid w:val="00911AB2"/>
    <w:rsid w:val="00931C32"/>
    <w:rsid w:val="00974577"/>
    <w:rsid w:val="0098272B"/>
    <w:rsid w:val="009874FB"/>
    <w:rsid w:val="009A6C30"/>
    <w:rsid w:val="00A50483"/>
    <w:rsid w:val="00A57E44"/>
    <w:rsid w:val="00A66CC7"/>
    <w:rsid w:val="00A71B45"/>
    <w:rsid w:val="00A75779"/>
    <w:rsid w:val="00A857E0"/>
    <w:rsid w:val="00A87CCE"/>
    <w:rsid w:val="00A93BC7"/>
    <w:rsid w:val="00A94820"/>
    <w:rsid w:val="00AA44B0"/>
    <w:rsid w:val="00AA4A0F"/>
    <w:rsid w:val="00AA772E"/>
    <w:rsid w:val="00AB6AC8"/>
    <w:rsid w:val="00AD6592"/>
    <w:rsid w:val="00AF5A1F"/>
    <w:rsid w:val="00B02BFD"/>
    <w:rsid w:val="00B17E7B"/>
    <w:rsid w:val="00B335DB"/>
    <w:rsid w:val="00B3658A"/>
    <w:rsid w:val="00B55A87"/>
    <w:rsid w:val="00B55C66"/>
    <w:rsid w:val="00B6384D"/>
    <w:rsid w:val="00B83EB1"/>
    <w:rsid w:val="00B86E1A"/>
    <w:rsid w:val="00B9598A"/>
    <w:rsid w:val="00BA0BDC"/>
    <w:rsid w:val="00BA2AA9"/>
    <w:rsid w:val="00BD6C00"/>
    <w:rsid w:val="00BE4793"/>
    <w:rsid w:val="00BE603F"/>
    <w:rsid w:val="00C06844"/>
    <w:rsid w:val="00C17F4F"/>
    <w:rsid w:val="00C213B7"/>
    <w:rsid w:val="00C225C5"/>
    <w:rsid w:val="00C3247D"/>
    <w:rsid w:val="00C45A99"/>
    <w:rsid w:val="00C53337"/>
    <w:rsid w:val="00C622B1"/>
    <w:rsid w:val="00C802F7"/>
    <w:rsid w:val="00C82CB4"/>
    <w:rsid w:val="00C84951"/>
    <w:rsid w:val="00CA0B40"/>
    <w:rsid w:val="00CD55C8"/>
    <w:rsid w:val="00CF112B"/>
    <w:rsid w:val="00CF17F8"/>
    <w:rsid w:val="00D0172B"/>
    <w:rsid w:val="00D45AA4"/>
    <w:rsid w:val="00D6625B"/>
    <w:rsid w:val="00D708CB"/>
    <w:rsid w:val="00D9145B"/>
    <w:rsid w:val="00D920BD"/>
    <w:rsid w:val="00DB0A49"/>
    <w:rsid w:val="00DE090B"/>
    <w:rsid w:val="00DE4020"/>
    <w:rsid w:val="00DE5B78"/>
    <w:rsid w:val="00DE72D6"/>
    <w:rsid w:val="00DF6C74"/>
    <w:rsid w:val="00DF7AF6"/>
    <w:rsid w:val="00E077AE"/>
    <w:rsid w:val="00E21B21"/>
    <w:rsid w:val="00E31B3A"/>
    <w:rsid w:val="00E33CFA"/>
    <w:rsid w:val="00E374FB"/>
    <w:rsid w:val="00E52C25"/>
    <w:rsid w:val="00E67450"/>
    <w:rsid w:val="00E7623F"/>
    <w:rsid w:val="00E8357D"/>
    <w:rsid w:val="00E9795A"/>
    <w:rsid w:val="00EA5911"/>
    <w:rsid w:val="00EB0DA2"/>
    <w:rsid w:val="00EC10EF"/>
    <w:rsid w:val="00EC2249"/>
    <w:rsid w:val="00F0799F"/>
    <w:rsid w:val="00F2772C"/>
    <w:rsid w:val="00F5701F"/>
    <w:rsid w:val="00F66685"/>
    <w:rsid w:val="00F806E6"/>
    <w:rsid w:val="00F80764"/>
    <w:rsid w:val="00F85A37"/>
    <w:rsid w:val="00F96CAA"/>
    <w:rsid w:val="00FB1DFD"/>
    <w:rsid w:val="00FC71A8"/>
    <w:rsid w:val="00FE3752"/>
    <w:rsid w:val="00FF5D12"/>
    <w:rsid w:val="013AE0EC"/>
    <w:rsid w:val="013E6BA9"/>
    <w:rsid w:val="01D445E4"/>
    <w:rsid w:val="01DD6D36"/>
    <w:rsid w:val="01DFB7EB"/>
    <w:rsid w:val="01E12F8D"/>
    <w:rsid w:val="01E55ABC"/>
    <w:rsid w:val="01E5A4EE"/>
    <w:rsid w:val="02494BE7"/>
    <w:rsid w:val="0266B904"/>
    <w:rsid w:val="02A66E37"/>
    <w:rsid w:val="02C4BBFE"/>
    <w:rsid w:val="02DA3C0A"/>
    <w:rsid w:val="02EBAE71"/>
    <w:rsid w:val="0309E604"/>
    <w:rsid w:val="035B3B5C"/>
    <w:rsid w:val="03793D97"/>
    <w:rsid w:val="03965670"/>
    <w:rsid w:val="03FE34DC"/>
    <w:rsid w:val="0406BB73"/>
    <w:rsid w:val="0419BD32"/>
    <w:rsid w:val="0424B465"/>
    <w:rsid w:val="0444CEFE"/>
    <w:rsid w:val="0465FC31"/>
    <w:rsid w:val="0478E1D1"/>
    <w:rsid w:val="04AAA319"/>
    <w:rsid w:val="04AF4EF7"/>
    <w:rsid w:val="04D070BB"/>
    <w:rsid w:val="04E38A17"/>
    <w:rsid w:val="04FA38B7"/>
    <w:rsid w:val="05EA5842"/>
    <w:rsid w:val="05F82D7D"/>
    <w:rsid w:val="060F6C17"/>
    <w:rsid w:val="0611DCCC"/>
    <w:rsid w:val="06503780"/>
    <w:rsid w:val="065E80CE"/>
    <w:rsid w:val="06A57226"/>
    <w:rsid w:val="06E4D96F"/>
    <w:rsid w:val="0715563F"/>
    <w:rsid w:val="07162E1C"/>
    <w:rsid w:val="0745D248"/>
    <w:rsid w:val="0761F1F8"/>
    <w:rsid w:val="0785B826"/>
    <w:rsid w:val="07922AD6"/>
    <w:rsid w:val="084CAEBA"/>
    <w:rsid w:val="08677D6F"/>
    <w:rsid w:val="0904027C"/>
    <w:rsid w:val="0922977E"/>
    <w:rsid w:val="09A3E23B"/>
    <w:rsid w:val="09FD1D50"/>
    <w:rsid w:val="0A14281A"/>
    <w:rsid w:val="0AC6FA36"/>
    <w:rsid w:val="0AEFC274"/>
    <w:rsid w:val="0B3FB29C"/>
    <w:rsid w:val="0BAA9654"/>
    <w:rsid w:val="0BB4E059"/>
    <w:rsid w:val="0BE40342"/>
    <w:rsid w:val="0BF1EAA1"/>
    <w:rsid w:val="0C680F01"/>
    <w:rsid w:val="0C75B420"/>
    <w:rsid w:val="0C79685A"/>
    <w:rsid w:val="0C7CF9AD"/>
    <w:rsid w:val="0CA68764"/>
    <w:rsid w:val="0CA716D1"/>
    <w:rsid w:val="0D04DF7A"/>
    <w:rsid w:val="0D275784"/>
    <w:rsid w:val="0D59D24B"/>
    <w:rsid w:val="0D7CF685"/>
    <w:rsid w:val="0DA56CFB"/>
    <w:rsid w:val="0E4C370B"/>
    <w:rsid w:val="0E7958B7"/>
    <w:rsid w:val="0E82FCE9"/>
    <w:rsid w:val="0E9810F5"/>
    <w:rsid w:val="0EBD9696"/>
    <w:rsid w:val="0F8C82AF"/>
    <w:rsid w:val="0FAD7BDF"/>
    <w:rsid w:val="0FDDE9F8"/>
    <w:rsid w:val="0FEA77C3"/>
    <w:rsid w:val="10332C22"/>
    <w:rsid w:val="1039BAA8"/>
    <w:rsid w:val="103CEB06"/>
    <w:rsid w:val="105966F7"/>
    <w:rsid w:val="105CD97D"/>
    <w:rsid w:val="105FAE25"/>
    <w:rsid w:val="1076596F"/>
    <w:rsid w:val="10BB7391"/>
    <w:rsid w:val="10DA8B40"/>
    <w:rsid w:val="110B538E"/>
    <w:rsid w:val="110BAC0F"/>
    <w:rsid w:val="11210FEE"/>
    <w:rsid w:val="118FDEEB"/>
    <w:rsid w:val="119A7C89"/>
    <w:rsid w:val="11A57A2D"/>
    <w:rsid w:val="11B9774E"/>
    <w:rsid w:val="11EB99D0"/>
    <w:rsid w:val="11FE2AC9"/>
    <w:rsid w:val="12599BAC"/>
    <w:rsid w:val="12679AD5"/>
    <w:rsid w:val="12894712"/>
    <w:rsid w:val="1290D411"/>
    <w:rsid w:val="12ADB0E7"/>
    <w:rsid w:val="12D9F196"/>
    <w:rsid w:val="1303875D"/>
    <w:rsid w:val="1383F52E"/>
    <w:rsid w:val="13974EE7"/>
    <w:rsid w:val="140F9DE1"/>
    <w:rsid w:val="14122C02"/>
    <w:rsid w:val="141290D0"/>
    <w:rsid w:val="142D883B"/>
    <w:rsid w:val="145659DD"/>
    <w:rsid w:val="145F55D9"/>
    <w:rsid w:val="14D2E2DE"/>
    <w:rsid w:val="14D86BD5"/>
    <w:rsid w:val="15402E32"/>
    <w:rsid w:val="15902733"/>
    <w:rsid w:val="1595FF36"/>
    <w:rsid w:val="159674C5"/>
    <w:rsid w:val="15A0274B"/>
    <w:rsid w:val="15ADFC63"/>
    <w:rsid w:val="15BABEB3"/>
    <w:rsid w:val="15BB7894"/>
    <w:rsid w:val="15D193E9"/>
    <w:rsid w:val="1616B043"/>
    <w:rsid w:val="163EE3A4"/>
    <w:rsid w:val="167ECDDF"/>
    <w:rsid w:val="16F55480"/>
    <w:rsid w:val="16F76100"/>
    <w:rsid w:val="17156926"/>
    <w:rsid w:val="173BDDB8"/>
    <w:rsid w:val="1796AF2F"/>
    <w:rsid w:val="1798CE14"/>
    <w:rsid w:val="17A74E34"/>
    <w:rsid w:val="181DB5E2"/>
    <w:rsid w:val="184D50B5"/>
    <w:rsid w:val="18548FBB"/>
    <w:rsid w:val="18F31956"/>
    <w:rsid w:val="1947A530"/>
    <w:rsid w:val="19A5E992"/>
    <w:rsid w:val="19A6EB79"/>
    <w:rsid w:val="19BD89BE"/>
    <w:rsid w:val="1A06906B"/>
    <w:rsid w:val="1A56DA11"/>
    <w:rsid w:val="1A816D86"/>
    <w:rsid w:val="1A8C08E2"/>
    <w:rsid w:val="1A9BC125"/>
    <w:rsid w:val="1AC2462E"/>
    <w:rsid w:val="1ADB6A38"/>
    <w:rsid w:val="1C553831"/>
    <w:rsid w:val="1CC88A43"/>
    <w:rsid w:val="1CD45785"/>
    <w:rsid w:val="1CDAB5BF"/>
    <w:rsid w:val="1D05CFA3"/>
    <w:rsid w:val="1D71DCB0"/>
    <w:rsid w:val="1D86C871"/>
    <w:rsid w:val="1DAFA5B4"/>
    <w:rsid w:val="1DF704CA"/>
    <w:rsid w:val="1E012910"/>
    <w:rsid w:val="1E1A8D65"/>
    <w:rsid w:val="1E2A4C2C"/>
    <w:rsid w:val="1E44D953"/>
    <w:rsid w:val="1E4B6898"/>
    <w:rsid w:val="1E689576"/>
    <w:rsid w:val="1E775069"/>
    <w:rsid w:val="1E7FF856"/>
    <w:rsid w:val="1EB702DA"/>
    <w:rsid w:val="1ED470E2"/>
    <w:rsid w:val="1F1BC5C4"/>
    <w:rsid w:val="1F256432"/>
    <w:rsid w:val="1F3BA536"/>
    <w:rsid w:val="1F64B9F6"/>
    <w:rsid w:val="1F7589B2"/>
    <w:rsid w:val="2048A19C"/>
    <w:rsid w:val="204B2419"/>
    <w:rsid w:val="2052D33B"/>
    <w:rsid w:val="20971A5B"/>
    <w:rsid w:val="20BAA939"/>
    <w:rsid w:val="2151C270"/>
    <w:rsid w:val="2177F6EC"/>
    <w:rsid w:val="22087F1A"/>
    <w:rsid w:val="22326B9B"/>
    <w:rsid w:val="223EDED0"/>
    <w:rsid w:val="22454DD3"/>
    <w:rsid w:val="224E1E9F"/>
    <w:rsid w:val="22B32477"/>
    <w:rsid w:val="230597CC"/>
    <w:rsid w:val="23097F10"/>
    <w:rsid w:val="2353290E"/>
    <w:rsid w:val="23797513"/>
    <w:rsid w:val="23F0E3A5"/>
    <w:rsid w:val="2404232F"/>
    <w:rsid w:val="243C9D54"/>
    <w:rsid w:val="2456F255"/>
    <w:rsid w:val="24621A9E"/>
    <w:rsid w:val="24896332"/>
    <w:rsid w:val="248B5059"/>
    <w:rsid w:val="24BC9442"/>
    <w:rsid w:val="24CAA7EB"/>
    <w:rsid w:val="24E39C7A"/>
    <w:rsid w:val="2513A64A"/>
    <w:rsid w:val="258B83A7"/>
    <w:rsid w:val="25D01BDE"/>
    <w:rsid w:val="25E2C28E"/>
    <w:rsid w:val="26618037"/>
    <w:rsid w:val="2686F3C8"/>
    <w:rsid w:val="26CC74D3"/>
    <w:rsid w:val="26E6B9CB"/>
    <w:rsid w:val="2716EDAD"/>
    <w:rsid w:val="2718BEF6"/>
    <w:rsid w:val="272C34AF"/>
    <w:rsid w:val="275945DB"/>
    <w:rsid w:val="277A49BD"/>
    <w:rsid w:val="27A218A6"/>
    <w:rsid w:val="27AC5450"/>
    <w:rsid w:val="27C3ED88"/>
    <w:rsid w:val="280248AD"/>
    <w:rsid w:val="284B470C"/>
    <w:rsid w:val="28525830"/>
    <w:rsid w:val="2888E6A1"/>
    <w:rsid w:val="288C200E"/>
    <w:rsid w:val="28B48F57"/>
    <w:rsid w:val="28F3D042"/>
    <w:rsid w:val="29112AA6"/>
    <w:rsid w:val="29519A63"/>
    <w:rsid w:val="29726F75"/>
    <w:rsid w:val="29F29B33"/>
    <w:rsid w:val="2A361900"/>
    <w:rsid w:val="2A44CE55"/>
    <w:rsid w:val="2A91DC01"/>
    <w:rsid w:val="2AE5C952"/>
    <w:rsid w:val="2AE7EE98"/>
    <w:rsid w:val="2B836C8D"/>
    <w:rsid w:val="2C9C033A"/>
    <w:rsid w:val="2C9D839C"/>
    <w:rsid w:val="2CD55D33"/>
    <w:rsid w:val="2D55B8CC"/>
    <w:rsid w:val="2D7FD1A3"/>
    <w:rsid w:val="2DAC2377"/>
    <w:rsid w:val="2DD4E655"/>
    <w:rsid w:val="2E262DBC"/>
    <w:rsid w:val="2E509B0B"/>
    <w:rsid w:val="2EB9C0BE"/>
    <w:rsid w:val="2F26FAA0"/>
    <w:rsid w:val="2F9537E2"/>
    <w:rsid w:val="2F9935B4"/>
    <w:rsid w:val="2FB2935D"/>
    <w:rsid w:val="2FC0E997"/>
    <w:rsid w:val="2FC34BD8"/>
    <w:rsid w:val="2FF17F43"/>
    <w:rsid w:val="309E130C"/>
    <w:rsid w:val="309F56BA"/>
    <w:rsid w:val="3138091C"/>
    <w:rsid w:val="31C6F8C8"/>
    <w:rsid w:val="32370E96"/>
    <w:rsid w:val="32530794"/>
    <w:rsid w:val="32BD1CA8"/>
    <w:rsid w:val="32F125D9"/>
    <w:rsid w:val="333A71EB"/>
    <w:rsid w:val="3354C78D"/>
    <w:rsid w:val="335A1535"/>
    <w:rsid w:val="335CF22B"/>
    <w:rsid w:val="33618848"/>
    <w:rsid w:val="343B0E60"/>
    <w:rsid w:val="3444B630"/>
    <w:rsid w:val="3458ED09"/>
    <w:rsid w:val="345C6F23"/>
    <w:rsid w:val="34A0388E"/>
    <w:rsid w:val="34B24874"/>
    <w:rsid w:val="34C450E8"/>
    <w:rsid w:val="34E8B93B"/>
    <w:rsid w:val="357C3DA5"/>
    <w:rsid w:val="35B1697F"/>
    <w:rsid w:val="35F689C6"/>
    <w:rsid w:val="360DB258"/>
    <w:rsid w:val="3620D915"/>
    <w:rsid w:val="3628C69B"/>
    <w:rsid w:val="3630BF65"/>
    <w:rsid w:val="36329550"/>
    <w:rsid w:val="3684899C"/>
    <w:rsid w:val="375736AC"/>
    <w:rsid w:val="3759DA62"/>
    <w:rsid w:val="375B6C0F"/>
    <w:rsid w:val="3765CAC5"/>
    <w:rsid w:val="37CDA40F"/>
    <w:rsid w:val="381B84D7"/>
    <w:rsid w:val="3821DFBC"/>
    <w:rsid w:val="386B0A6A"/>
    <w:rsid w:val="38AB8981"/>
    <w:rsid w:val="38FB720A"/>
    <w:rsid w:val="393F566D"/>
    <w:rsid w:val="3951EE12"/>
    <w:rsid w:val="39B332E1"/>
    <w:rsid w:val="39B75538"/>
    <w:rsid w:val="3A1F7E5A"/>
    <w:rsid w:val="3A452C4E"/>
    <w:rsid w:val="3A6E7108"/>
    <w:rsid w:val="3A76AB14"/>
    <w:rsid w:val="3A829CD0"/>
    <w:rsid w:val="3A84F2A5"/>
    <w:rsid w:val="3A858703"/>
    <w:rsid w:val="3A9012BA"/>
    <w:rsid w:val="3A9D2D50"/>
    <w:rsid w:val="3AC2C657"/>
    <w:rsid w:val="3B21E08E"/>
    <w:rsid w:val="3B3426CC"/>
    <w:rsid w:val="3BB31265"/>
    <w:rsid w:val="3C2AA7CF"/>
    <w:rsid w:val="3C7228A8"/>
    <w:rsid w:val="3C9E464D"/>
    <w:rsid w:val="3D0FF6D2"/>
    <w:rsid w:val="3E207EC7"/>
    <w:rsid w:val="3E2CC804"/>
    <w:rsid w:val="3E91330B"/>
    <w:rsid w:val="3EAC4B84"/>
    <w:rsid w:val="3EDECD12"/>
    <w:rsid w:val="3F04A19E"/>
    <w:rsid w:val="3F1E6A46"/>
    <w:rsid w:val="3F2103D8"/>
    <w:rsid w:val="3F28F1E0"/>
    <w:rsid w:val="3F3E3A05"/>
    <w:rsid w:val="3F645DFE"/>
    <w:rsid w:val="3FD57785"/>
    <w:rsid w:val="4010298B"/>
    <w:rsid w:val="404B81C6"/>
    <w:rsid w:val="4094CF28"/>
    <w:rsid w:val="40C48A2F"/>
    <w:rsid w:val="40E7EA50"/>
    <w:rsid w:val="40EE3118"/>
    <w:rsid w:val="40F9F09B"/>
    <w:rsid w:val="412A9867"/>
    <w:rsid w:val="418234B9"/>
    <w:rsid w:val="42390ABD"/>
    <w:rsid w:val="42B03F9A"/>
    <w:rsid w:val="42D8874E"/>
    <w:rsid w:val="42FF262F"/>
    <w:rsid w:val="431E3AAE"/>
    <w:rsid w:val="433A3EA3"/>
    <w:rsid w:val="4374D251"/>
    <w:rsid w:val="43810F13"/>
    <w:rsid w:val="444E1581"/>
    <w:rsid w:val="444EE6CF"/>
    <w:rsid w:val="44623929"/>
    <w:rsid w:val="44BF35F4"/>
    <w:rsid w:val="45371F7C"/>
    <w:rsid w:val="453EDF03"/>
    <w:rsid w:val="45F55FEC"/>
    <w:rsid w:val="462B8B89"/>
    <w:rsid w:val="4644B909"/>
    <w:rsid w:val="46581DAE"/>
    <w:rsid w:val="46AC7313"/>
    <w:rsid w:val="46ECAB22"/>
    <w:rsid w:val="471075D0"/>
    <w:rsid w:val="471984FB"/>
    <w:rsid w:val="473BD9A6"/>
    <w:rsid w:val="4775810C"/>
    <w:rsid w:val="482EC743"/>
    <w:rsid w:val="48484374"/>
    <w:rsid w:val="4857209D"/>
    <w:rsid w:val="48688054"/>
    <w:rsid w:val="4949147C"/>
    <w:rsid w:val="4968BF82"/>
    <w:rsid w:val="4A01280B"/>
    <w:rsid w:val="4A0450B5"/>
    <w:rsid w:val="4A30DCB3"/>
    <w:rsid w:val="4A6A4E1A"/>
    <w:rsid w:val="4A6C2180"/>
    <w:rsid w:val="4AC5B611"/>
    <w:rsid w:val="4AD057AA"/>
    <w:rsid w:val="4AD17AAD"/>
    <w:rsid w:val="4AD67064"/>
    <w:rsid w:val="4AF90071"/>
    <w:rsid w:val="4B144A9C"/>
    <w:rsid w:val="4B1E0054"/>
    <w:rsid w:val="4B8A22DD"/>
    <w:rsid w:val="4C26D47D"/>
    <w:rsid w:val="4CE18675"/>
    <w:rsid w:val="4D081AF5"/>
    <w:rsid w:val="4D3E0EC7"/>
    <w:rsid w:val="4D610E01"/>
    <w:rsid w:val="4D88C67F"/>
    <w:rsid w:val="4DA1EEDC"/>
    <w:rsid w:val="4E1F3559"/>
    <w:rsid w:val="4E2D94EE"/>
    <w:rsid w:val="4E3C7069"/>
    <w:rsid w:val="4E51ABE0"/>
    <w:rsid w:val="4ED4992E"/>
    <w:rsid w:val="4F2E289B"/>
    <w:rsid w:val="4F571A23"/>
    <w:rsid w:val="4FBE5092"/>
    <w:rsid w:val="4FD6A758"/>
    <w:rsid w:val="4FEAD79A"/>
    <w:rsid w:val="50492228"/>
    <w:rsid w:val="5052D778"/>
    <w:rsid w:val="509CC21A"/>
    <w:rsid w:val="50EE0EFC"/>
    <w:rsid w:val="517DDA85"/>
    <w:rsid w:val="5196DDA9"/>
    <w:rsid w:val="51A69309"/>
    <w:rsid w:val="51BF0249"/>
    <w:rsid w:val="51F52224"/>
    <w:rsid w:val="52052518"/>
    <w:rsid w:val="5215A594"/>
    <w:rsid w:val="5248ACDC"/>
    <w:rsid w:val="5270E00E"/>
    <w:rsid w:val="52A4808E"/>
    <w:rsid w:val="52B8D51D"/>
    <w:rsid w:val="53768E03"/>
    <w:rsid w:val="5453CB04"/>
    <w:rsid w:val="54715EEC"/>
    <w:rsid w:val="551C7B48"/>
    <w:rsid w:val="5552C3D9"/>
    <w:rsid w:val="55AD00C1"/>
    <w:rsid w:val="5627DDDC"/>
    <w:rsid w:val="56320F7B"/>
    <w:rsid w:val="5633172D"/>
    <w:rsid w:val="5669147C"/>
    <w:rsid w:val="56D9C6FC"/>
    <w:rsid w:val="56DB9496"/>
    <w:rsid w:val="56E894B8"/>
    <w:rsid w:val="56EB4201"/>
    <w:rsid w:val="5770AB32"/>
    <w:rsid w:val="57C71A90"/>
    <w:rsid w:val="57D731EF"/>
    <w:rsid w:val="580B83F8"/>
    <w:rsid w:val="5812FA68"/>
    <w:rsid w:val="5838B90A"/>
    <w:rsid w:val="58846519"/>
    <w:rsid w:val="588CE7D0"/>
    <w:rsid w:val="588FB03B"/>
    <w:rsid w:val="59A8805A"/>
    <w:rsid w:val="59DD2467"/>
    <w:rsid w:val="5A0C392B"/>
    <w:rsid w:val="5A4E6B5C"/>
    <w:rsid w:val="5A6F7853"/>
    <w:rsid w:val="5B2A25AA"/>
    <w:rsid w:val="5B5474DF"/>
    <w:rsid w:val="5B594D8B"/>
    <w:rsid w:val="5B73E1F6"/>
    <w:rsid w:val="5B81AA06"/>
    <w:rsid w:val="5B873F98"/>
    <w:rsid w:val="5BABE3D1"/>
    <w:rsid w:val="5C046FD3"/>
    <w:rsid w:val="5CD175D7"/>
    <w:rsid w:val="5CF04540"/>
    <w:rsid w:val="5D191279"/>
    <w:rsid w:val="5D2FC7FD"/>
    <w:rsid w:val="5D46A0EA"/>
    <w:rsid w:val="5D8D852E"/>
    <w:rsid w:val="5D9EEA49"/>
    <w:rsid w:val="5DA4B8ED"/>
    <w:rsid w:val="5DB016CF"/>
    <w:rsid w:val="5DD19F35"/>
    <w:rsid w:val="5DDF6946"/>
    <w:rsid w:val="5DE802A1"/>
    <w:rsid w:val="5DF9BC0F"/>
    <w:rsid w:val="5EBFBD17"/>
    <w:rsid w:val="5F0E0787"/>
    <w:rsid w:val="5F1562A5"/>
    <w:rsid w:val="5F15F480"/>
    <w:rsid w:val="5F7CF35B"/>
    <w:rsid w:val="5FC2F294"/>
    <w:rsid w:val="5FCB1D39"/>
    <w:rsid w:val="5FCDE374"/>
    <w:rsid w:val="5FE2C77D"/>
    <w:rsid w:val="60227BDF"/>
    <w:rsid w:val="60269017"/>
    <w:rsid w:val="6043BACB"/>
    <w:rsid w:val="6049A083"/>
    <w:rsid w:val="60B52EA8"/>
    <w:rsid w:val="60D04816"/>
    <w:rsid w:val="6131966D"/>
    <w:rsid w:val="616127EF"/>
    <w:rsid w:val="619577B7"/>
    <w:rsid w:val="619710C2"/>
    <w:rsid w:val="61B125A1"/>
    <w:rsid w:val="61E1B363"/>
    <w:rsid w:val="622179F0"/>
    <w:rsid w:val="62428427"/>
    <w:rsid w:val="628D2F48"/>
    <w:rsid w:val="62BEABAC"/>
    <w:rsid w:val="62E69824"/>
    <w:rsid w:val="63922BEF"/>
    <w:rsid w:val="639D3BBA"/>
    <w:rsid w:val="640C05E9"/>
    <w:rsid w:val="6413FA71"/>
    <w:rsid w:val="6451F41C"/>
    <w:rsid w:val="646D072E"/>
    <w:rsid w:val="649B0213"/>
    <w:rsid w:val="64B85C45"/>
    <w:rsid w:val="6506A36D"/>
    <w:rsid w:val="650FC355"/>
    <w:rsid w:val="6517C6A6"/>
    <w:rsid w:val="653DAA98"/>
    <w:rsid w:val="654BF7D8"/>
    <w:rsid w:val="65834D08"/>
    <w:rsid w:val="658D94D2"/>
    <w:rsid w:val="65F44FA7"/>
    <w:rsid w:val="660FF86B"/>
    <w:rsid w:val="662FC4E3"/>
    <w:rsid w:val="66349912"/>
    <w:rsid w:val="66505BFF"/>
    <w:rsid w:val="66B44710"/>
    <w:rsid w:val="66D918F0"/>
    <w:rsid w:val="673272D6"/>
    <w:rsid w:val="677C9114"/>
    <w:rsid w:val="67C46542"/>
    <w:rsid w:val="6851B66C"/>
    <w:rsid w:val="68A71830"/>
    <w:rsid w:val="6917E534"/>
    <w:rsid w:val="696C39D4"/>
    <w:rsid w:val="69BC3786"/>
    <w:rsid w:val="6A1D30E7"/>
    <w:rsid w:val="6A21B232"/>
    <w:rsid w:val="6AABC01B"/>
    <w:rsid w:val="6B72F021"/>
    <w:rsid w:val="6BBF51FC"/>
    <w:rsid w:val="6BE9A001"/>
    <w:rsid w:val="6BEF0970"/>
    <w:rsid w:val="6C05E3F9"/>
    <w:rsid w:val="6C1E44B5"/>
    <w:rsid w:val="6C795D2D"/>
    <w:rsid w:val="6C8840B6"/>
    <w:rsid w:val="6D1DE2D2"/>
    <w:rsid w:val="6D22FA9D"/>
    <w:rsid w:val="6D23F1B0"/>
    <w:rsid w:val="6D406AE0"/>
    <w:rsid w:val="6D6061AD"/>
    <w:rsid w:val="6DA1B45A"/>
    <w:rsid w:val="6DB50E13"/>
    <w:rsid w:val="6DB5A85C"/>
    <w:rsid w:val="6DCBCB4F"/>
    <w:rsid w:val="6EA0BFE5"/>
    <w:rsid w:val="6EAA26F1"/>
    <w:rsid w:val="6F073E45"/>
    <w:rsid w:val="6F457241"/>
    <w:rsid w:val="6F859EBA"/>
    <w:rsid w:val="6FDFAB55"/>
    <w:rsid w:val="6FF6DD2C"/>
    <w:rsid w:val="6FFE0D8A"/>
    <w:rsid w:val="7003C08C"/>
    <w:rsid w:val="702B790A"/>
    <w:rsid w:val="709C7A7B"/>
    <w:rsid w:val="70DA3D49"/>
    <w:rsid w:val="70E142A2"/>
    <w:rsid w:val="70ECAED5"/>
    <w:rsid w:val="7104D466"/>
    <w:rsid w:val="7122EB5B"/>
    <w:rsid w:val="71718F78"/>
    <w:rsid w:val="71AF0CE8"/>
    <w:rsid w:val="71E97DA9"/>
    <w:rsid w:val="71F92DDA"/>
    <w:rsid w:val="7214E0FE"/>
    <w:rsid w:val="72461198"/>
    <w:rsid w:val="727D1303"/>
    <w:rsid w:val="727F01A4"/>
    <w:rsid w:val="72D7A182"/>
    <w:rsid w:val="72DFF391"/>
    <w:rsid w:val="7332BCC3"/>
    <w:rsid w:val="736319CC"/>
    <w:rsid w:val="7380D2AA"/>
    <w:rsid w:val="738722B7"/>
    <w:rsid w:val="73D5B876"/>
    <w:rsid w:val="73DF7FA3"/>
    <w:rsid w:val="73F051F9"/>
    <w:rsid w:val="7418E364"/>
    <w:rsid w:val="742F8FBC"/>
    <w:rsid w:val="749F8553"/>
    <w:rsid w:val="74FEEA2D"/>
    <w:rsid w:val="751CA21E"/>
    <w:rsid w:val="75515E65"/>
    <w:rsid w:val="759F22D0"/>
    <w:rsid w:val="76471F00"/>
    <w:rsid w:val="76D11E5C"/>
    <w:rsid w:val="76DE3C77"/>
    <w:rsid w:val="76E999B5"/>
    <w:rsid w:val="77496F4A"/>
    <w:rsid w:val="77508426"/>
    <w:rsid w:val="775EA4DA"/>
    <w:rsid w:val="778E294B"/>
    <w:rsid w:val="77DD6371"/>
    <w:rsid w:val="77E13D77"/>
    <w:rsid w:val="7816FCD9"/>
    <w:rsid w:val="78238B4D"/>
    <w:rsid w:val="782A28DC"/>
    <w:rsid w:val="78368AEF"/>
    <w:rsid w:val="78CA9067"/>
    <w:rsid w:val="78F62356"/>
    <w:rsid w:val="79641B5E"/>
    <w:rsid w:val="79C1F05D"/>
    <w:rsid w:val="7A25B94F"/>
    <w:rsid w:val="7A34DAEB"/>
    <w:rsid w:val="7A369449"/>
    <w:rsid w:val="7A3EA2C7"/>
    <w:rsid w:val="7AA08895"/>
    <w:rsid w:val="7ACED647"/>
    <w:rsid w:val="7AD82AA8"/>
    <w:rsid w:val="7B4A673E"/>
    <w:rsid w:val="7B70FD51"/>
    <w:rsid w:val="7BBF82C1"/>
    <w:rsid w:val="7BC02D42"/>
    <w:rsid w:val="7C1350DD"/>
    <w:rsid w:val="7C6238D6"/>
    <w:rsid w:val="7C74C2F6"/>
    <w:rsid w:val="7CBE8C1F"/>
    <w:rsid w:val="7CE957D6"/>
    <w:rsid w:val="7D4B7A18"/>
    <w:rsid w:val="7D7D63FD"/>
    <w:rsid w:val="7DB6E073"/>
    <w:rsid w:val="7E0935AF"/>
    <w:rsid w:val="7E365CDD"/>
    <w:rsid w:val="7E3B1295"/>
    <w:rsid w:val="7E480FE0"/>
    <w:rsid w:val="7E5B78AF"/>
    <w:rsid w:val="7E7EDB83"/>
    <w:rsid w:val="7EBFBB7D"/>
    <w:rsid w:val="7EDF0406"/>
    <w:rsid w:val="7EEE0C78"/>
    <w:rsid w:val="7F06C5D4"/>
    <w:rsid w:val="7F0B3399"/>
    <w:rsid w:val="7FD22D3E"/>
    <w:rsid w:val="7FDBDDD3"/>
    <w:rsid w:val="7FF1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;"/>
  <w14:docId w14:val="699F3E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1C32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level2">
    <w:name w:val="Title level 2"/>
    <w:qFormat/>
    <w:rsid w:val="00931C32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sz w:val="32"/>
      <w:szCs w:val="24"/>
    </w:rPr>
  </w:style>
  <w:style w:type="paragraph" w:styleId="FootnoteText">
    <w:name w:val="footnote text"/>
    <w:basedOn w:val="Normal"/>
    <w:link w:val="FootnoteTextChar"/>
    <w:autoRedefine/>
    <w:qFormat/>
    <w:rsid w:val="007F0B68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7F0B68"/>
    <w:rPr>
      <w:rFonts w:eastAsiaTheme="minorEastAsia"/>
      <w:sz w:val="18"/>
      <w:szCs w:val="18"/>
      <w:lang w:val="bg-BG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931C32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931C32"/>
    <w:rPr>
      <w:color w:val="0563C1" w:themeColor="hyperlink"/>
      <w:u w:val="single"/>
    </w:rPr>
  </w:style>
  <w:style w:type="paragraph" w:customStyle="1" w:styleId="Default">
    <w:name w:val="Default"/>
    <w:rsid w:val="00931C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pplicationdirecte">
    <w:name w:val="Application directe"/>
    <w:basedOn w:val="Normal"/>
    <w:next w:val="Fait"/>
    <w:rsid w:val="00931C32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ait">
    <w:name w:val="Fait à"/>
    <w:basedOn w:val="Normal"/>
    <w:next w:val="Normal"/>
    <w:rsid w:val="00931C32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31C32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1E40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400B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1E400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400B"/>
    <w:rPr>
      <w:rFonts w:eastAsiaTheme="minorEastAsia"/>
      <w:szCs w:val="24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B83EB1"/>
    <w:pPr>
      <w:spacing w:after="0" w:line="240" w:lineRule="auto"/>
    </w:pPr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A0B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A0B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A0BD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0B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0BDC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BG/TXT/?uri=OJ:L_202401623" TargetMode="External"/><Relationship Id="rId1" Type="http://schemas.openxmlformats.org/officeDocument/2006/relationships/hyperlink" Target="https://eur-lex.europa.eu/legal-content/BG/TXT/?uri=OJ%3AL%3A2013%3A176%3A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438E7D-06DF-42E6-AB6F-B451A1CE4C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339342-28ED-4B0E-ADFF-E780788EFF20}"/>
</file>

<file path=customXml/itemProps3.xml><?xml version="1.0" encoding="utf-8"?>
<ds:datastoreItem xmlns:ds="http://schemas.openxmlformats.org/officeDocument/2006/customXml" ds:itemID="{7FDE8EAE-9E3B-4643-8569-9C464D5E160B}"/>
</file>

<file path=customXml/itemProps4.xml><?xml version="1.0" encoding="utf-8"?>
<ds:datastoreItem xmlns:ds="http://schemas.openxmlformats.org/officeDocument/2006/customXml" ds:itemID="{1B79AEAF-C175-4C47-B8C7-92E4E4D41D42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2768</Words>
  <Characters>15258</Characters>
  <Application>Microsoft Office Word</Application>
  <DocSecurity>0</DocSecurity>
  <Lines>448</Lines>
  <Paragraphs>246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17780</CharactersWithSpaces>
  <SharedDoc>false</SharedDoc>
  <HLinks>
    <vt:vector size="6" baseType="variant">
      <vt:variant>
        <vt:i4>7602297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https://eur-lex.europa.eu/legal-content/EN/AUTO/?uri=OJ:L:2013:176:TOC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2024-06-07T07:11:00Z</dcterms:created>
  <dcterms:modified xsi:type="dcterms:W3CDTF">2024-10-18T11:40:00Z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2024-09-26T14:32:27Z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adac863f-55d7-42d3-9a6a-c1b74fd6180c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