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>II. MELLÉKLET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>„XXXVIII. MELLÉKLET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>Útmutató a nem kereskedési könyvben nyilvántartott pozíciók kamatlábkockázatával szembeni kitettségek nyilvánosságra hozatali tábláihoz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Nyilvánosságra hozatali útmutató az EU IRRBBA táblához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>
        <w:rPr>
          <w:rFonts w:ascii="Times New Roman" w:hAnsi="Times New Roman"/>
          <w:sz w:val="24"/>
        </w:rPr>
        <w:t>Az intézményeknek nyilvánosságra kell hozniuk az alábbiakban meghatározott – a 2013/36/EU irányelv 84. cikke szerinti belső kockázatmérési módszerükön, a sztenderd módszeren vagy adott esetben az egyszerűsített sztenderd módszeren alapuló – minőségi információkat.</w:t>
      </w:r>
    </w:p>
    <w:p w14:paraId="3D633743" w14:textId="14CE6FC2" w:rsidR="00C07A00" w:rsidRDefault="0017255F" w:rsidP="000D6C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Ezen útmutató kidolgozása az 575/2013/EU rendelet 448. cikkében foglalt követelmények alapján és a bázeli keretrendszer 3. pillére szerinti nyilvánosságra hozatali standardokkal összhangban történt.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Jogszabályi hivatkozások és útmutató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Sor jelölése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Magyarázat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31221C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Annak leírása, hogy az intézmény – kockázatkezelés és -mérés céljából – miként határozza meg a nem kereskedési könyvi kamatlábkockázatot</w:t>
            </w:r>
          </w:p>
          <w:p w14:paraId="3FB34713" w14:textId="03A80E6F" w:rsidR="00FC2089" w:rsidRPr="0031221C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(1) bekezdése e) pontjának megfelelően az intézményeknek általános leírást kell adniuk arról, hogy az illetékes hatóságok által a 2013/36/EU irányelv 84. cikke szerint végzendő felülvizsgálat céljából hogyan határozzák meg, mérik, mérséklik és ellenőrzik a nem kereskedési könyvi tevékenységeik kamatlábkockázatát.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31221C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b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intézmény nem kereskedési könyvi kamatlábkockázatokra vonatkozó átfogó kockázatkezelési és -mérséklési stratégiáinak leírása</w:t>
            </w:r>
          </w:p>
          <w:p w14:paraId="204A9378" w14:textId="5470BAC2" w:rsidR="005F58E6" w:rsidRPr="0031221C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Az 575/2013/EU rendelet 448. cikke (1) bekezdése f) pontjának megfelelően az intézményeknek általános leírást kell adniuk átfogó IRRBB-kezelési és -mérséklési stratégiáikról, beleértve a következőket: a tőke gazdasági értékének és a nettó kamatbevételnek a nyomon követése a megállapított határértékekhez viszonyítva, a fedezeti gyakorlatok, a stressztesztek elvégzése, az eredményelemzés, a független ellenőrzés szerepe, az eszköz- és forráskezelő bizottság szerepe és eljárásai, az intézmény által a modellek megfelelő </w:t>
            </w:r>
            <w:proofErr w:type="spellStart"/>
            <w:r>
              <w:rPr>
                <w:rFonts w:ascii="Times New Roman" w:hAnsi="Times New Roman"/>
                <w:color w:val="000000"/>
              </w:rPr>
              <w:t>validálásának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biztosítása érdekében alkalmazott gyakorlatok, valamint a modellek – változó piaci feltételeknek megfelelő – időben történő aktualizálása.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31221C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c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Az intézmény IRRBB-mértékei kiszámításának gyakorisága, valamint azoknak az egyedi mértékeknek a leírása, amelyeket az intézmény az IRRBB-vel szembeni érzékenységének értékeléséhez használ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(1) bekezdése e) pontja i. és v. alpontjának megfelelően az intézményeknek általános leírást kell adniuk azokról az egyedi kockázati mértékekről, amelyeket a tőkéjük gazdasági értékében és a nettó kamatbevételükben bekövetkezett változások becsléséhez használnak, és meg kell adniuk a kamatlábkockázatok értékelésének gyakoriságát.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Az 575/2013/EU rendelet 448. cikke (2) bekezdésének megfelelően az IRRBB érzékenységének méréséhez használt egyedi kockázati mértékek leírására vonatkozó követelmény nem alkalmazandó azokra az intézményekre, amelyek a 2013/36/EU irányelv 84. cikkének (1) bekezdésében említett sztenderd vagy egyszerűsített sztenderd módszert használják.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d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intézmény által a gazdasági érték és a nettó kamatbevétel változásainak becsléséhez használt kamatláb-sokkforgatókönyvek és -stresszforgatókönyvek leírása (adott esetben)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(1) bekezdése e) pontja iii. alpontjának megfelelően az intézményeknek általános leírást kell adniuk a kamatlábkockázat becsléséhez használt kamatláb-sokkforgatókönyvekről.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(2) bekezdésének megfelelően az említett nyilvánosságra hozatali követelmények nem alkalmazandók azon intézményekre, amelyek a 2013/36/EU irányelv 84. cikkének (1) bekezdésében említett sztenderd módszert vagy egyszerűsített sztenderd módszert használják.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EU IRRBB1 táblához használttól eltérő fő modellezési és parametrikus feltételezések leírása (adott esetben)</w:t>
            </w:r>
          </w:p>
          <w:p w14:paraId="15A00557" w14:textId="4EC63038" w:rsidR="00716636" w:rsidRPr="0031221C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(1) bekezdése e) pontja ii. alpontjának megfelelően, amennyiben az intézmény belső mérési rendszereiben használt fő modellezési és parametrikus feltételezések eltérnek a 2013/36/EU irányelv 98. cikkének (5a) bekezdésében említett, az EU IRRBB1 táblához használt feltételezésektől, az intézménynek általános leírást kell adnia ezekről a feltételezésekről, beleértve az eltérések indokolását is (pl. múltbeli adatok, közzétett kutatás, vezetői megítélés és elemzés stb.).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(2) bekezdésének megfelelően az említett nyilvánosságra hozatali követelmények nem alkalmazandók azon intézményekre, amelyek a 2013/36/EU irányelv 84. cikkének (1) bekezdésében említett sztenderd módszert vagy egyszerűsített sztenderd módszert használják.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31221C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Az intézmény által a nem kereskedési könyvi kamatlábkockázatokra alkalmazott fedezeti ügyletek, valamint a kapcsolódó számviteli kezelés összefoglaló leírása (adott esetben)</w:t>
            </w:r>
          </w:p>
          <w:p w14:paraId="70B99ACF" w14:textId="007FE981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Konkrétan, az 575/2013/EU rendelet 448. cikke (1) bekezdése e) pontja iv. alpontjának megfelelően az intézményeknek azonosítaniuk kell a kamatlábkockázatokra vonatkozó fedezeti ügyletek hatását, beleértve az 575/2013/EU rendelet 106. cikkének (3) bekezdésében meghatározott követelményeknek megfelelő belső fedezeti ügyleteket is.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(2) bekezdésének megfelelően az említett nyilvánosságra hozatali követelmények nem alkalmazandók azon intézményekre, amelyek a 2013/36/EU irányelv 84. cikkének (1) bekezdésében említett sztenderd módszert vagy egyszerűsített sztenderd módszert használják.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31221C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g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EU IRRBB1 táblában a nem kereskedési tevékenységekből származó kamatlábkockázat méréséhez használt fő modellezési és parametrikus feltételezések leírása (adott esetben)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Az 575/2013/EU rendelet 448. cikke (1) bekezdése c) pontjának megfelelően az intézményeknek általános leírást kell adniuk a tőke gazdasági értékében és a nettó kamatbevételben bekövetkezett, az EU IRRBB1 táblában feltüntetendő változásnak a kiszámításához használt, a 2013/36/EU irányelv 98. cikke (5a) </w:t>
            </w:r>
            <w:r>
              <w:rPr>
                <w:rFonts w:ascii="Times New Roman" w:hAnsi="Times New Roman"/>
                <w:color w:val="000000"/>
              </w:rPr>
              <w:lastRenderedPageBreak/>
              <w:t>bekezdésének b) és c) pontjában említettektől eltérő fő modellezési és parametrikus feltételezésekről. Ennek az általános leírásnak tartalmaznia kell legalább a következőket:</w:t>
            </w:r>
          </w:p>
          <w:p w14:paraId="26388E97" w14:textId="6114187E" w:rsidR="00843F8C" w:rsidRPr="0031221C" w:rsidRDefault="0016128F" w:rsidP="00FC1D5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a lejárat nélküli betétekhez hozzárendelt, az </w:t>
            </w:r>
            <w:proofErr w:type="spellStart"/>
            <w:r>
              <w:rPr>
                <w:rFonts w:ascii="Times New Roman" w:hAnsi="Times New Roman"/>
                <w:color w:val="000000"/>
              </w:rPr>
              <w:t>átárazódásig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hátralévő átlagos időszak meghatározása, beleértve a feltételezett viselkedésalapú átárazási napot befolyásoló egyedi termékjellemzőket;</w:t>
            </w:r>
          </w:p>
          <w:p w14:paraId="01CB0AA3" w14:textId="2D904141" w:rsidR="00843F8C" w:rsidRPr="0031221C" w:rsidRDefault="00843F8C" w:rsidP="00FC1D5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 hitel előtörlesztési rátájának és/vagy a lekötött betétek lejárat előtti felmondási rátájának becslésére használt módszertan, valamint egyéb jelentős feltételezések;</w:t>
            </w:r>
          </w:p>
          <w:p w14:paraId="1BD4D78B" w14:textId="273602CC" w:rsidR="00AE69B7" w:rsidRPr="0031221C" w:rsidRDefault="00745B25" w:rsidP="00FC1D5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egyéb olyan – többek között a viselkedésalapú opciókat tartalmazó instrumentumokra vonatkozó –feltételezések, amelyek lényeges hatást gyakorolnak az EU IRRBB1 táblában közzétett IRRBB-mértékekre, beleértve annak magyarázatát is, hogy ezek miért lényegesek.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(2) bekezdésének megfelelően az említett nyilvánosságra hozatali követelmények nem alkalmazandók azon intézményekre, amelyek a 2013/36/EU irányelv 84. cikkének (1) bekezdésében említett sztenderd módszert vagy egyszerűsített sztenderd módszert használják.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31221C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h</w:t>
            </w:r>
            <w:proofErr w:type="gramEnd"/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IRRBB-mértékek jelentőségére és az azokban az előző nyilvánosságra hozatalok óta bekövetkezett jelentős változásokra vonatkozó magyarázat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Az 575/2013/EU rendelet 448. cikke (1) bekezdése d) pontjának megfelelően az intézményeknek általános leírást kell adniuk az EU IRRBB1 táblában közzétett IRRBB-mértékek jelentőségéről, valamint az említett IRRBB-mértékekben az előző nyilvánosságra hozatal vonatkozási időpontja óta bekövetkezett jelentős változásokról.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31221C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i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Az IRRBB-mértékekre vonatkozóan az EU IRRBB1 táblában közzétett bármely egyéb releváns információ (opcionális)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Bármely egyéb olyan releváns információ, amelyet az intézmény az EU IRRBB1 táblában foglalt IRRBB-mértékekre vonatkozóan nyilvánosságra kíván hozni.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Mindaddig, amíg a 2013/36/EU irányelv 84. cikkének (6) bekezdésében meghatározott iránymutatásokban foglalt kritériumok és a 2013/36/EU irányelv 98. cikkének (5a) bekezdésében felsorolt további elemek nem alkalmazandók, az intézményeknek nyilvánosságra kell hozniuk a felügyeleti sokkforgatókönyvekhez használt paramétereket, a nettó kamatbevétel általuk használt fogalommeghatározását, valamint a nettó kamatbevétel EU IRRBB1 táblában feltüntetett változásai kiszámításának megértéséhez szükséges egyéb releváns információkat.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31221C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A lejárat nélküli betétekhez hozzárendelt átlagos és leghosszabb,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átárazódásig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hátralévő időszak nyilvánosságra hozatala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Az 575/2013/EU rendelet 448. cikke (1) bekezdése g) pontjának megfelelően az intézményeknek nyilvánosságra kell hozniuk a lakossági és a nem pénzügyi nagykereskedelmi szerződő felek lejárat nélküli </w:t>
            </w:r>
            <w:proofErr w:type="spellStart"/>
            <w:r>
              <w:rPr>
                <w:rFonts w:ascii="Times New Roman" w:hAnsi="Times New Roman"/>
                <w:color w:val="000000"/>
              </w:rPr>
              <w:t>betéteihez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hozzárendelt átlagos és leghosszabb, </w:t>
            </w:r>
            <w:proofErr w:type="spellStart"/>
            <w:r>
              <w:rPr>
                <w:rFonts w:ascii="Times New Roman" w:hAnsi="Times New Roman"/>
                <w:color w:val="000000"/>
              </w:rPr>
              <w:t>átárazódásig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hátralévő időszakot. Külön kell feltüntetni a lakossági és a nem pénzügyi nagykereskedelmi szerződő felek lejárat nélküli </w:t>
            </w:r>
            <w:proofErr w:type="spellStart"/>
            <w:r>
              <w:rPr>
                <w:rFonts w:ascii="Times New Roman" w:hAnsi="Times New Roman"/>
                <w:color w:val="000000"/>
              </w:rPr>
              <w:t>betéteinek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alapösszegét és teljes összegét.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31221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Nyilvánosságra hozatali útmutató az EU IRRBB1 táblához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A 2013/36/EU irányelv 84. cikkében meghatározottaknak megfelelően az intézményeknek a nem kereskedési könyvi tevékenységek kamatlábkockázatát belső mérési módszerük, a sztenderd módszer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>vagy adott esetben az egyszerűsített sztenderd módszer alapján kell értékelniük, figyelembe véve a felügyeleti sokkforgatókönyveket, valamint a 2013/36/EU irányelv 98. cikkének (5a) bekezdésében meghatározott közös modellezési és parametrikus feltételezéseket.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Ezen útmutató kidolgozása az 575/2013/EU rendelet 448. cikkében foglalt követelmények alapján és a bázeli keretrendszer 3. pillére szerinti nyilvánosságra hozatali standardokkal összhangban történt.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Az intézményeknek az első nyilvánosságra hozatalkor az előző időszakra vonatkozó információkat nem kell rendelkezésre bocsátaniuk.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</w:rPr>
              <w:t>Útmutató az EU IRRBB1 nyilvánosságra hozatali tábla kitöltéséhez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Oszlop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Magyarázat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a, b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 tőke gazdasági értékének változásai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575/2013/EU rendelet 448. cikke (1) bekezdésének a) pontja.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Az intézmények a 2013/36/EU irányelv 84. cikke és 98. cikkének (5) bekezdése szerinti követelményeknek megfelelően feltüntetik a tőke gazdasági értékében bekövetkezett változásokat az aktuális időszak és az előző időszak vonatkozásában.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c, d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A nettó kamatbevétel változásai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575/2013/EU rendelet 448. cikke (1) bekezdésének b) pontja.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 a 2013/36/EU irányelv 84. cikke és 98. cikkének (5) bekezdése szerinti követelményeknek megfelelően feltüntetik a táblában megadott két felügyeleti kamatláb-sokkforgatókönyv alapján a nettó kamatbevételben bekövetkezett változásokat az aktuális időszak és az előző időszak vonatkozásában. </w:t>
            </w:r>
          </w:p>
          <w:p w14:paraId="2D49064E" w14:textId="1AFABC17" w:rsidR="00C41D59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Amíg a 2013/36/EU irányelv 84. cikkének (6) bekezdésében meghatározott iránymutatások kritériumai, valamint a 2013/36/EU irányelv 98. cikkének (5a) bekezdésében felsorolt további elemek nem alkalmazandók, az intézmények az EU IRRBBA táblázat i) pontjában ismertetik a nettó kamatbevétel általuk használt fogalommeghatározását és fő jellemzőit (forgatókönyvek, feltételezések és a nettó </w:t>
            </w:r>
            <w:r>
              <w:rPr>
                <w:rFonts w:ascii="Times New Roman" w:hAnsi="Times New Roman"/>
              </w:rPr>
              <w:lastRenderedPageBreak/>
              <w:t xml:space="preserve">kamatbevétel horizontjai), vagy ha ezeket az oszlopokat üresen hagyják, az EU IRRBBA táblázat i) pontjában indokolást kell adniuk.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Sor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Magyarázat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Párhuzamos emelkedés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intézményeknek meg kell adniuk a tőke gazdasági értékében és a nettó kamatbevételben a hozamgörbét érő konstans, párhuzamos felfelé irányuló sokkhatás esetén bekövetkező változásokat.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Párhuzamos csökkenés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intézményeknek meg kell adniuk a tőke gazdasági értékében és a nettó kamatbevételben a hozamgörbét érő konstans, párhuzamos lefelé irányuló sokkhatás esetén bekövetkező változásokat.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Meredekséget növelő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steepener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) hatás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intézményeknek meg kell adniuk, hogy miként változik a tőke gazdasági értéke egy olyan forgatókönyv esetén, amikor a hozamgörbére a rövid lejáratú kamatok csökkenése és a hosszú lejáratú kamatok emelkedése hat.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Lapító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flattener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) hatás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intézményeknek meg kell adniuk, hogy miként változik a tőke gazdasági értéke egy olyan forgatókönyv esetén, amikor a hozamgörbére a rövid lejáratú kamatok emelkedése és a hosszú lejáratú kamatok csökkenése hat.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Rövid lejáratú kamatok emelkedése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Az intézményeknek meg kell adniuk, hogy miként változik a tőke gazdasági értéke egy olyan forgatókönyv esetén, amikor a hozamgörbére a rövid lejáratú kamatok emelkedése hat.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 xml:space="preserve">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Rövid lejáratú kamatok csökkenése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 xml:space="preserve">Az intézményeknek meg kell adniuk, hogy miként változik a tőke gazdasági értéke egy olyan forgatókönyv esetén, amikor a hozamgörbére a rövid lejáratú kamatok csökkenése hat.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 xml:space="preserve">Amíg a 2013/36/EU irányelv 84. cikkének (6) bekezdésében meghatározott iránymutatások kritériumai, valamint a 2013/36/EU irányelv 98. cikkének (5a) bekezdésében felsorolt további elemek nem alkalmazandók, az e forgatókönyvhöz használt paramétereket az EU IRRBBA táblázat i) pontjában kell ismertetni.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>”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872D" w14:textId="77777777" w:rsidR="00980E83" w:rsidRDefault="00980E83" w:rsidP="003B5C57">
      <w:r>
        <w:separator/>
      </w:r>
    </w:p>
  </w:endnote>
  <w:endnote w:type="continuationSeparator" w:id="0">
    <w:p w14:paraId="724EC507" w14:textId="77777777" w:rsidR="00980E83" w:rsidRDefault="00980E83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4B99A" w14:textId="77777777" w:rsidR="00980E83" w:rsidRDefault="00980E83" w:rsidP="003B5C57">
      <w:r>
        <w:separator/>
      </w:r>
    </w:p>
  </w:footnote>
  <w:footnote w:type="continuationSeparator" w:id="0">
    <w:p w14:paraId="67370343" w14:textId="77777777" w:rsidR="00980E83" w:rsidRDefault="00980E83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98463E24"/>
    <w:lvl w:ilvl="0" w:tplc="6CE4CC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9" w15:restartNumberingAfterBreak="0">
    <w:nsid w:val="78B20880"/>
    <w:multiLevelType w:val="hybridMultilevel"/>
    <w:tmpl w:val="926827D8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012144">
    <w:abstractNumId w:val="8"/>
  </w:num>
  <w:num w:numId="2" w16cid:durableId="1773940485">
    <w:abstractNumId w:val="3"/>
  </w:num>
  <w:num w:numId="3" w16cid:durableId="94785783">
    <w:abstractNumId w:val="1"/>
  </w:num>
  <w:num w:numId="4" w16cid:durableId="334192536">
    <w:abstractNumId w:val="0"/>
  </w:num>
  <w:num w:numId="5" w16cid:durableId="255409769">
    <w:abstractNumId w:val="6"/>
  </w:num>
  <w:num w:numId="6" w16cid:durableId="886529984">
    <w:abstractNumId w:val="2"/>
  </w:num>
  <w:num w:numId="7" w16cid:durableId="144125705">
    <w:abstractNumId w:val="7"/>
  </w:num>
  <w:num w:numId="8" w16cid:durableId="538589849">
    <w:abstractNumId w:val="4"/>
  </w:num>
  <w:num w:numId="9" w16cid:durableId="743643354">
    <w:abstractNumId w:val="5"/>
  </w:num>
  <w:num w:numId="10" w16cid:durableId="14584531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5024C"/>
    <w:rsid w:val="00952741"/>
    <w:rsid w:val="009528FB"/>
    <w:rsid w:val="0095538A"/>
    <w:rsid w:val="0095708D"/>
    <w:rsid w:val="00976355"/>
    <w:rsid w:val="00980E83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1D50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hu-HU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07AD7-995D-409C-BF9F-C01A92A95D5C}"/>
</file>

<file path=customXml/itemProps3.xml><?xml version="1.0" encoding="utf-8"?>
<ds:datastoreItem xmlns:ds="http://schemas.openxmlformats.org/officeDocument/2006/customXml" ds:itemID="{15D62821-7E46-4F2C-8823-32EBF13980AD}"/>
</file>

<file path=customXml/itemProps4.xml><?xml version="1.0" encoding="utf-8"?>
<ds:datastoreItem xmlns:ds="http://schemas.openxmlformats.org/officeDocument/2006/customXml" ds:itemID="{159F4DE7-50E6-4BC2-B0AB-7E8F37E17F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2194</Words>
  <Characters>11914</Characters>
  <Application>Microsoft Office Word</Application>
  <DocSecurity>0</DocSecurity>
  <Lines>201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2024-10-17T14:46:59Z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53e55fc9-2543-48dd-a61b-fe2e4e0423d4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