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3152" w14:textId="4E11F668" w:rsidR="00A81FD5" w:rsidRPr="007F4CC8" w:rsidRDefault="00A81FD5" w:rsidP="00A81FD5">
      <w:pPr>
        <w:pStyle w:val="Annexetitre"/>
        <w:spacing w:before="0"/>
      </w:pPr>
      <w:r>
        <w:t xml:space="preserve">Anexo XXIV — Divulgación de exposiciones de financiación especializada y de renta variable </w:t>
      </w:r>
    </w:p>
    <w:p w14:paraId="085C05B0" w14:textId="77777777" w:rsidR="00A81FD5" w:rsidRPr="007F4CC8" w:rsidRDefault="00A81FD5" w:rsidP="00A81FD5">
      <w:pPr>
        <w:spacing w:after="120"/>
        <w:rPr>
          <w:rFonts w:ascii="Times New Roman" w:hAnsi="Times New Roman" w:cs="Times New Roman"/>
          <w:sz w:val="24"/>
        </w:rPr>
      </w:pPr>
    </w:p>
    <w:p w14:paraId="4D52DDD2" w14:textId="2226D869" w:rsidR="00A81FD5" w:rsidRPr="007F4CC8" w:rsidRDefault="00A81FD5" w:rsidP="00A81FD5">
      <w:pPr>
        <w:spacing w:after="120"/>
        <w:ind w:left="3"/>
        <w:rPr>
          <w:rFonts w:ascii="Times New Roman" w:hAnsi="Times New Roman"/>
          <w:sz w:val="24"/>
        </w:rPr>
      </w:pPr>
      <w:r>
        <w:rPr>
          <w:rFonts w:ascii="Times New Roman" w:hAnsi="Times New Roman"/>
          <w:b/>
          <w:sz w:val="24"/>
        </w:rPr>
        <w:t>Plantilla EU CR10 — Exposiciones de financiación especializada y de renta variable.</w:t>
      </w:r>
      <w:r>
        <w:rPr>
          <w:rFonts w:ascii="Times New Roman" w:hAnsi="Times New Roman"/>
          <w:sz w:val="24"/>
        </w:rPr>
        <w:t xml:space="preserve"> Plantilla fija.</w:t>
      </w:r>
    </w:p>
    <w:p w14:paraId="7F14938F" w14:textId="5C3615E8" w:rsidR="00A81FD5" w:rsidRPr="00AF68CB" w:rsidRDefault="00A81FD5" w:rsidP="00AF68CB">
      <w:pPr>
        <w:pStyle w:val="ListParagraph"/>
        <w:numPr>
          <w:ilvl w:val="0"/>
          <w:numId w:val="2"/>
        </w:numPr>
        <w:spacing w:after="120"/>
        <w:ind w:hanging="357"/>
        <w:jc w:val="both"/>
        <w:rPr>
          <w:rFonts w:ascii="Times New Roman" w:hAnsi="Times New Roman"/>
          <w:sz w:val="24"/>
        </w:rPr>
      </w:pPr>
      <w:r>
        <w:rPr>
          <w:rFonts w:ascii="Times New Roman" w:hAnsi="Times New Roman"/>
          <w:sz w:val="24"/>
        </w:rPr>
        <w:t>Las entidades divulgarán la información a que se refiere el artículo 438, letra e), del Reglamento (UE) n.º 575/2013 («RRC»)</w:t>
      </w:r>
      <w:r>
        <w:rPr>
          <w:rStyle w:val="FootnoteReference"/>
        </w:rPr>
        <w:footnoteReference w:id="1"/>
      </w:r>
      <w:r>
        <w:rPr>
          <w:rFonts w:ascii="Times New Roman" w:hAnsi="Times New Roman"/>
          <w:sz w:val="24"/>
        </w:rPr>
        <w:t xml:space="preserve"> siguiendo las instrucciones que figuran a continuación en el presente anexo para cumplimentar la plantilla EU CR10, que se recoge en el anexo XXIII de las soluciones informáticas de la ABE. Las entidades divulgarán:</w:t>
      </w:r>
    </w:p>
    <w:p w14:paraId="536DBFB9" w14:textId="77777777" w:rsidR="00A81FD5" w:rsidRPr="007F4CC8" w:rsidRDefault="00A81FD5" w:rsidP="00A81FD5">
      <w:pPr>
        <w:pStyle w:val="ListParagraph"/>
        <w:numPr>
          <w:ilvl w:val="1"/>
          <w:numId w:val="2"/>
        </w:numPr>
        <w:spacing w:after="120"/>
        <w:rPr>
          <w:rFonts w:ascii="Times New Roman" w:hAnsi="Times New Roman"/>
          <w:sz w:val="24"/>
          <w:szCs w:val="24"/>
        </w:rPr>
      </w:pPr>
      <w:r>
        <w:rPr>
          <w:rFonts w:ascii="Times New Roman" w:hAnsi="Times New Roman"/>
          <w:sz w:val="24"/>
        </w:rPr>
        <w:t>Información sobre los siguientes tipos de exposiciones de financiación especializada contemplados en el cuadro 1 del artículo 153, apartado 5:</w:t>
      </w:r>
    </w:p>
    <w:p w14:paraId="3460EFE7" w14:textId="77777777" w:rsidR="00A81FD5" w:rsidRPr="007F4CC8" w:rsidRDefault="00A81FD5" w:rsidP="00A81FD5">
      <w:pPr>
        <w:pStyle w:val="ListParagraph"/>
        <w:numPr>
          <w:ilvl w:val="0"/>
          <w:numId w:val="1"/>
        </w:numPr>
        <w:spacing w:after="120"/>
        <w:ind w:hanging="357"/>
        <w:rPr>
          <w:rFonts w:ascii="Times New Roman" w:hAnsi="Times New Roman"/>
          <w:sz w:val="24"/>
          <w:szCs w:val="24"/>
        </w:rPr>
      </w:pPr>
      <w:r>
        <w:rPr>
          <w:rFonts w:ascii="Times New Roman" w:hAnsi="Times New Roman"/>
          <w:sz w:val="24"/>
        </w:rPr>
        <w:t>«financiación de proyectos» en la plantilla EU CR10.1;</w:t>
      </w:r>
    </w:p>
    <w:p w14:paraId="05E046A4" w14:textId="77777777" w:rsidR="00A81FD5" w:rsidRPr="007F4CC8" w:rsidRDefault="00A81FD5" w:rsidP="00A81FD5">
      <w:pPr>
        <w:pStyle w:val="ListParagraph"/>
        <w:numPr>
          <w:ilvl w:val="0"/>
          <w:numId w:val="1"/>
        </w:numPr>
        <w:spacing w:after="120"/>
        <w:ind w:hanging="357"/>
        <w:rPr>
          <w:rFonts w:ascii="Times New Roman" w:hAnsi="Times New Roman"/>
          <w:sz w:val="24"/>
          <w:szCs w:val="24"/>
        </w:rPr>
      </w:pPr>
      <w:r>
        <w:rPr>
          <w:rFonts w:ascii="Times New Roman" w:hAnsi="Times New Roman"/>
          <w:sz w:val="24"/>
        </w:rPr>
        <w:t>«bienes inmuebles generadores de rentas y bienes inmuebles comerciales de alta volatilidad» en la plantilla EU CR10.2;</w:t>
      </w:r>
    </w:p>
    <w:p w14:paraId="0802AD44" w14:textId="77777777" w:rsidR="00A81FD5" w:rsidRPr="007F4CC8" w:rsidRDefault="00A81FD5" w:rsidP="00A81FD5">
      <w:pPr>
        <w:pStyle w:val="ListParagraph"/>
        <w:numPr>
          <w:ilvl w:val="0"/>
          <w:numId w:val="1"/>
        </w:numPr>
        <w:spacing w:after="120"/>
        <w:ind w:hanging="357"/>
        <w:rPr>
          <w:rFonts w:ascii="Times New Roman" w:hAnsi="Times New Roman"/>
          <w:sz w:val="24"/>
          <w:szCs w:val="24"/>
        </w:rPr>
      </w:pPr>
      <w:r>
        <w:rPr>
          <w:rFonts w:ascii="Times New Roman" w:hAnsi="Times New Roman"/>
          <w:sz w:val="24"/>
        </w:rPr>
        <w:t>«financiación de bienes» en la plantilla EU CR10.3;</w:t>
      </w:r>
    </w:p>
    <w:p w14:paraId="69BDB935" w14:textId="77777777" w:rsidR="00A81FD5" w:rsidRPr="007F4CC8" w:rsidRDefault="00A81FD5" w:rsidP="00A81FD5">
      <w:pPr>
        <w:pStyle w:val="ListParagraph"/>
        <w:numPr>
          <w:ilvl w:val="0"/>
          <w:numId w:val="1"/>
        </w:numPr>
        <w:spacing w:after="120"/>
        <w:ind w:hanging="357"/>
        <w:rPr>
          <w:rFonts w:ascii="Times New Roman" w:hAnsi="Times New Roman"/>
          <w:sz w:val="24"/>
          <w:szCs w:val="24"/>
        </w:rPr>
      </w:pPr>
      <w:r>
        <w:rPr>
          <w:rFonts w:ascii="Times New Roman" w:hAnsi="Times New Roman"/>
          <w:sz w:val="24"/>
        </w:rPr>
        <w:t>«financiación de materias primas» en la plantilla EU CR10.4;</w:t>
      </w:r>
    </w:p>
    <w:p w14:paraId="2E77063D" w14:textId="13E594D0" w:rsidR="00A81FD5" w:rsidRPr="007F4CC8" w:rsidRDefault="00A81FD5" w:rsidP="00A81FD5">
      <w:pPr>
        <w:pStyle w:val="ListParagraph"/>
        <w:numPr>
          <w:ilvl w:val="1"/>
          <w:numId w:val="2"/>
        </w:numPr>
        <w:spacing w:after="120"/>
        <w:ind w:hanging="357"/>
        <w:rPr>
          <w:rFonts w:ascii="Times New Roman" w:hAnsi="Times New Roman"/>
          <w:sz w:val="24"/>
          <w:szCs w:val="24"/>
        </w:rPr>
      </w:pPr>
      <w:r>
        <w:rPr>
          <w:rFonts w:ascii="Times New Roman" w:hAnsi="Times New Roman"/>
          <w:sz w:val="24"/>
        </w:rPr>
        <w:t>información sobre las exposiciones de renta variable en la plantilla EU 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81FD5" w:rsidRPr="007F4CC8" w14:paraId="78CCACB1" w14:textId="77777777"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7371FCA" w14:textId="77777777" w:rsidR="00A81FD5" w:rsidRPr="007F4CC8" w:rsidRDefault="00A81FD5"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Referencia de la columna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B42C1" w14:textId="77777777" w:rsidR="00A81FD5" w:rsidRPr="007F4CC8" w:rsidRDefault="00A81FD5" w:rsidP="004F3087">
            <w:pPr>
              <w:spacing w:after="120"/>
              <w:rPr>
                <w:rFonts w:ascii="Times New Roman" w:hAnsi="Times New Roman" w:cs="Times New Roman"/>
                <w:b/>
                <w:sz w:val="24"/>
              </w:rPr>
            </w:pPr>
            <w:r>
              <w:rPr>
                <w:rFonts w:ascii="Times New Roman" w:hAnsi="Times New Roman"/>
                <w:b/>
                <w:sz w:val="24"/>
              </w:rPr>
              <w:t>Referencias jurídicas e instrucciones</w:t>
            </w:r>
          </w:p>
        </w:tc>
      </w:tr>
      <w:tr w:rsidR="00A81FD5" w:rsidRPr="007F4CC8" w14:paraId="7EA5F71F" w14:textId="77777777" w:rsidTr="004F3087">
        <w:trPr>
          <w:trHeight w:val="359"/>
        </w:trPr>
        <w:tc>
          <w:tcPr>
            <w:tcW w:w="1413" w:type="dxa"/>
            <w:vMerge/>
            <w:tcBorders>
              <w:left w:val="single" w:sz="4" w:space="0" w:color="auto"/>
              <w:right w:val="single" w:sz="4" w:space="0" w:color="auto"/>
            </w:tcBorders>
            <w:shd w:val="clear" w:color="auto" w:fill="D9D9D9" w:themeFill="background1" w:themeFillShade="D9"/>
          </w:tcPr>
          <w:p w14:paraId="5F0A068C" w14:textId="77777777" w:rsidR="00A81FD5" w:rsidRPr="007F4CC8" w:rsidRDefault="00A81FD5"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EAA19A1" w14:textId="77777777" w:rsidR="00A81FD5" w:rsidRPr="007F4CC8" w:rsidRDefault="00A81FD5" w:rsidP="004F308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A81FD5" w:rsidRPr="007F4CC8" w14:paraId="5BE84BFB" w14:textId="77777777" w:rsidTr="004F3087">
        <w:trPr>
          <w:trHeight w:val="316"/>
        </w:trPr>
        <w:tc>
          <w:tcPr>
            <w:tcW w:w="1413" w:type="dxa"/>
          </w:tcPr>
          <w:p w14:paraId="400664F6"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505BFF38" w14:textId="77777777" w:rsidR="00A81FD5" w:rsidRPr="00B42FCC" w:rsidRDefault="00A81FD5" w:rsidP="004F3087">
            <w:pPr>
              <w:spacing w:after="120"/>
              <w:jc w:val="both"/>
              <w:rPr>
                <w:rFonts w:ascii="Times New Roman" w:eastAsiaTheme="minorHAnsi" w:hAnsi="Times New Roman" w:cs="Times New Roman"/>
                <w:b/>
                <w:sz w:val="24"/>
              </w:rPr>
            </w:pPr>
            <w:r>
              <w:rPr>
                <w:rFonts w:ascii="Times New Roman" w:hAnsi="Times New Roman"/>
                <w:b/>
                <w:sz w:val="24"/>
              </w:rPr>
              <w:t>Exposiciones en balance</w:t>
            </w:r>
          </w:p>
          <w:p w14:paraId="745AD69D" w14:textId="7830AC6E" w:rsidR="00A81FD5" w:rsidRPr="007F4CC8" w:rsidRDefault="00A81FD5" w:rsidP="004F3087">
            <w:pPr>
              <w:spacing w:after="120"/>
              <w:jc w:val="both"/>
              <w:rPr>
                <w:rFonts w:ascii="Times New Roman" w:hAnsi="Times New Roman" w:cs="Times New Roman"/>
                <w:sz w:val="24"/>
              </w:rPr>
            </w:pPr>
            <w:r>
              <w:rPr>
                <w:rFonts w:ascii="Times New Roman" w:hAnsi="Times New Roman"/>
                <w:sz w:val="24"/>
              </w:rPr>
              <w:t>Las entidades divulgarán el valor de exposición de las exposiciones en balance de conformidad con el artículo 166, apartados 1 a 7, y el artículo 167, apartado 1, del Reglamento (UE) n.º 575/2013.</w:t>
            </w:r>
          </w:p>
        </w:tc>
      </w:tr>
      <w:tr w:rsidR="00A81FD5" w:rsidRPr="007F4CC8" w14:paraId="0D47376E" w14:textId="77777777" w:rsidTr="004F3087">
        <w:trPr>
          <w:trHeight w:val="316"/>
        </w:trPr>
        <w:tc>
          <w:tcPr>
            <w:tcW w:w="1413" w:type="dxa"/>
          </w:tcPr>
          <w:p w14:paraId="79B7BB44"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18980CCD" w14:textId="77777777" w:rsidR="00A81FD5" w:rsidRPr="00B42FCC"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Exposición fuera de balance</w:t>
            </w:r>
          </w:p>
          <w:p w14:paraId="1C2FD9EF" w14:textId="191BEB22"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Las entidades divulgarán el valor de exposición de las exposiciones fuera de balance de conformidad con el artículo 166 y el artículo 167, apartado 2, del Reglamento (UE) n.º 575/2013, sin tener en cuenta los factores de conversión especificados en el artículo 166, apartados 8 o 9, del Reglamento (UE) n.º 575/2013, ni ninguno de los porcentajes especificados en el artículo 166, apartado 10, del mismo Reglamento.</w:t>
            </w:r>
          </w:p>
          <w:p w14:paraId="72C867E8" w14:textId="03DDDFDF"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Las exposiciones fuera de balance comprenderán todos los importes comprometidos pero no utilizados y todas las partidas fuera de balance enumeradas en el anexo I del Reglamento (UE) n.º 575/2013.</w:t>
            </w:r>
          </w:p>
        </w:tc>
      </w:tr>
      <w:tr w:rsidR="00A81FD5" w:rsidRPr="007F4CC8" w14:paraId="348A6D93" w14:textId="77777777" w:rsidTr="004F3087">
        <w:trPr>
          <w:trHeight w:val="316"/>
        </w:trPr>
        <w:tc>
          <w:tcPr>
            <w:tcW w:w="1413" w:type="dxa"/>
          </w:tcPr>
          <w:p w14:paraId="00262C17"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53761983" w14:textId="77777777" w:rsidR="00A81FD5" w:rsidRPr="00B42FCC"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Ponderación de riesgo</w:t>
            </w:r>
          </w:p>
          <w:p w14:paraId="74BDA868" w14:textId="5C580C45"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Se trata de una columna fija para las plantillas EU CR10.1 a EU CR10.4. No debe modificarse. </w:t>
            </w:r>
          </w:p>
          <w:p w14:paraId="2AF282A3" w14:textId="143D6409"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Esta columna se ha especificado de conformidad con el artículo 153, apartado 5, del Reglamento (UE) n.º 575/2013 para las plantillas EU CR10.1 a EU CR10.4.  Para la plantilla EU CR10.5, esta columna es flexible. Las entidades aplicarán las ponderaciones de riesgo pertinentes de conformidad con el artículo 133, apartados 3 a 6, y el artículo 495 </w:t>
            </w:r>
            <w:r>
              <w:rPr>
                <w:rFonts w:ascii="Times New Roman" w:hAnsi="Times New Roman"/>
                <w:i/>
                <w:sz w:val="24"/>
              </w:rPr>
              <w:t>bis</w:t>
            </w:r>
            <w:r>
              <w:rPr>
                <w:rFonts w:ascii="Times New Roman" w:hAnsi="Times New Roman"/>
                <w:sz w:val="24"/>
              </w:rPr>
              <w:t>, apartado 3, del Reglamento (UE) n.º 575/2013.</w:t>
            </w:r>
          </w:p>
        </w:tc>
      </w:tr>
      <w:tr w:rsidR="00A81FD5" w:rsidRPr="007F4CC8" w14:paraId="7603C34A" w14:textId="77777777" w:rsidTr="004F3087">
        <w:trPr>
          <w:trHeight w:val="316"/>
        </w:trPr>
        <w:tc>
          <w:tcPr>
            <w:tcW w:w="1413" w:type="dxa"/>
          </w:tcPr>
          <w:p w14:paraId="3D9A6962"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67C9AB4B" w14:textId="77777777" w:rsidR="00A81FD5" w:rsidRPr="00B42FCC"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Valor de exposición</w:t>
            </w:r>
          </w:p>
          <w:p w14:paraId="3EBD3C28" w14:textId="12336578" w:rsidR="00A81FD5" w:rsidRPr="007F4CC8" w:rsidRDefault="00A81FD5" w:rsidP="004F3087">
            <w:pPr>
              <w:autoSpaceDE w:val="0"/>
              <w:autoSpaceDN w:val="0"/>
              <w:adjustRightInd w:val="0"/>
              <w:spacing w:after="120"/>
              <w:rPr>
                <w:rFonts w:ascii="Times New Roman" w:hAnsi="Times New Roman" w:cs="Times New Roman"/>
                <w:sz w:val="24"/>
              </w:rPr>
            </w:pPr>
            <w:r>
              <w:rPr>
                <w:rFonts w:ascii="Times New Roman" w:hAnsi="Times New Roman"/>
                <w:sz w:val="24"/>
              </w:rPr>
              <w:t>Valor de exposición de conformidad con el artículo 166 o el artículo 167 del Reglamento (UE) n.º 575/2013.</w:t>
            </w:r>
          </w:p>
          <w:p w14:paraId="7CB9912F" w14:textId="58C868E9" w:rsidR="00A81FD5" w:rsidRPr="007F4CC8" w:rsidRDefault="00A81FD5" w:rsidP="004F3087">
            <w:pPr>
              <w:spacing w:after="120"/>
              <w:jc w:val="both"/>
              <w:rPr>
                <w:rFonts w:ascii="Times New Roman" w:hAnsi="Times New Roman" w:cs="Times New Roman"/>
                <w:sz w:val="24"/>
              </w:rPr>
            </w:pPr>
            <w:r>
              <w:rPr>
                <w:rFonts w:ascii="Times New Roman" w:hAnsi="Times New Roman"/>
                <w:sz w:val="24"/>
              </w:rPr>
              <w:t xml:space="preserve">Esta columna incluirá la suma del valor de exposición de las exposiciones en balance y del valor de exposición de las exposiciones fuera de balance tras aplicar los factores de conversión y porcentajes que se establecen en el artículo 166, apartados 8 a 10, del Reglamento (UE) n.º 575/2013. </w:t>
            </w:r>
          </w:p>
        </w:tc>
      </w:tr>
      <w:tr w:rsidR="00A81FD5" w:rsidRPr="007F4CC8" w14:paraId="101D075B" w14:textId="77777777" w:rsidTr="004F3087">
        <w:trPr>
          <w:trHeight w:val="316"/>
        </w:trPr>
        <w:tc>
          <w:tcPr>
            <w:tcW w:w="1413" w:type="dxa"/>
            <w:tcBorders>
              <w:bottom w:val="single" w:sz="4" w:space="0" w:color="auto"/>
            </w:tcBorders>
          </w:tcPr>
          <w:p w14:paraId="0967DA9C" w14:textId="77777777" w:rsidR="00A81FD5" w:rsidRPr="00DD0C4D" w:rsidRDefault="00A81FD5" w:rsidP="004F3087">
            <w:pPr>
              <w:autoSpaceDE w:val="0"/>
              <w:autoSpaceDN w:val="0"/>
              <w:adjustRightInd w:val="0"/>
              <w:spacing w:after="120"/>
              <w:jc w:val="both"/>
              <w:rPr>
                <w:rFonts w:ascii="Times New Roman" w:hAnsi="Times New Roman"/>
                <w:sz w:val="24"/>
              </w:rPr>
            </w:pPr>
            <w:r>
              <w:rPr>
                <w:rFonts w:ascii="Times New Roman" w:hAnsi="Times New Roman"/>
                <w:sz w:val="24"/>
              </w:rPr>
              <w:t>e (plantillas EU CR10.1 a EU CR10.4)</w:t>
            </w:r>
          </w:p>
        </w:tc>
        <w:tc>
          <w:tcPr>
            <w:tcW w:w="7654" w:type="dxa"/>
          </w:tcPr>
          <w:p w14:paraId="703A355C" w14:textId="77777777" w:rsidR="00A81FD5" w:rsidRPr="00B42FCC"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Importe de la exposición ponderada por riesgo (exposiciones de financiación especializada sujetas al método de asignación)</w:t>
            </w:r>
          </w:p>
          <w:p w14:paraId="041E0E73" w14:textId="698ABDEF"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Importe de la exposición ponderada por riesgo, calculado de conformidad con el artículo 153, apartado 5, del Reglamento (UE) n.º 575/2013, tras aplicar los factores de apoyo con arreglo a los artículos 501 y 501 </w:t>
            </w:r>
            <w:r>
              <w:rPr>
                <w:rFonts w:ascii="Times New Roman" w:hAnsi="Times New Roman"/>
                <w:i/>
                <w:sz w:val="24"/>
              </w:rPr>
              <w:t>bis</w:t>
            </w:r>
            <w:r>
              <w:rPr>
                <w:rFonts w:ascii="Times New Roman" w:hAnsi="Times New Roman"/>
                <w:sz w:val="24"/>
              </w:rPr>
              <w:t xml:space="preserve"> del citado Reglamento, cuando proceda.</w:t>
            </w:r>
          </w:p>
        </w:tc>
      </w:tr>
      <w:tr w:rsidR="00A81FD5" w:rsidRPr="007F4CC8" w14:paraId="697C0CA4" w14:textId="77777777" w:rsidTr="004F3087">
        <w:trPr>
          <w:trHeight w:val="316"/>
        </w:trPr>
        <w:tc>
          <w:tcPr>
            <w:tcW w:w="1413" w:type="dxa"/>
            <w:tcBorders>
              <w:bottom w:val="nil"/>
            </w:tcBorders>
          </w:tcPr>
          <w:p w14:paraId="1672DF90" w14:textId="77777777" w:rsidR="00A81FD5" w:rsidRPr="00DD0C4D" w:rsidRDefault="00A81FD5" w:rsidP="004F3087">
            <w:pPr>
              <w:autoSpaceDE w:val="0"/>
              <w:autoSpaceDN w:val="0"/>
              <w:adjustRightInd w:val="0"/>
              <w:spacing w:after="120"/>
              <w:jc w:val="both"/>
              <w:rPr>
                <w:rFonts w:ascii="Times New Roman" w:hAnsi="Times New Roman"/>
                <w:sz w:val="24"/>
              </w:rPr>
            </w:pPr>
            <w:r>
              <w:rPr>
                <w:rFonts w:ascii="Times New Roman" w:hAnsi="Times New Roman"/>
                <w:sz w:val="24"/>
              </w:rPr>
              <w:t>f (plantillas EU CR10.1 a EU CR10.4)</w:t>
            </w:r>
          </w:p>
        </w:tc>
        <w:tc>
          <w:tcPr>
            <w:tcW w:w="7654" w:type="dxa"/>
          </w:tcPr>
          <w:p w14:paraId="4FF75FEB" w14:textId="77777777" w:rsidR="00A81FD5" w:rsidRPr="00D647C0"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Importe de las pérdidas esperadas (exposiciones de financiación especializada sujetas al método de asignación)</w:t>
            </w:r>
          </w:p>
          <w:p w14:paraId="60279495" w14:textId="26DC979B"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Importe de las pérdidas esperadas de conformidad con el artículo 158, apartado 6, del Reglamento (UE) n.º 575/2013.</w:t>
            </w:r>
          </w:p>
        </w:tc>
      </w:tr>
      <w:tr w:rsidR="00A81FD5" w:rsidRPr="007F4CC8" w14:paraId="4F8B2187" w14:textId="77777777" w:rsidTr="004F3087">
        <w:trPr>
          <w:trHeight w:val="316"/>
        </w:trPr>
        <w:tc>
          <w:tcPr>
            <w:tcW w:w="1413" w:type="dxa"/>
            <w:tcBorders>
              <w:top w:val="nil"/>
            </w:tcBorders>
          </w:tcPr>
          <w:p w14:paraId="56FDDAB9"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 (plantilla EU CR10.5)</w:t>
            </w:r>
          </w:p>
        </w:tc>
        <w:tc>
          <w:tcPr>
            <w:tcW w:w="7654" w:type="dxa"/>
          </w:tcPr>
          <w:p w14:paraId="63BCE1AB" w14:textId="77777777" w:rsidR="00A81FD5" w:rsidRPr="00D647C0" w:rsidRDefault="00A81FD5"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Importe de las pérdidas esperadas (exposiciones de renta variable sujetas al método simple de ponderación de riesgo)</w:t>
            </w:r>
          </w:p>
          <w:p w14:paraId="602A3DA1" w14:textId="4D627F35" w:rsidR="00A81FD5" w:rsidRPr="007F4CC8" w:rsidRDefault="00A81FD5"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Importe de la pérdida esperada calculado de conformidad con el artículo 158, apartado 7, del Reglamento (UE) n.º 575/2013, cuando proceda.</w:t>
            </w:r>
          </w:p>
        </w:tc>
      </w:tr>
    </w:tbl>
    <w:p w14:paraId="2792224B" w14:textId="77777777" w:rsidR="00A81FD5" w:rsidRPr="007F4CC8" w:rsidRDefault="00A81FD5" w:rsidP="00A81FD5">
      <w:pPr>
        <w:spacing w:after="120"/>
        <w:rPr>
          <w:rFonts w:ascii="Times New Roman" w:hAnsi="Times New Roman" w:cs="Times New Roman"/>
          <w:sz w:val="24"/>
        </w:rPr>
      </w:pPr>
    </w:p>
    <w:p w14:paraId="2C3A6074" w14:textId="77777777" w:rsidR="00A81FD5" w:rsidRPr="007F4CC8" w:rsidRDefault="00A81FD5" w:rsidP="00A81FD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81FD5" w:rsidRPr="007F4CC8" w14:paraId="3C9F1404" w14:textId="77777777"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56930760" w14:textId="77777777" w:rsidR="00A81FD5" w:rsidRPr="007F4CC8" w:rsidRDefault="00A81FD5"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Número de fila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8EC16B" w14:textId="77777777" w:rsidR="00A81FD5" w:rsidRPr="007F4CC8" w:rsidRDefault="00A81FD5" w:rsidP="004F3087">
            <w:pPr>
              <w:spacing w:after="120"/>
              <w:rPr>
                <w:rFonts w:ascii="Times New Roman" w:hAnsi="Times New Roman" w:cs="Times New Roman"/>
                <w:b/>
                <w:sz w:val="24"/>
              </w:rPr>
            </w:pPr>
            <w:r>
              <w:rPr>
                <w:rFonts w:ascii="Times New Roman" w:hAnsi="Times New Roman"/>
                <w:b/>
                <w:sz w:val="24"/>
              </w:rPr>
              <w:t>Referencias jurídicas e instrucciones</w:t>
            </w:r>
          </w:p>
        </w:tc>
      </w:tr>
      <w:tr w:rsidR="00A81FD5" w:rsidRPr="007F4CC8" w14:paraId="05D9511C" w14:textId="77777777" w:rsidTr="004F3087">
        <w:trPr>
          <w:trHeight w:val="403"/>
        </w:trPr>
        <w:tc>
          <w:tcPr>
            <w:tcW w:w="1413" w:type="dxa"/>
            <w:vMerge/>
            <w:tcBorders>
              <w:left w:val="single" w:sz="4" w:space="0" w:color="auto"/>
              <w:right w:val="single" w:sz="4" w:space="0" w:color="auto"/>
            </w:tcBorders>
            <w:shd w:val="clear" w:color="auto" w:fill="D9D9D9" w:themeFill="background1" w:themeFillShade="D9"/>
          </w:tcPr>
          <w:p w14:paraId="3DCFB7BE" w14:textId="77777777" w:rsidR="00A81FD5" w:rsidRPr="007F4CC8" w:rsidRDefault="00A81FD5"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64C8C924" w14:textId="77777777" w:rsidR="00A81FD5" w:rsidRPr="007F4CC8" w:rsidRDefault="00A81FD5" w:rsidP="004F308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Explicación</w:t>
            </w:r>
          </w:p>
        </w:tc>
      </w:tr>
      <w:tr w:rsidR="00A81FD5" w:rsidRPr="007F4CC8" w14:paraId="5A7F3F5E" w14:textId="77777777" w:rsidTr="004F3087">
        <w:trPr>
          <w:trHeight w:val="316"/>
        </w:trPr>
        <w:tc>
          <w:tcPr>
            <w:tcW w:w="1413" w:type="dxa"/>
          </w:tcPr>
          <w:p w14:paraId="7D094947"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Categoría reglamentaria</w:t>
            </w:r>
          </w:p>
        </w:tc>
        <w:tc>
          <w:tcPr>
            <w:tcW w:w="7654" w:type="dxa"/>
          </w:tcPr>
          <w:p w14:paraId="684D2C24" w14:textId="77777777" w:rsidR="00A81FD5" w:rsidRPr="00DD0C4D" w:rsidRDefault="00A81FD5" w:rsidP="004F3087">
            <w:pPr>
              <w:spacing w:after="120"/>
              <w:jc w:val="both"/>
              <w:rPr>
                <w:rFonts w:ascii="Times New Roman" w:eastAsiaTheme="minorHAnsi" w:hAnsi="Times New Roman" w:cs="Times New Roman"/>
                <w:b/>
                <w:sz w:val="24"/>
              </w:rPr>
            </w:pPr>
            <w:r>
              <w:rPr>
                <w:rFonts w:ascii="Times New Roman" w:hAnsi="Times New Roman"/>
                <w:b/>
                <w:sz w:val="24"/>
              </w:rPr>
              <w:t>Plantillas EU CR10.1 a EU CR10.4</w:t>
            </w:r>
          </w:p>
          <w:p w14:paraId="73A34AF3" w14:textId="5763928A" w:rsidR="00A81FD5" w:rsidRPr="007F4CC8" w:rsidRDefault="00A81FD5" w:rsidP="004F3087">
            <w:pPr>
              <w:spacing w:after="120"/>
              <w:jc w:val="both"/>
              <w:rPr>
                <w:rFonts w:ascii="Times New Roman" w:hAnsi="Times New Roman" w:cs="Times New Roman"/>
                <w:sz w:val="24"/>
              </w:rPr>
            </w:pPr>
            <w:r>
              <w:rPr>
                <w:rFonts w:ascii="Times New Roman" w:hAnsi="Times New Roman"/>
                <w:sz w:val="24"/>
              </w:rPr>
              <w:t>Las categorías reglamentarias correspondientes a la financiación especializada con arreglo al método de asignación de las diversas clases de exposiciones de financiación especializada, de conformidad con lo especificado en el artículo 153, apartado 5, del Reglamento (UE) n.º 575/2013 y en el proyecto final de NTR sobre el método de asignación.</w:t>
            </w:r>
          </w:p>
        </w:tc>
      </w:tr>
      <w:tr w:rsidR="00A81FD5" w:rsidRPr="007F4CC8" w14:paraId="06F4029F" w14:textId="77777777" w:rsidTr="004F3087">
        <w:trPr>
          <w:trHeight w:val="316"/>
        </w:trPr>
        <w:tc>
          <w:tcPr>
            <w:tcW w:w="1413" w:type="dxa"/>
          </w:tcPr>
          <w:p w14:paraId="5EAED2FC" w14:textId="77777777"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Categorías</w:t>
            </w:r>
          </w:p>
        </w:tc>
        <w:tc>
          <w:tcPr>
            <w:tcW w:w="7654" w:type="dxa"/>
          </w:tcPr>
          <w:p w14:paraId="73E10594" w14:textId="0741463C" w:rsidR="00A81FD5" w:rsidRPr="00360C8C" w:rsidRDefault="00A81FD5" w:rsidP="004F3087">
            <w:pPr>
              <w:spacing w:after="120"/>
              <w:jc w:val="both"/>
              <w:rPr>
                <w:rFonts w:ascii="Times New Roman" w:eastAsiaTheme="minorHAnsi" w:hAnsi="Times New Roman" w:cs="Times New Roman"/>
                <w:b/>
                <w:sz w:val="24"/>
              </w:rPr>
            </w:pPr>
            <w:r>
              <w:rPr>
                <w:rFonts w:ascii="Times New Roman" w:hAnsi="Times New Roman"/>
                <w:b/>
                <w:sz w:val="24"/>
              </w:rPr>
              <w:t>Plantilla EU CR10.5. Flexible</w:t>
            </w:r>
          </w:p>
          <w:p w14:paraId="1A9FFE85" w14:textId="723ADCB0" w:rsidR="00A81FD5" w:rsidRPr="007F4CC8" w:rsidRDefault="005122C8" w:rsidP="004F3087">
            <w:pPr>
              <w:spacing w:after="120"/>
              <w:jc w:val="both"/>
              <w:rPr>
                <w:rFonts w:ascii="Times New Roman" w:eastAsiaTheme="minorHAnsi" w:hAnsi="Times New Roman" w:cs="Times New Roman"/>
                <w:sz w:val="24"/>
              </w:rPr>
            </w:pPr>
            <w:r>
              <w:rPr>
                <w:rFonts w:ascii="Times New Roman" w:hAnsi="Times New Roman"/>
                <w:sz w:val="24"/>
              </w:rPr>
              <w:t>Las entidades incluirán las categorías reglamentarias pertinentes aplicables a la renta variable con arreglo al artículo 133, apartados 3 a 6, y al artículo 495 </w:t>
            </w:r>
            <w:r>
              <w:rPr>
                <w:rFonts w:ascii="Times New Roman" w:hAnsi="Times New Roman"/>
                <w:i/>
                <w:sz w:val="24"/>
              </w:rPr>
              <w:t>bis</w:t>
            </w:r>
            <w:r>
              <w:rPr>
                <w:rFonts w:ascii="Times New Roman" w:hAnsi="Times New Roman"/>
                <w:sz w:val="24"/>
              </w:rPr>
              <w:t xml:space="preserve">, apartado 3, del Reglamento (UE) n.º 575/2013. </w:t>
            </w:r>
          </w:p>
        </w:tc>
      </w:tr>
    </w:tbl>
    <w:p w14:paraId="7B637F1D" w14:textId="77777777" w:rsidR="00993FC2" w:rsidRPr="00A93C43" w:rsidRDefault="00993FC2" w:rsidP="00A81FD5">
      <w:pPr>
        <w:rPr>
          <w:lang/>
        </w:rPr>
      </w:pPr>
    </w:p>
    <w:sectPr w:rsidR="00993FC2" w:rsidRPr="00A93C43">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0DD73" w14:textId="77777777" w:rsidR="00703E80" w:rsidRDefault="00703E80" w:rsidP="00A81FD5">
      <w:r>
        <w:separator/>
      </w:r>
    </w:p>
  </w:endnote>
  <w:endnote w:type="continuationSeparator" w:id="0">
    <w:p w14:paraId="4133069B" w14:textId="77777777" w:rsidR="00703E80" w:rsidRDefault="00703E80" w:rsidP="00A8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214712"/>
      <w:docPartObj>
        <w:docPartGallery w:val="Page Numbers (Bottom of Page)"/>
        <w:docPartUnique/>
      </w:docPartObj>
    </w:sdtPr>
    <w:sdtEndPr>
      <w:rPr>
        <w:noProof/>
      </w:rPr>
    </w:sdtEndPr>
    <w:sdtContent>
      <w:p w14:paraId="293BD6A0" w14:textId="77777777" w:rsidR="00A81FD5" w:rsidRDefault="00A81FD5">
        <w:pPr>
          <w:pStyle w:val="Footer"/>
          <w:jc w:val="right"/>
        </w:pPr>
        <w:r>
          <w:fldChar w:fldCharType="begin"/>
        </w:r>
        <w:r>
          <w:instrText xml:space="preserve"> PAGE   \* MERGEFORMAT </w:instrText>
        </w:r>
        <w:r>
          <w:fldChar w:fldCharType="separate"/>
        </w:r>
        <w:r>
          <w:t>2</w:t>
        </w:r>
        <w:r>
          <w:fldChar w:fldCharType="end"/>
        </w:r>
      </w:p>
    </w:sdtContent>
  </w:sdt>
  <w:p w14:paraId="77A576E9" w14:textId="77777777" w:rsidR="00A81FD5" w:rsidRDefault="00A81F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466AE" w14:textId="77777777" w:rsidR="00703E80" w:rsidRDefault="00703E80" w:rsidP="00A81FD5">
      <w:r>
        <w:separator/>
      </w:r>
    </w:p>
  </w:footnote>
  <w:footnote w:type="continuationSeparator" w:id="0">
    <w:p w14:paraId="32022626" w14:textId="77777777" w:rsidR="00703E80" w:rsidRDefault="00703E80" w:rsidP="00A81FD5">
      <w:r>
        <w:continuationSeparator/>
      </w:r>
    </w:p>
  </w:footnote>
  <w:footnote w:id="1">
    <w:p w14:paraId="5DF9A988" w14:textId="1DC1B74B" w:rsidR="0016297E" w:rsidRPr="0016297E" w:rsidRDefault="0016297E" w:rsidP="0016297E">
      <w:pPr>
        <w:pStyle w:val="FootnoteText"/>
      </w:pPr>
      <w:r>
        <w:rPr>
          <w:rStyle w:val="FootnoteReference"/>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CA2D" w14:textId="4B287E36" w:rsidR="0089557A" w:rsidRDefault="0089557A">
    <w:pPr>
      <w:pStyle w:val="Header"/>
    </w:pPr>
    <w:r>
      <w:rPr>
        <w:noProof/>
      </w:rPr>
      <mc:AlternateContent>
        <mc:Choice Requires="wps">
          <w:drawing>
            <wp:anchor distT="0" distB="0" distL="0" distR="0" simplePos="0" relativeHeight="251659264" behindDoc="0" locked="0" layoutInCell="1" allowOverlap="1" wp14:anchorId="6B7ECC36" wp14:editId="1A347A40">
              <wp:simplePos x="635" y="635"/>
              <wp:positionH relativeFrom="page">
                <wp:align>left</wp:align>
              </wp:positionH>
              <wp:positionV relativeFrom="page">
                <wp:align>top</wp:align>
              </wp:positionV>
              <wp:extent cx="443865" cy="443865"/>
              <wp:effectExtent l="0" t="0" r="3175" b="4445"/>
              <wp:wrapNone/>
              <wp:docPr id="1572534603"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FEE100" w14:textId="1A0A7B31" w:rsidR="0089557A" w:rsidRPr="0089557A" w:rsidRDefault="0089557A" w:rsidP="0089557A">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B7ECC36" id="_x0000_t202" coordsize="21600,21600" o:spt="202" path="m,l,21600r21600,l21600,xe">
              <v:stroke joinstyle="miter"/>
              <v:path gradientshapeok="t" o:connecttype="rect"/>
            </v:shapetype>
            <v:shape id="Text Box 2" o:spid="_x0000_s1026" type="#_x0000_t202" alt="Title:  - Description: Uso habitual de la 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1FEE100" w14:textId="1A0A7B31"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113B" w14:textId="19D0E53F" w:rsidR="0089557A" w:rsidRDefault="0089557A">
    <w:pPr>
      <w:pStyle w:val="Header"/>
    </w:pPr>
    <w:r>
      <w:rPr>
        <w:noProof/>
      </w:rPr>
      <mc:AlternateContent>
        <mc:Choice Requires="wps">
          <w:drawing>
            <wp:anchor distT="0" distB="0" distL="0" distR="0" simplePos="0" relativeHeight="251660288" behindDoc="0" locked="0" layoutInCell="1" allowOverlap="1" wp14:anchorId="7DF76086" wp14:editId="609448B1">
              <wp:simplePos x="914400" y="447675"/>
              <wp:positionH relativeFrom="page">
                <wp:align>left</wp:align>
              </wp:positionH>
              <wp:positionV relativeFrom="page">
                <wp:align>top</wp:align>
              </wp:positionV>
              <wp:extent cx="443865" cy="443865"/>
              <wp:effectExtent l="0" t="0" r="3175" b="4445"/>
              <wp:wrapNone/>
              <wp:docPr id="334500121"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C71C80" w14:textId="569D2E7E" w:rsidR="0089557A" w:rsidRPr="0089557A" w:rsidRDefault="0089557A" w:rsidP="0089557A">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DF76086" id="_x0000_t202" coordsize="21600,21600" o:spt="202" path="m,l,21600r21600,l21600,xe">
              <v:stroke joinstyle="miter"/>
              <v:path gradientshapeok="t" o:connecttype="rect"/>
            </v:shapetype>
            <v:shape id="Text Box 3" o:spid="_x0000_s1027" type="#_x0000_t202" alt="Title:  - Description: Uso habitual de la 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9C71C80" w14:textId="569D2E7E"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2FD7" w14:textId="1F8C1CF5" w:rsidR="0089557A" w:rsidRDefault="0089557A">
    <w:pPr>
      <w:pStyle w:val="Header"/>
    </w:pPr>
    <w:r>
      <w:rPr>
        <w:noProof/>
      </w:rPr>
      <mc:AlternateContent>
        <mc:Choice Requires="wps">
          <w:drawing>
            <wp:anchor distT="0" distB="0" distL="0" distR="0" simplePos="0" relativeHeight="251658240" behindDoc="0" locked="0" layoutInCell="1" allowOverlap="1" wp14:anchorId="5D3FAAB5" wp14:editId="5BE3112C">
              <wp:simplePos x="635" y="635"/>
              <wp:positionH relativeFrom="page">
                <wp:align>left</wp:align>
              </wp:positionH>
              <wp:positionV relativeFrom="page">
                <wp:align>top</wp:align>
              </wp:positionV>
              <wp:extent cx="443865" cy="443865"/>
              <wp:effectExtent l="0" t="0" r="3175" b="4445"/>
              <wp:wrapNone/>
              <wp:docPr id="1494430650"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D8DAD4" w14:textId="694FABB0" w:rsidR="0089557A" w:rsidRPr="0089557A" w:rsidRDefault="0089557A" w:rsidP="0089557A">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D3FAAB5" id="_x0000_t202" coordsize="21600,21600" o:spt="202" path="m,l,21600r21600,l21600,xe">
              <v:stroke joinstyle="miter"/>
              <v:path gradientshapeok="t" o:connecttype="rect"/>
            </v:shapetype>
            <v:shape id="Text Box 1" o:spid="_x0000_s1028" type="#_x0000_t202" alt="Title:  - Description: Uso habitual de la 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D8DAD4" w14:textId="694FABB0" w:rsidR="0089557A" w:rsidRPr="0089557A" w:rsidRDefault="0089557A" w:rsidP="0089557A">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5923548">
    <w:abstractNumId w:val="0"/>
  </w:num>
  <w:num w:numId="2" w16cid:durableId="6093583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s-E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56335"/>
    <w:rsid w:val="001409C0"/>
    <w:rsid w:val="0016297E"/>
    <w:rsid w:val="002A29F0"/>
    <w:rsid w:val="00456335"/>
    <w:rsid w:val="005122C8"/>
    <w:rsid w:val="0053271E"/>
    <w:rsid w:val="006120BE"/>
    <w:rsid w:val="00703E80"/>
    <w:rsid w:val="0089557A"/>
    <w:rsid w:val="00964BDB"/>
    <w:rsid w:val="00993FC2"/>
    <w:rsid w:val="00A81FD5"/>
    <w:rsid w:val="00A93C43"/>
    <w:rsid w:val="00AF68CB"/>
    <w:rsid w:val="00C15CE4"/>
    <w:rsid w:val="00CF64BB"/>
    <w:rsid w:val="00D6345C"/>
    <w:rsid w:val="00F9649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BC956"/>
  <w15:chartTrackingRefBased/>
  <w15:docId w15:val="{A6C1DA80-21DB-4AB0-ABCC-D95DD9923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FD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16297E"/>
    <w:pPr>
      <w:spacing w:before="80" w:line="200" w:lineRule="exact"/>
      <w:jc w:val="both"/>
    </w:pPr>
    <w:rPr>
      <w:sz w:val="18"/>
      <w:szCs w:val="18"/>
    </w:rPr>
  </w:style>
  <w:style w:type="character" w:customStyle="1" w:styleId="FootnoteTextChar">
    <w:name w:val="Footnote Text Char"/>
    <w:basedOn w:val="DefaultParagraphFont"/>
    <w:link w:val="FootnoteText"/>
    <w:rsid w:val="0016297E"/>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81FD5"/>
    <w:rPr>
      <w:rFonts w:asciiTheme="minorHAnsi" w:hAnsiTheme="minorHAnsi"/>
      <w:sz w:val="22"/>
      <w:szCs w:val="18"/>
      <w:vertAlign w:val="superscript"/>
    </w:rPr>
  </w:style>
  <w:style w:type="character" w:styleId="Hyperlink">
    <w:name w:val="Hyperlink"/>
    <w:basedOn w:val="DefaultParagraphFont"/>
    <w:uiPriority w:val="99"/>
    <w:rsid w:val="00A81FD5"/>
    <w:rPr>
      <w:color w:val="0563C1" w:themeColor="hyperlink"/>
      <w:u w:val="single"/>
    </w:rPr>
  </w:style>
  <w:style w:type="paragraph" w:customStyle="1" w:styleId="Annexetitre">
    <w:name w:val="Annexe titre"/>
    <w:basedOn w:val="Normal"/>
    <w:next w:val="Normal"/>
    <w:rsid w:val="00A81FD5"/>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A81FD5"/>
    <w:pPr>
      <w:ind w:left="720"/>
    </w:pPr>
    <w:rPr>
      <w:rFonts w:ascii="Calibri" w:eastAsia="Calibri" w:hAnsi="Calibri" w:cs="Times New Roman"/>
      <w:szCs w:val="22"/>
    </w:rPr>
  </w:style>
  <w:style w:type="paragraph" w:styleId="Header">
    <w:name w:val="header"/>
    <w:basedOn w:val="Normal"/>
    <w:link w:val="HeaderChar"/>
    <w:uiPriority w:val="99"/>
    <w:unhideWhenUsed/>
    <w:rsid w:val="00A81FD5"/>
    <w:pPr>
      <w:tabs>
        <w:tab w:val="center" w:pos="4513"/>
        <w:tab w:val="right" w:pos="9026"/>
      </w:tabs>
    </w:pPr>
  </w:style>
  <w:style w:type="character" w:customStyle="1" w:styleId="HeaderChar">
    <w:name w:val="Header Char"/>
    <w:basedOn w:val="DefaultParagraphFont"/>
    <w:link w:val="Header"/>
    <w:uiPriority w:val="99"/>
    <w:rsid w:val="00A81FD5"/>
    <w:rPr>
      <w:rFonts w:eastAsiaTheme="minorEastAsia"/>
      <w:szCs w:val="24"/>
    </w:rPr>
  </w:style>
  <w:style w:type="paragraph" w:styleId="Footer">
    <w:name w:val="footer"/>
    <w:basedOn w:val="Normal"/>
    <w:link w:val="FooterChar"/>
    <w:uiPriority w:val="99"/>
    <w:unhideWhenUsed/>
    <w:rsid w:val="00A81FD5"/>
    <w:pPr>
      <w:tabs>
        <w:tab w:val="center" w:pos="4513"/>
        <w:tab w:val="right" w:pos="9026"/>
      </w:tabs>
    </w:pPr>
  </w:style>
  <w:style w:type="character" w:customStyle="1" w:styleId="FooterChar">
    <w:name w:val="Footer Char"/>
    <w:basedOn w:val="DefaultParagraphFont"/>
    <w:link w:val="Footer"/>
    <w:uiPriority w:val="99"/>
    <w:rsid w:val="00A81FD5"/>
    <w:rPr>
      <w:rFonts w:eastAsiaTheme="minorEastAsia"/>
      <w:szCs w:val="24"/>
    </w:rPr>
  </w:style>
  <w:style w:type="character" w:styleId="CommentReference">
    <w:name w:val="annotation reference"/>
    <w:basedOn w:val="DefaultParagraphFont"/>
    <w:uiPriority w:val="99"/>
    <w:semiHidden/>
    <w:unhideWhenUsed/>
    <w:rsid w:val="0089557A"/>
    <w:rPr>
      <w:sz w:val="16"/>
      <w:szCs w:val="16"/>
    </w:rPr>
  </w:style>
  <w:style w:type="paragraph" w:styleId="CommentText">
    <w:name w:val="annotation text"/>
    <w:basedOn w:val="Normal"/>
    <w:link w:val="CommentTextChar"/>
    <w:uiPriority w:val="99"/>
    <w:unhideWhenUsed/>
    <w:rsid w:val="0089557A"/>
    <w:rPr>
      <w:sz w:val="20"/>
      <w:szCs w:val="20"/>
    </w:rPr>
  </w:style>
  <w:style w:type="character" w:customStyle="1" w:styleId="CommentTextChar">
    <w:name w:val="Comment Text Char"/>
    <w:basedOn w:val="DefaultParagraphFont"/>
    <w:link w:val="CommentText"/>
    <w:uiPriority w:val="99"/>
    <w:rsid w:val="0089557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9557A"/>
    <w:rPr>
      <w:b/>
      <w:bCs/>
    </w:rPr>
  </w:style>
  <w:style w:type="character" w:customStyle="1" w:styleId="CommentSubjectChar">
    <w:name w:val="Comment Subject Char"/>
    <w:basedOn w:val="CommentTextChar"/>
    <w:link w:val="CommentSubject"/>
    <w:uiPriority w:val="99"/>
    <w:semiHidden/>
    <w:rsid w:val="0089557A"/>
    <w:rPr>
      <w:rFonts w:eastAsiaTheme="minorEastAsia"/>
      <w:b/>
      <w:bCs/>
      <w:sz w:val="20"/>
      <w:szCs w:val="20"/>
    </w:rPr>
  </w:style>
  <w:style w:type="paragraph" w:styleId="Revision">
    <w:name w:val="Revision"/>
    <w:hidden/>
    <w:uiPriority w:val="99"/>
    <w:semiHidden/>
    <w:rsid w:val="002A29F0"/>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1CF0BC-64A7-44A4-BE6C-A045FAF69AE5}">
  <ds:schemaRefs>
    <ds:schemaRef ds:uri="http://schemas.openxmlformats.org/officeDocument/2006/bibliography"/>
  </ds:schemaRefs>
</ds:datastoreItem>
</file>

<file path=customXml/itemProps2.xml><?xml version="1.0" encoding="utf-8"?>
<ds:datastoreItem xmlns:ds="http://schemas.openxmlformats.org/officeDocument/2006/customXml" ds:itemID="{8E64D8EC-53F5-483B-B8E7-A092043DE238}"/>
</file>

<file path=customXml/itemProps3.xml><?xml version="1.0" encoding="utf-8"?>
<ds:datastoreItem xmlns:ds="http://schemas.openxmlformats.org/officeDocument/2006/customXml" ds:itemID="{934FD00C-B95D-4333-9213-004FA1BAC22C}"/>
</file>

<file path=customXml/itemProps4.xml><?xml version="1.0" encoding="utf-8"?>
<ds:datastoreItem xmlns:ds="http://schemas.openxmlformats.org/officeDocument/2006/customXml" ds:itemID="{9CDF59B6-6E0F-4F30-A7F4-C761FF3C249D}"/>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38</TotalTime>
  <Pages>2</Pages>
  <Words>688</Words>
  <Characters>3934</Characters>
  <Application>Microsoft Office Word</Application>
  <DocSecurity>0</DocSecurity>
  <Lines>119</Lines>
  <Paragraphs>65</Paragraphs>
  <ScaleCrop>false</ScaleCrop>
  <Company>European Banking Authority</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ESCAMEZ ARAGON Nuria (DGT)</cp:lastModifiedBy>
  <cp:revision>15</cp:revision>
  <dcterms:created xsi:type="dcterms:W3CDTF">2021-03-11T13:21:00Z</dcterms:created>
  <dcterms:modified xsi:type="dcterms:W3CDTF">2024-10-18T15:21:00Z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591333ba,5dbaf94b,13f01119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2024-09-26T14:30:38Z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b845363d-b496-4e81-8635-4e3aececf02f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