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6BDAC6B6"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XXX LISA. Tabelid ja vormid tururiski käsitleva teabe avalikustamiseks standard- ja sisemeetodil: juhised</w:t>
      </w:r>
    </w:p>
    <w:p w14:paraId="30BCD097" w14:textId="0DCD17C0"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Selles lisas on esitatud juhised, mida finantsinstitutsioonid peavad järgima määruse (EL) nr 575/2013 („kapitalinõuete määrus")</w:t>
      </w:r>
      <w:r w:rsidR="00931C32" w:rsidRPr="00DB0A49">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artiklites 435, 445 ja 455 osutatud teabe avalikustamisel, et täita tururiski käsitleva teabe avalikustamise tabelid ja vormid, mis on esitatud EBA IT-lahendiste XXIX lisas.</w:t>
      </w:r>
    </w:p>
    <w:p w14:paraId="69DA8DE0" w14:textId="77777777"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Tabel EU-MRA.</w:t>
      </w:r>
      <w:r>
        <w:rPr>
          <w:rFonts w:ascii="Times New Roman" w:hAnsi="Times New Roman"/>
          <w:sz w:val="24"/>
        </w:rPr>
        <w:t xml:space="preserve"> </w:t>
      </w:r>
      <w:r>
        <w:rPr>
          <w:rFonts w:ascii="Times New Roman" w:hAnsi="Times New Roman"/>
          <w:b/>
          <w:sz w:val="24"/>
        </w:rPr>
        <w:t>Tururiskiga seotud kvalitatiivse teabe avalikustamise nõuded.</w:t>
      </w:r>
      <w:r>
        <w:rPr>
          <w:rFonts w:ascii="Times New Roman" w:hAnsi="Times New Roman"/>
          <w:sz w:val="24"/>
        </w:rPr>
        <w:t xml:space="preserve"> Vabas vormis tekstikastid</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Finantsinstitutsioonid avalikustavad tururiski kohta määruse (EL) nr 575/2013 artikli 435 lõike 1 punktides a–d osutatud teabe, järgides käesolevas lisas allpool esitatud juhiseid, et täita XXIX lisas esitatud tabel EU MRA.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Viited õigussätetele ja juhised</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a</w:t>
            </w:r>
          </w:p>
        </w:tc>
        <w:tc>
          <w:tcPr>
            <w:tcW w:w="7655"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Määruse (EL) nr 575/2013 artikli 435 lõike 1 punktides a ja d osutatud riskijuhtimise eesmärke ja tururiski juhtimise põhimõtteid käsitleva teabe avalikustamisel esitavad finantsinstitutsioonid järgmise teabe:</w:t>
            </w:r>
          </w:p>
          <w:p w14:paraId="2954CCD3" w14:textId="1014E709"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selgitus juhtkonna strateegiliste eesmärkide kohta kauplemistegevuses;</w:t>
            </w:r>
          </w:p>
          <w:p w14:paraId="28C8AA1E" w14:textId="2D7A10DE"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artikli 104 lõikes 1 osutatud selliste põhimõtete kirjeldus, mille kohaselt määratakse kindlaks, millised positsioonid loetakse kauplemisportfelli kuuluvaks, sealhulgas raskesti müüdavate positsioonide määratlus ja riskijuhtimise põhimõtted nende positsioonide jälgimiseks. Lisaks kirjeldavad finantsinstitutsioonid juhtumeid, kus instrumendid määratakse kauplemisportfelli või pangaportfelli vastupidiselt nende instrumentide kategooria üldistele eeldustele, sealhulgas nende instrumentide turuväärtus ja õiglane väärtus, samuti pärast viimast aruandeperioodi toimunud ümberliigitamine ühest portfellist teise, sealhulgas selliste juhtumite õiglane väärtus ja ümberliigitamise põhjus;</w:t>
            </w:r>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sisemise riski ülekandmisega seotud tegevuste kirjeldus, sealhulgas sisemise riski ülekandmise üksuse liigid;</w:t>
            </w:r>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finantsinstitutsiooni tururiskide tuvastamiseks, mõõtmiseks, jälgimiseks ja kontrollimiseks rakendatud protsessid;</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riskimaandamise põhimõtted;</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lastRenderedPageBreak/>
              <w:t>maanduste jätkuva tulemuslikkuse jälgimise strateegiad ja protsessid.</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lastRenderedPageBreak/>
              <w:t>b</w:t>
            </w:r>
          </w:p>
        </w:tc>
        <w:tc>
          <w:tcPr>
            <w:tcW w:w="7655"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Määruse (EL) nr 575/2013 artikli 435 lõike 1 punktis b osutatud tururiski juhtimise funktsiooni ülesehitust ja korraldust käsitleva teabe avalikustamisel esitavad finantsinstitutsioonid järgmise teabe:</w:t>
            </w:r>
          </w:p>
          <w:p w14:paraId="15341445" w14:textId="0CF00649"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eespool punktis a käsitletud finantsinstitutsiooni strateegiate ja protsesside rakendamiseks kehtestatud tururiski juhtimise struktuuri kirjeldus;</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tururiskide juhtimises osalevate isikute vaheliste suhete ja teabevahetusmehhanismide kirjeldus.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 xml:space="preserve">Määruse (EL) nr 575/2013 artikli 435 lõike 1 punktis c osutatud tururiski aruandluse ja mõõtmise süsteemide ulatust ja laadi käsitleva teabe avalikustamisel esitavad finantsinstitutsioonid tururiski aruandluse ja mõõtmise süsteemide ulatuse ja laadi kirjelduse.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Määruse (EL) nr 575/2013 artikli 445 lõikes 1 osutatud teabe avalikustamisel kauplemisportfelli positsioonide üldise ülevaate kohta esitavad finantsinstitutsioonid oma kauplemisportfelli positsioonide põhjaliku kirjelduse.</w:t>
            </w:r>
          </w:p>
        </w:tc>
      </w:tr>
    </w:tbl>
    <w:p w14:paraId="0A37501D" w14:textId="5B1DE2AB" w:rsidR="00931C32" w:rsidRPr="001F1865" w:rsidRDefault="00931C32" w:rsidP="06503780">
      <w:pPr>
        <w:pStyle w:val="Titlelevel2"/>
        <w:spacing w:before="0"/>
        <w:rPr>
          <w:rFonts w:ascii="Times New Roman" w:hAnsi="Times New Roman" w:cs="Times New Roman"/>
          <w:b/>
          <w:sz w:val="24"/>
          <w:lang w:val="en-GB"/>
        </w:rPr>
      </w:pPr>
    </w:p>
    <w:p w14:paraId="6A05A809"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21FE8BB6" w14:textId="0765936F" w:rsidR="00931C32" w:rsidRPr="00DB0A49" w:rsidRDefault="4E51ABE0" w:rsidP="00DB0A49">
      <w:pPr>
        <w:spacing w:after="240"/>
        <w:rPr>
          <w:rFonts w:ascii="Times New Roman" w:eastAsia="Times New Roman" w:hAnsi="Times New Roman" w:cs="Times New Roman"/>
          <w:sz w:val="24"/>
        </w:rPr>
      </w:pPr>
      <w:r>
        <w:rPr>
          <w:rFonts w:ascii="Times New Roman" w:hAnsi="Times New Roman"/>
          <w:b/>
          <w:sz w:val="24"/>
        </w:rPr>
        <w:t>Vorm EU MR1. Tururisk alternatiivse standardmeetodi (ASA) kohaselt</w:t>
      </w:r>
      <w:r>
        <w:rPr>
          <w:rFonts w:ascii="Times New Roman" w:hAnsi="Times New Roman"/>
          <w:sz w:val="24"/>
        </w:rPr>
        <w:t>: muutumatu vorming</w:t>
      </w:r>
    </w:p>
    <w:p w14:paraId="328A3EAE" w14:textId="50FF69DE"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sz w:val="24"/>
        </w:rPr>
        <w:t>Finantsinstitutsioonid avalikustavad määruse (EL) nr 575/2013 artiklis 445 osutatud teabe, järgides käesolevas lisas allpool esitatud juhiseid, et täita XXIX lisas esitatud vorm EU MR1.</w:t>
      </w:r>
      <w:r>
        <w:rPr>
          <w:rFonts w:ascii="Times New Roman" w:hAnsi="Times New Roman"/>
          <w:color w:val="000000" w:themeColor="text1"/>
          <w:sz w:val="24"/>
        </w:rPr>
        <w:t xml:space="preserve"> </w:t>
      </w:r>
      <w:r>
        <w:rPr>
          <w:rFonts w:ascii="Times New Roman" w:hAnsi="Times New Roman"/>
          <w:color w:val="auto"/>
          <w:sz w:val="24"/>
        </w:rPr>
        <w:t>Finantsinstitutsioonid ei esita selles vormis andmeid oma sisemise riski ülekandmise üksuse kohta.</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Viited õigussätetele ja juhised</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Rea number</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Selgitus</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6F2DD2F7"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Tundlikkusel põhinev meetod</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vastavalt määruse (EL) nr 575/2013 III osa IV jaotise 1a peatüki 2. jaole.</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Intressimäära üldrisk (GIRR)</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vastavalt määruse (EL) nr 575/2013 artikli 325c lõike 2 punktile a ja artikli 325d lõike 1 punktile i.</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Aktsiarisk (EQU)</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lastRenderedPageBreak/>
              <w:t>vastavalt määruse (EL) nr 575/2013 artikli 325c lõike 2 punktile a ja artikli 325d lõike 1 punktile v.</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lastRenderedPageBreak/>
              <w:t>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Kaubarisk (COM)</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vastavalt määruse (EL) nr 575/2013 artikli 325c lõike 2 punktile a ja artikli 325d lõike 1 punktile vi.</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Valuutarisk (FX)</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vastavalt määruse (EL) nr 575/2013 artikli 325c lõike 2 punktile a ja artikli 325d lõike 1 punktile vii.</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Muu kui väärtpaberistamise krediidimarginaali risk (CSR)</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vastavalt määruse (EL) nr 575/2013 artikli 325c lõike 2 punktile a ja artikli 325d lõike 1 punktile ii.</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Alternatiivsesse korrelatsioonil põhinevasse kauplemisportfelli lisamata väärtpaberistamise krediidimarginaali risk (non–ACTP CSR)</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vastavalt määruse (EL) nr 575/2013 artikli 325c lõike 2 punktile a ja artikli 325d lõike 1 punktile iii.</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Alternatiivsesse korrelatsioonil põhinevasse kauplemisportfelli lisatud väärtpaberistamise krediidimarginaali risk (ACTP CSR)</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vastavalt määruse (EL) nr 575/2013 artikli 325c lõike 2 punktile a ja artikli 325d lõike 1 punktile iv.</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Makseviivituse risk</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vastavalt määruse (EL) nr 575/2013 III osa IV jaotise 1a peatüki 5. jaole.</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Muu kui väärtpaberistamine</w:t>
            </w:r>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vastavalt määruse (EL) nr 575/2013 artikli 325c lõike 2 punktile b ja III osa IV jaotise 1.a peatüki 5. jao 1. alajaole.</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Alternatiivsesse korrelatsioonil põhinevasse kauplemisportfelli lisamata väärtpaberistamine (non–ACTP)</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vastavalt määruse (EL) nr 575/2013 artikli 325c lõike 2 punktile b ja III osa IV jaotise 1.a peatüki 5. jao 2. alajaole.</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Alternatiivsesse korrelatsioonil põhinevasse kauplemisportfelli lisatud väärtpaberistamine (ACTP)</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vastavalt määruse (EL) nr 575/2013 artikli 325c lõike 2 punktile b ja III osa IV jaotise 1.a peatüki 5. jao 3. alajaole.</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lastRenderedPageBreak/>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Jääkrisk</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Määruse (EL) nr 575/2013 III osa IV jaotise 1a peatüki 4. jagu.</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Eksootiline alusvara</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vastavalt määruse (EL) nr 575/2013 artikli 325c lõike 2 punktile c ja artikli 325u lõike 2 punktile a.</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Muud jääkriskid</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vastavalt määruse (EL) nr 575/2013 artikli 325c lõike 2 punktile c ja artikli 325u lõike 2 punktile b.</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Omavahendite nõuded kokku (OFR)</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Ridade 1–EU11b summa.</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Veeru täht</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Selgitus</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Omavahendite nõuded kokku (OFR)</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rFonts w:ascii="Times New Roman" w:eastAsia="Times New Roman" w:hAnsi="Times New Roman" w:cs="Times New Roman"/>
                <w:sz w:val="24"/>
              </w:rPr>
            </w:pPr>
            <w:r>
              <w:rPr>
                <w:rFonts w:ascii="Times New Roman" w:hAnsi="Times New Roman"/>
                <w:sz w:val="24"/>
              </w:rPr>
              <w:t>Määruse (EL) nr 575/2013 artikli 438 punktis d osutatud omavahendite nõuete avalikustamine, kusjuures nõuded arvutatakse ridadel 1 kuni EU 11b esitatud summade summana.</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Tabel EU MRB. Kvalitatiivse teabe avalikustamise nõuded alternatiivset sisemudeli meetodit kasutavatele finantsinstitutsioonidele</w:t>
      </w:r>
      <w:r>
        <w:rPr>
          <w:rFonts w:ascii="Times New Roman" w:hAnsi="Times New Roman"/>
          <w:sz w:val="24"/>
        </w:rPr>
        <w:t>: vabas vormis tekst</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Finantsinstitutsioonid avalikustavad määruse (EL) nr 575/2013 artikli 455 punktides a, b, c, d, e ja f osutatud teabe, järgides käesolevas lisas allpool esitatud juhiseid, et täita XXIX lisas esitatud tabel EU MRB.</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Viited õigussätetele ja juhised</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Rea number</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Selgitus</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Määruse (EL) nr 575/2013 artikli 455 punktis 1a osutatud alternatiivseid tururiski sisemudeleid käsitleva teabe avalikustamisel esitavad finantsinstitutsioonid järgmise teabe:</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rFonts w:ascii="Times New Roman" w:hAnsi="Times New Roman" w:cs="Times New Roman"/>
                <w:sz w:val="24"/>
              </w:rPr>
            </w:pPr>
            <w:r>
              <w:rPr>
                <w:rFonts w:ascii="Times New Roman" w:hAnsi="Times New Roman"/>
                <w:sz w:val="24"/>
              </w:rPr>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finantsinstitutsiooni kauplemistegevuse eesmärgid ja finantsinstitutsiooni tururiskide tuvastamiseks, mõõtmiseks, jälgimiseks ja kontrollimiseks rakendatud protsessid. Selle teabe esitamiseks võib kasutada ristviidet tabelile EU MRA;</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rFonts w:ascii="Times New Roman" w:hAnsi="Times New Roman" w:cs="Times New Roman"/>
                <w:sz w:val="24"/>
              </w:rPr>
            </w:pPr>
            <w:r>
              <w:rPr>
                <w:rFonts w:ascii="Times New Roman" w:hAnsi="Times New Roman"/>
                <w:sz w:val="24"/>
              </w:rPr>
              <w:lastRenderedPageBreak/>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artikli 104 lõikes 1 osutatud põhimõtted, mille kohaselt määratakse kindlaks, millised positsioonid loetakse kauplemisportfelli kuuluvaks. Selle teabe esitamiseks võib kasutada ristviidet tabelile EU MRA;</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tururiski juhtimise funktsiooni ja haldamise struktuur ja korraldus.</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 (B) Kauplemisüksuse struktuuri ja AIMA kauplemisüksusesse kuuluvate instrumentide liikide üldine kirjeldus vastavalt määruse (EL) nr 575/2013 artikli 455 lõike 1 punktidele c ja d.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Määruse (EL) nr 575/2013 artikli 455 lõike 1 punktis c osutatud teabe avalikustamisel esitavad finantsinstitutsioonid artiklis 325az osutatud sisemudelitega hõlmatud kauplemisüksuste struktuuri üldise kirjelduse, sealhulgas iga üksuse äristrateegia, lubatud instrumentide ja selle üksusega seotud peamiste riskiliikide üldise kirjelduse.</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Määruse (EL) nr 575/2013 artikli 455 lõike 1 punktis d osutatud teabe avalikustamisel esitavad finantsinstitutsioonid üldise ülevaate kauplemisportfelli positsioonidest, mis ei ole hõlmatud artiklis 325az osutatud sisemudelitega, sealhulgas üksuse struktuuri ja artikli 104b kohaselt üksustesse või nende kategooriatesse kuuluvate instrumentide liikide üldise kirjelduse.</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B) C) E) Konsolideeritud tasandil kasutatavate mudelite põhiomaduste, sealhulgas mudelite valideerimisel ja modelleerimisel kasutatud lähenemisviiside kirjeldus.</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rFonts w:ascii="Times New Roman" w:hAnsi="Times New Roman" w:cs="Times New Roman"/>
                <w:sz w:val="24"/>
              </w:rPr>
            </w:pPr>
            <w:r>
              <w:rPr>
                <w:rFonts w:ascii="Times New Roman" w:hAnsi="Times New Roman"/>
                <w:sz w:val="24"/>
              </w:rPr>
              <w:t>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430624BC"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Määruse (EL) nr 575/2013 artikli 455 lõike 1 punkti f alapunktis i osutatud teabe avalikustamisel esitavad finantsinstitutsioonid järgmise teabe: määruse (EL) nr 575/2013 artiklis 325az osutatud selliste erinevate sisemudelite kohaldamisala, põhiomadused ja peamised modelleerimisvalikud, mida kasutatakse riskipositsioonide arvutamiseks konsolideeritud tasandil kasutatavate peamiste mudelite puhul, ning selgitus selle kohta, mil määral need sisemudelid esindavad kõiki konsolideeritud tasandil kasutatud mudeleid, sealhulgas vajaduse korral: i) kapitalinõuete määruse artikli 325ba lõike 1 punktis a osutatud eeldatava puudujäägi arvutamiseks kasutatud modelleerimismeetodi üldine kirjeldus, sealhulgas andmete ajakohastamise sagedus.</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Määruse (EL) nr 575/2013 artikli 455 lõike 1 punkti f alapunktis ii osutatud teabe avalikustamisel esitavad finantsinstitutsioonid asjakohasel juhul järgmise teabe: määruse (EL) nr 575/2013 artikli 325ba lõike 1 punktis b osutatud stressistsenaariumi riskinäitaja arvutamiseks kasutatud metoodika üldine kirjeldus, v.a määruse (EL) nr 575/2013 artikli 325bk lõikes 3 sätestatud spetsifikatsioonid.</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t>D) Makseviivitusriski omavahendite nõude arvutamiseks kasutatud sisemudelite kirjeldus</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Määruse (EL) nr 575/2013 artikli 455 lõike 1 punkti f alapunktis iii osutatud teabe avalikustamisel esitavad finantsinstitutsioonid asjakohasel juhul järgmise teabe: määruse (EL) nr 575/2013 artikli 325ba lõikes 2 osutatud makseviivitusriski omavahendite nõude arvutamiseks kasutatud modelleerimismeetodi üldine kirjeldus, sealhulgas andmete ajakohastamise sagedus.</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Vorm EU MR2. Tururisk alternatiivse sisemudeli meetodi (AIMA) kohaselt:</w:t>
      </w:r>
      <w:r>
        <w:rPr>
          <w:rFonts w:ascii="Times New Roman" w:hAnsi="Times New Roman"/>
          <w:color w:val="auto"/>
          <w:sz w:val="24"/>
        </w:rPr>
        <w:t xml:space="preserve"> muutumatu vorming</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Finantsinstitutsioonid avalikustavad määruse (EL) nr 575/2013 artikli 455 punktis 2 osutatud teabe, järgides käesolevas lisas allpool esitatud juhiseid, et täita XXIX lisas esitatud vorm EU MR2. </w:t>
      </w:r>
      <w:r>
        <w:rPr>
          <w:rFonts w:ascii="Times New Roman" w:hAnsi="Times New Roman"/>
          <w:color w:val="auto"/>
          <w:sz w:val="24"/>
        </w:rPr>
        <w:t>Finantsinstitutsioonid ei esita selles vormis andmeid oma sisemise riski ülekandmise üksuse kohta.</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Viited õigussätetele ja juhised</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Rea number</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Selgitus</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Piiramata eeldatava puudujäägi näitaja (UESt)</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Avalikustatav väärtus arvutatakse kogu portfelli tasandil, mitte määruse (EL) nr 575/2013 artiklite 325bb ja 325bc kohase laia riskitegurite kategooria tasandil.</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Piiramata eeldatava puudujäägi näitaja intressiriskitegurite kategooria puhul</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Avalikustatav väärtus arvutatakse intressiriskikategooria riskitegurite puhul vastavalt määruse (EL) nr 575/2013 artiklitele 325bb, 325bc ja 325bd.</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5B4F5718"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Piiramata eeldatava puudujäägi näitaja aktsiariskitegurite kategooria puhul</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Avalikustatav väärtus arvutatakse aktsiariskikategooria riskitegurite puhul vastavalt määruse (EL) nr 575/2013 artiklitele 325bb, 325bc ja 325bd.</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Piiramata eeldatava puudujäägi näitaja kaubariskitegurite kategooria puhul</w:t>
            </w:r>
            <w:r>
              <w:rPr>
                <w:rFonts w:ascii="Times New Roman" w:hAnsi="Times New Roman"/>
                <w:sz w:val="24"/>
              </w:rPr>
              <w:t xml:space="preserve"> </w:t>
            </w:r>
          </w:p>
          <w:p w14:paraId="70BA8462" w14:textId="47AECB7A" w:rsidR="00B86E1A" w:rsidRPr="00DB0A49" w:rsidRDefault="05EA5842" w:rsidP="140F9DE1">
            <w:pPr>
              <w:rPr>
                <w:rFonts w:ascii="Times New Roman" w:eastAsia="Times New Roman" w:hAnsi="Times New Roman" w:cs="Times New Roman"/>
                <w:sz w:val="24"/>
              </w:rPr>
            </w:pPr>
            <w:r>
              <w:rPr>
                <w:rFonts w:ascii="Times New Roman" w:hAnsi="Times New Roman"/>
                <w:sz w:val="24"/>
              </w:rPr>
              <w:t xml:space="preserve"> Avalikustatav väärtus arvutatakse kaubariskikategooria riskitegurite puhul vastavalt määruse (EL) nr 575/2013 artiklitele 325bb, 325bc ja 325bd.</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Piiramata eeldatava puudujäägi näitaja valuutariskitegurite kategooria puhul</w:t>
            </w:r>
          </w:p>
          <w:p w14:paraId="1880B223" w14:textId="144F01DF" w:rsidR="002F3022" w:rsidRPr="00DB0A49" w:rsidRDefault="1F3BA536" w:rsidP="140F9DE1">
            <w:pPr>
              <w:rPr>
                <w:rFonts w:ascii="Times New Roman" w:eastAsia="Times New Roman" w:hAnsi="Times New Roman" w:cs="Times New Roman"/>
                <w:sz w:val="24"/>
              </w:rPr>
            </w:pPr>
            <w:r>
              <w:rPr>
                <w:rFonts w:ascii="Times New Roman" w:hAnsi="Times New Roman"/>
                <w:sz w:val="24"/>
              </w:rPr>
              <w:t>Avalikustatav väärtus arvutatakse valuutariskikategooria riskitegurite puhul vastavalt määruse (EL) nr 575/2013 artiklitele 325bb, 325bc ja 325bd.</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4C0353A0" w:rsidR="00234F41" w:rsidRPr="00AA44B0" w:rsidRDefault="00234F41" w:rsidP="00234F41">
            <w:pPr>
              <w:rPr>
                <w:rFonts w:ascii="Times New Roman" w:eastAsia="Times New Roman" w:hAnsi="Times New Roman" w:cs="Times New Roman"/>
                <w:sz w:val="24"/>
              </w:rPr>
            </w:pPr>
            <w:r>
              <w:rPr>
                <w:rFonts w:ascii="Times New Roman" w:hAnsi="Times New Roman"/>
                <w:b/>
                <w:sz w:val="24"/>
              </w:rPr>
              <w:t>Piiramata eeldatava puudujäägi näitaja krediidimarginaaliriskitegurite kategooria</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Avalikustatav väärtus arvutatakse krediidimarginaaliriski kategooria riskitegurite puhul vastavalt määruse (EL) nr 575/2013 artiklitele 325bb, 325bc ja 325bd.</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36AC11BE" w:rsidR="00AA44B0" w:rsidRPr="00AA44B0" w:rsidRDefault="471075D0" w:rsidP="140F9DE1">
            <w:pPr>
              <w:rPr>
                <w:rFonts w:ascii="Times New Roman" w:eastAsia="Times New Roman" w:hAnsi="Times New Roman" w:cs="Times New Roman"/>
                <w:sz w:val="24"/>
              </w:rPr>
            </w:pPr>
            <w:r>
              <w:rPr>
                <w:rFonts w:ascii="Times New Roman" w:hAnsi="Times New Roman"/>
                <w:b/>
                <w:sz w:val="24"/>
              </w:rPr>
              <w:t xml:space="preserve">Piiramata eeldatava puudujäägi näitaja summa laiade riskitegurite kategooriate puhul </w:t>
            </w:r>
            <w:r>
              <w:rPr>
                <w:rFonts w:ascii="Times New Roman" w:hAnsi="Times New Roman"/>
                <w:sz w:val="24"/>
              </w:rPr>
              <w:t>(∑UES</w:t>
            </w:r>
            <w:r>
              <w:rPr>
                <w:rFonts w:ascii="Times New Roman" w:hAnsi="Times New Roman"/>
                <w:sz w:val="24"/>
                <w:vertAlign w:val="superscript"/>
              </w:rPr>
              <w:t>i</w:t>
            </w:r>
            <w:r>
              <w:rPr>
                <w:rFonts w:ascii="Times New Roman" w:hAnsi="Times New Roman"/>
                <w:sz w:val="24"/>
                <w:vertAlign w:val="subscript"/>
              </w:rPr>
              <w:t>t</w:t>
            </w:r>
            <w:r>
              <w:rPr>
                <w:rFonts w:ascii="Times New Roman" w:hAnsi="Times New Roman"/>
                <w:sz w:val="24"/>
              </w:rPr>
              <w:t>)</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Ridade 2–6 summa.</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Eeldatava puudujäägi näitaja (ES</w:t>
            </w:r>
            <w:r>
              <w:rPr>
                <w:rFonts w:ascii="Times New Roman" w:hAnsi="Times New Roman"/>
                <w:b/>
                <w:sz w:val="24"/>
                <w:vertAlign w:val="subscript"/>
              </w:rPr>
              <w:t>t</w:t>
            </w:r>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t>Eeldatava puudujäägi riskinäitaja arvutatakse vastavalt määruse (EL) nr 575/2013 artikli 325ba lõike 1 punkti a alapunktile i.</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lastRenderedPageBreak/>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Stressistsenaariumi riskinäitaja (SS</w:t>
            </w:r>
            <w:r>
              <w:rPr>
                <w:rFonts w:ascii="Times New Roman" w:hAnsi="Times New Roman"/>
                <w:b/>
                <w:sz w:val="24"/>
                <w:vertAlign w:val="subscript"/>
              </w:rPr>
              <w:t>t</w:t>
            </w:r>
            <w:r>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Stressistsenaariumi riskinäitaja arvutatakse vastavalt määruse (EL) nr 575/2013 artikli 325ba lõike 1 punkti a alapunktile ii.</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Makseviivituse riski omavahendite nõue (DRC</w:t>
            </w:r>
            <w:r>
              <w:rPr>
                <w:rFonts w:ascii="Times New Roman" w:hAnsi="Times New Roman"/>
                <w:b/>
                <w:sz w:val="24"/>
                <w:vertAlign w:val="subscript"/>
              </w:rPr>
              <w:t>t</w:t>
            </w:r>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Makseviivituse riski omavahendite nõue arvutatakse vastavalt määruse (EL) nr 575/2013 artikli 325ba lõike 2 punktile a.</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r>
              <w:rPr>
                <w:rFonts w:ascii="Times New Roman" w:hAnsi="Times New Roman"/>
                <w:b/>
                <w:sz w:val="24"/>
              </w:rPr>
              <w:t>PLAaddon</w:t>
            </w:r>
          </w:p>
          <w:p w14:paraId="72CEFFB9" w14:textId="21DFFB57" w:rsidR="00234F41" w:rsidRPr="00DB0A49" w:rsidRDefault="471075D0" w:rsidP="140F9DE1">
            <w:pPr>
              <w:rPr>
                <w:rFonts w:ascii="Times New Roman" w:eastAsia="Times New Roman" w:hAnsi="Times New Roman" w:cs="Times New Roman"/>
                <w:sz w:val="24"/>
              </w:rPr>
            </w:pPr>
            <w:r>
              <w:rPr>
                <w:rFonts w:ascii="Times New Roman" w:hAnsi="Times New Roman"/>
                <w:sz w:val="24"/>
              </w:rPr>
              <w:t>See väärtus arvutatakse vastavalt määruse (EL) nr 575/2013 artikli 325ba lõikele 3 koostoimes määruse (EL) 2022/2059 artikli 10 lõikega 1.</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OFR bilansilise ja bilansivälise tegevuse puhul pluss PLAaddon (AIMA + PLAaddon)</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See väärtus arvutatakse vastavalt määruse (EL) 2022/2059 artikli 10 lõikele 1. Lisatakse rea 11 väärtus.</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ASA OFR kokku kauplemisüksuste puhul, kellel ei ole õigust kasutada AIMAt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See väärtus arvutatakse vastavalt määruse (EL) 575/2013 artikli 325ba lõikele 3.</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OFRi erinevus AIMA ja ASA kohaselt AIMA kauplemisüksuste puhul (AIMA-ASAaima)</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See väärtus arvutatakse AIMA kauplemisüksuste AIMA omavahendite nõuete (määruse (EL) 2022/2059 artikli 10 lõige 1) ja kõigi AIMA kauplemisüksuste ASA omavahendite nõuete (portfellivaade)(määruse (EL) 2022/2059 artikli 10 lõige 1) vahena.</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ASA OFR kõigi kauplemisüksuste puhul (sealhulgas need, mille suhtes kohaldatakse AIMAt) (ASAall portfolio)</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See väärtus arvutatakse vastavalt määruse (EL) 575/2013 artikli 325ba lõikele 3.</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AIMA omavahendite nõuded kokku (TotalAIMA)</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See väärtus arvutatakse vastavalt määruse (EL) 575/2013 artikli 325ba lõikele 3.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Veeru täht</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Selgitus</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02318017" w:rsidR="00234F41" w:rsidRPr="00DB0A49" w:rsidRDefault="00234F41" w:rsidP="00234F41">
            <w:pPr>
              <w:rPr>
                <w:rFonts w:ascii="Times New Roman" w:hAnsi="Times New Roman" w:cs="Times New Roman"/>
                <w:sz w:val="24"/>
              </w:rPr>
            </w:pPr>
            <w:r>
              <w:rPr>
                <w:rFonts w:ascii="Times New Roman" w:hAnsi="Times New Roman"/>
                <w:sz w:val="24"/>
              </w:rPr>
              <w:t>Viimase riskinäitaja [read 1–10] või omavahendite nõuete [read 11–16] avalikustamine jooksva kvartali seisuga.</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Riskinäitaja [read 1–10] keskmine väärtus viimase 60 tööpäeva jooksul [read 1–9] või eelneva 12 nädala jooksul [rida 10] jooksva kvartali seisuga.</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Kõrgeim riskinäitaja viimase 60 tööpäeva jooksul [read 1–6] jooksva kvartali seisuga.</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Madalaim riskinäitaja viimase 60 tööpäeva jooksul [read 1–6] jooksva kvartali seisuga.</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Järeltestimise kohaste ületamiste arv [rida 1]</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Sellel andmeväljal esitatav ületamiste arv on arv, mida kasutatakse lisandi kindlaksmääramiseks vastavalt määruse (EL) nr 575/2013 artikli 325bf lõike 6 punktis b esitatud tabelile 3. Arvesse ei võeta ületamisi, mis on välja jäetud pädeva asutuse loal.</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Viimane riskinäitaja [read 1–10] või omavahendite nõuded [read 11–16] eelmise kvartali seisuga.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lastRenderedPageBreak/>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Riskinäitaja [read 1–10] keskmine väärtus viimase 60 tööpäeva jooksul [read 1–9] või eelneva 12 nädala jooksul [rida 10] eelmise kvartali seisuga.</w:t>
            </w:r>
          </w:p>
        </w:tc>
      </w:tr>
    </w:tbl>
    <w:p w14:paraId="60061E4C" w14:textId="6CE0B0D3" w:rsidR="00AA4A0F" w:rsidRPr="001F1865" w:rsidRDefault="00AA4A0F" w:rsidP="00931C32">
      <w:pPr>
        <w:pStyle w:val="Titlelevel2"/>
        <w:spacing w:before="0"/>
        <w:rPr>
          <w:rFonts w:ascii="Times New Roman" w:hAnsi="Times New Roman" w:cs="Times New Roman"/>
          <w:b/>
          <w:color w:val="auto"/>
          <w:sz w:val="24"/>
          <w:lang w:val="en-GB"/>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Pr>
          <w:rFonts w:ascii="Times New Roman" w:hAnsi="Times New Roman"/>
          <w:b/>
          <w:color w:val="auto"/>
          <w:sz w:val="24"/>
        </w:rPr>
        <w:t>Vorm EU MR 3. Tururisk lihtsustatud standardmeetodi (SSA) kohaselt</w:t>
      </w:r>
      <w:r>
        <w:rPr>
          <w:rFonts w:ascii="Times New Roman" w:hAnsi="Times New Roman"/>
          <w:color w:val="auto"/>
          <w:sz w:val="24"/>
        </w:rPr>
        <w:t>: muutumatu vorming</w:t>
      </w:r>
    </w:p>
    <w:p w14:paraId="6AC491D2" w14:textId="6E61C37E"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Finantsinstitutsioonid avalikustavad määruse (EL) nr 575/2013 artiklis 445 osutatud teabe, järgides käesolevas lisas allpool esitatud juhiseid, et täita IT-lahenduste XXIX lisas esitatud vorm EU MR 3.</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Viited õigussätetele ja juhised</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Rea number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Selgitus</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400BB292" w:rsidR="00AA4A0F" w:rsidRPr="001F1865" w:rsidRDefault="00AA4A0F" w:rsidP="00DE090B">
            <w:pPr>
              <w:spacing w:after="240"/>
              <w:rPr>
                <w:rFonts w:ascii="Times New Roman" w:hAnsi="Times New Roman" w:cs="Times New Roman"/>
                <w:b/>
                <w:sz w:val="24"/>
              </w:rPr>
            </w:pPr>
            <w:r>
              <w:rPr>
                <w:rFonts w:ascii="Times New Roman" w:hAnsi="Times New Roman"/>
                <w:b/>
                <w:sz w:val="24"/>
              </w:rPr>
              <w:t>Intressirisk (üldine ja spetsiifiline)</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Kauplemisportfelli kuuluvate kaubeldavate võlainstrumentide positsioonide üldine ja spetsiifiline risk vastavalt määruse (EL) nr 575/2013 III osa IV jaotise 2. peatükile, välja arvatud väärtpaberistamisega seotud spetsiifiline risk.</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Aktsiarisk (üldine ja spetsiifiline)</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Kauplemisportfelli kuuluvates omakapitaliinstrumentides olevate positsioonide üldine ja spetsiifiline risk vastavalt määruse (EL) nr 575/2013 III osa IV jaotise 2. peatükile.</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Kaubarisk</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Kaubapositsioonide risk vastavalt määruse (EL) nr 575/2013 III osa IV jaotise 4. peatükile.</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Valuutarisk</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Välisvaluuta positsioonide risk vastavalt määruse (EL) nr 575/2013 III osa IV jaotise 3. peatükile.</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Väärtpaberistamine (spetsiifiline risk)</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Kauplemisportfelli kuuluvate väärtpaberistamise positsioonide spetsiifiline risk vastavalt määruse (EL) nr 575/2013 III osa IV jaotise 2. peatüki artiklitele 337 ja 338.</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1BCE5812"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OFR S-SA kokku</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 xml:space="preserve">Määruse (EL) nr 575/2013 artikli 438 punktis d osutatud omavahendite nõuete avalikustamine, kusjuures need arvutatakse veeru a puhul ridadel </w:t>
            </w:r>
            <w:r>
              <w:rPr>
                <w:rFonts w:ascii="Times New Roman" w:hAnsi="Times New Roman"/>
                <w:sz w:val="24"/>
              </w:rPr>
              <w:lastRenderedPageBreak/>
              <w:t>1–5 esitatud summade summana ning veergude b, c ja d puhul ridadel 1–4 esitatud summade summana.</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lastRenderedPageBreak/>
              <w:t>Veeru täht</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Selgitus</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Outright-tooted</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Positsioonid toodetes, mis ei ole valikulised ja mis ei ole hõlmatud regulatiivsete tehniliste standardite meetoditega, mis käsitlevad optsioonide muid riske kui deltarisk tururiski standardmeetodi puhul</w:t>
            </w:r>
            <w:r w:rsidRPr="00DB0A49">
              <w:rPr>
                <w:rFonts w:ascii="Times New Roman" w:eastAsia="Calibri" w:hAnsi="Times New Roman" w:cs="Times New Roman"/>
                <w:szCs w:val="22"/>
                <w:vertAlign w:val="superscript"/>
              </w:rPr>
              <w:footnoteReference w:id="3"/>
            </w:r>
            <w:r>
              <w:rPr>
                <w:rFonts w:ascii="Times New Roman" w:hAnsi="Times New Roman"/>
                <w:sz w:val="24"/>
              </w:rPr>
              <w:t>.</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Optsioonid</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Lihtsustatud meetod</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Määruse (EL) nr 575/2013 III osa IV jaotise 2. peatüki artikli 329 lõikes 3 määratletud optsioonid või ostutähed, mille puhul finantsinstitutsioonid arvutavad muu kui deltariskiga seotud omavahendite nõuded lihtsustatud meetodi abil</w:t>
            </w:r>
            <w:r w:rsidRPr="00DB0A49">
              <w:rPr>
                <w:rStyle w:val="FootnoteReference"/>
                <w:rFonts w:ascii="Times New Roman" w:eastAsia="Times New Roman" w:hAnsi="Times New Roman" w:cs="Times New Roman"/>
              </w:rPr>
              <w:footnoteReference w:id="4"/>
            </w:r>
            <w:r>
              <w:rPr>
                <w:rFonts w:ascii="Times New Roman" w:hAnsi="Times New Roman"/>
                <w:sz w:val="24"/>
              </w:rPr>
              <w:t>.</w:t>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Täiustatud deltameetod</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Määruse (EL) nr 575/2013 III osa IV jaotise 2. peatüki artikli 329 lõikes 3 määratletud kauplemisportfelli kuuluvad optsioonid või ostutähed, mille puhul finantsinstitutsioonid arvutavad muu kui deltariskiga seotud omavahendite nõuded täiustatud deltameetodi abil</w:t>
            </w:r>
            <w:r w:rsidRPr="00DB0A49">
              <w:rPr>
                <w:rStyle w:val="FootnoteReference"/>
                <w:rFonts w:ascii="Times New Roman" w:eastAsia="Times New Roman" w:hAnsi="Times New Roman" w:cs="Times New Roman"/>
              </w:rPr>
              <w:footnoteReference w:id="5"/>
            </w:r>
            <w:r>
              <w:rPr>
                <w:rFonts w:ascii="Times New Roman" w:hAnsi="Times New Roman"/>
                <w:sz w:val="24"/>
              </w:rPr>
              <w:t>.</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Stsenaariumimeetod</w:t>
            </w:r>
          </w:p>
          <w:p w14:paraId="2B78A76A" w14:textId="583FBB66"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Määruse (EL) nr 575/2013 III osa IV jaotise 2. peatüki artikli 329 lõikes 3 määratletud kauplemisportfelli kuuluvad optsioonid või ostutähed, mille puhul finantsinstitutsioonid arvutavad muu kui deltariskiga seotud omavahendite nõuded täiustatud stsenaariumimeetodi abil</w:t>
            </w:r>
            <w:r w:rsidRPr="00DB0A49">
              <w:rPr>
                <w:rStyle w:val="FootnoteReference"/>
                <w:rFonts w:ascii="Times New Roman" w:eastAsia="Times New Roman" w:hAnsi="Times New Roman" w:cs="Times New Roman"/>
              </w:rPr>
              <w:footnoteReference w:id="6"/>
            </w:r>
            <w:r>
              <w:rPr>
                <w:rFonts w:ascii="Times New Roman" w:hAnsi="Times New Roman"/>
                <w:sz w:val="24"/>
              </w:rPr>
              <w:t>.</w:t>
            </w:r>
          </w:p>
        </w:tc>
      </w:tr>
    </w:tbl>
    <w:p w14:paraId="79592B57" w14:textId="77777777" w:rsidR="00931C32" w:rsidRPr="001F1865" w:rsidRDefault="00931C32" w:rsidP="00931C32">
      <w:pPr>
        <w:pStyle w:val="Titlelevel2"/>
        <w:spacing w:before="0"/>
        <w:rPr>
          <w:rFonts w:ascii="Times New Roman" w:hAnsi="Times New Roman" w:cs="Times New Roman"/>
          <w:b/>
          <w:color w:val="auto"/>
          <w:sz w:val="24"/>
          <w:lang w:val="en-GB"/>
        </w:rPr>
      </w:pPr>
    </w:p>
    <w:sectPr w:rsidR="00931C32" w:rsidRPr="001F1865">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t>1</w:t>
        </w:r>
        <w:r w:rsidR="006E3585">
          <w:t>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65917F40" w:rsidR="00931C32" w:rsidRPr="00222AAB" w:rsidRDefault="00931C32" w:rsidP="007F0B68">
      <w:pPr>
        <w:pStyle w:val="FootnoteText"/>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F03F27">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3">
    <w:p w14:paraId="6651B5AC" w14:textId="77777777" w:rsidR="00AA4A0F" w:rsidRPr="008158FF" w:rsidRDefault="00AA4A0F" w:rsidP="00AA4A0F">
      <w:pPr>
        <w:pStyle w:val="FootnoteText"/>
      </w:pPr>
      <w:r>
        <w:footnoteRef/>
      </w:r>
      <w:r>
        <w:tab/>
      </w:r>
      <w:r>
        <w:t>Nagu määratletud komisjoni 12. märtsi 2014. aasta delegeeritud määruses (EL) nr 528/2014, millega täiendatakse Euroopa Parlamendi ja nõukogu määrust (EL) nr 575/2013 seoses regulatiivsete tehniliste standarditega, milles käsitletakse optsioonide muid riske kui deltarisk tururiski standardmeetodi puhul (ELT L 148, 20.5.2014, lk 29).</w:t>
      </w:r>
    </w:p>
  </w:footnote>
  <w:footnote w:id="4">
    <w:p w14:paraId="67B37F98" w14:textId="77777777" w:rsidR="00AA4A0F" w:rsidRPr="00222AAB" w:rsidRDefault="00AA4A0F" w:rsidP="00AA4A0F">
      <w:pPr>
        <w:pStyle w:val="FootnoteText"/>
      </w:pPr>
      <w:r>
        <w:rPr>
          <w:rStyle w:val="FootnoteReference"/>
          <w:rFonts w:cstheme="minorHAnsi"/>
        </w:rPr>
        <w:footnoteRef/>
      </w:r>
      <w:r>
        <w:tab/>
      </w:r>
      <w:r>
        <w:t>Nagu määratletud komisjoni 12. märtsi 2014. aasta delegeeritud määruses (EL) nr 528/2014, millega täiendatakse Euroopa Parlamendi ja nõukogu määrust (EL) nr 575/2013 seoses regulatiivsete tehniliste standarditega, milles käsitletakse optsioonide muid riske kui deltarisk tururiski standardmeetodi puhul (ELT L 148, 20.5.2014, lk 29).</w:t>
      </w:r>
    </w:p>
  </w:footnote>
  <w:footnote w:id="5">
    <w:p w14:paraId="6C32CA93" w14:textId="77777777" w:rsidR="00AA4A0F" w:rsidRPr="00222AAB" w:rsidRDefault="00AA4A0F" w:rsidP="00AA4A0F">
      <w:pPr>
        <w:pStyle w:val="FootnoteText"/>
      </w:pPr>
      <w:r>
        <w:rPr>
          <w:rStyle w:val="FootnoteReference"/>
          <w:rFonts w:cstheme="minorHAnsi"/>
        </w:rPr>
        <w:footnoteRef/>
      </w:r>
      <w:r>
        <w:tab/>
      </w:r>
      <w:r>
        <w:t>Nagu määratletud komisjoni 12. märtsi 2014. aasta delegeeritud määruses (EL) nr 528/2014, millega täiendatakse Euroopa Parlamendi ja nõukogu määrust (EL) nr 575/2013 seoses regulatiivsete tehniliste standarditega, milles käsitletakse optsioonide muid riske kui deltarisk tururiski standardmeetodi puhul (ELT L 148, 20.5.2014, lk 29).</w:t>
      </w:r>
    </w:p>
  </w:footnote>
  <w:footnote w:id="6">
    <w:p w14:paraId="739259DE" w14:textId="77777777" w:rsidR="00AA4A0F" w:rsidRPr="00222AAB" w:rsidRDefault="00AA4A0F" w:rsidP="00AA4A0F">
      <w:pPr>
        <w:pStyle w:val="FootnoteText"/>
      </w:pPr>
      <w:r>
        <w:rPr>
          <w:rStyle w:val="FootnoteReference"/>
          <w:rFonts w:cstheme="minorHAnsi"/>
        </w:rPr>
        <w:footnoteRef/>
      </w:r>
      <w:r>
        <w:tab/>
      </w:r>
      <w:r>
        <w:t>Nagu määratletud komisjoni 12. märtsi 2014. aasta delegeeritud määruses (EL) nr 528/2014, millega täiendatakse Euroopa Parlamendi ja nõukogu määrust (EL) nr 575/2013 seoses regulatiivsete tehniliste standarditega, milles käsitletakse optsioonide muid riske kui deltarisk tururiski standardmeetodi puhul (ELT L 148, 20.5.2014, lk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7F8E82E"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0" w:nlCheck="1" w:checkStyle="0"/>
  <w:activeWritingStyle w:appName="MSWord" w:lang="en-US" w:vendorID="64" w:dllVersion="0" w:nlCheck="1" w:checkStyle="0"/>
  <w:proofState w:grammar="clean"/>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3F27"/>
    <w:rsid w:val="00F0799F"/>
    <w:rsid w:val="00F2772C"/>
    <w:rsid w:val="00F5701F"/>
    <w:rsid w:val="00F66685"/>
    <w:rsid w:val="00F806E6"/>
    <w:rsid w:val="00F80764"/>
    <w:rsid w:val="00F85A37"/>
    <w:rsid w:val="00F96CAA"/>
    <w:rsid w:val="00FA3ED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2274606E-E4E5-48A6-A93A-C7560581E5A9}"/>
</file>

<file path=customXml/itemProps3.xml><?xml version="1.0" encoding="utf-8"?>
<ds:datastoreItem xmlns:ds="http://schemas.openxmlformats.org/officeDocument/2006/customXml" ds:itemID="{A4969520-33EE-40E6-AAA6-644796A1974A}"/>
</file>

<file path=customXml/itemProps4.xml><?xml version="1.0" encoding="utf-8"?>
<ds:datastoreItem xmlns:ds="http://schemas.openxmlformats.org/officeDocument/2006/customXml" ds:itemID="{81E1DD4E-881B-4728-8683-21CF9C928FB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2172</Words>
  <Characters>14907</Characters>
  <Application>Microsoft Office Word</Application>
  <DocSecurity>0</DocSecurity>
  <Lines>425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16839</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