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080B76AD"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 xml:space="preserve">LIITE XXX – Lomakkeet markkinariskin julkistamista varten sovellettaessa standardimenetelmää ja sisäistä menetelmää: ohjeet </w:t>
      </w:r>
    </w:p>
    <w:p w14:paraId="30BCD097" w14:textId="4E7CD1C5"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Tämä liite sisältää ohjeet, joita laitosten on noudatettava julkistaessaan asetuksen (EU) N:o 575/2013</w:t>
      </w:r>
      <w:r w:rsidR="00931C32" w:rsidRPr="00DB0A49">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jäljempänä ’vakavaraisuusasetus’, 435, 445 ja 455 artiklassa tarkoitettuja tietoja täyttääkseen tämän EPV:n tietoteknisten ratkaisujen liitteessä XXIX esitetyt markkinariskin julkistamislomakkeet. </w:t>
      </w:r>
    </w:p>
    <w:p w14:paraId="69DA8DE0" w14:textId="77777777"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Lomake EU MRA – Markkinariskiin liittyvät laadulliset julkistamisvaatimukset:</w:t>
      </w:r>
      <w:r>
        <w:rPr>
          <w:rFonts w:ascii="Times New Roman" w:hAnsi="Times New Roman"/>
          <w:sz w:val="24"/>
        </w:rPr>
        <w:t xml:space="preserve"> vapaamuotoiset tekstikentät</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Laitosten on julkistettava asetuksen (EU) N:o 575/2013 435 artiklan 1 kohdan a–d alakohdassa tarkoitetut tiedot markkinariskistä noudattamalla jäljempänä tässä liitteessä annettuja ohjeita täyttääkseen liitteessä XXIX olevan lomakkeen EU MRA.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Lainsäädäntöviitteet ja ohjeet</w:t>
            </w:r>
          </w:p>
        </w:tc>
      </w:tr>
      <w:tr w:rsidR="00931C32" w:rsidRPr="001F1865" w14:paraId="0BB6A5B1" w14:textId="77777777" w:rsidTr="003C1F81">
        <w:trPr>
          <w:trHeight w:val="238"/>
        </w:trPr>
        <w:tc>
          <w:tcPr>
            <w:tcW w:w="1555"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Selitys</w:t>
            </w:r>
          </w:p>
        </w:tc>
      </w:tr>
      <w:tr w:rsidR="00931C32" w:rsidRPr="001F1865" w14:paraId="75D64070" w14:textId="77777777" w:rsidTr="003C1F81">
        <w:trPr>
          <w:trHeight w:val="680"/>
        </w:trPr>
        <w:tc>
          <w:tcPr>
            <w:tcW w:w="1555" w:type="dxa"/>
          </w:tcPr>
          <w:p w14:paraId="5CBE7772" w14:textId="77777777" w:rsidR="00931C32" w:rsidRPr="001F1865" w:rsidRDefault="00931C32" w:rsidP="00DE090B">
            <w:pPr>
              <w:pStyle w:val="Applicationdirecte"/>
              <w:spacing w:before="0" w:after="240"/>
              <w:jc w:val="center"/>
            </w:pPr>
            <w:r>
              <w:t>a</w:t>
            </w:r>
          </w:p>
        </w:tc>
        <w:tc>
          <w:tcPr>
            <w:tcW w:w="7484"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Julkistaessaan asetuksen (EU) N:o 575/2013 435 artiklan 1 kohdan a ja d alakohdassa tarkoitettuja tietoja markkinariskin hallintaan liittyvistä riskienhallintatavoitteistaan ja -käytänteistään laitosten on ilmoitettava seuraavat tiedot:</w:t>
            </w:r>
          </w:p>
          <w:p w14:paraId="2954CCD3"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 xml:space="preserve">selvitys johdon strategisista tavoitteista kaupankäyntitoiminnan harjoittamisessa; </w:t>
            </w:r>
          </w:p>
          <w:p w14:paraId="28C8AA1E" w14:textId="2D7A10DE"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kuvaus 104 artiklan 1 kohdassa tarkoitetuista toimintatavoista sen määrittämiseksi, mitkä positiot luetaan kaupankäyntivarastoon, mukaan lukien vaikeasti myytävissä olevien positioiden määritteleminen ja riskienhallintaperiaatteet kyseisten positioiden seuraamiseksi. Lisäksi laitosten on kuvattava tapaukset, joissa instrumentit luokitellaan kaupankäyntivarastoon tai kaupankäyntivaraston ulkopuolisiksi vastoin niiden instrumenttiluokkaa koskevia yleisiä olettamia, mukaan lukien tällaisten tapausten markkina-arvo ja käypä arvo sekä mahdollinen uudelleenluokittelu kaupankäyntivaraston kaupankäyntivaraston ulkopuolisen välillä edellisen raportointikauden jälkeen, mukaan lukien tällaisten tapausten käypä arvo ja uudelleenluokittelun syy;</w:t>
            </w:r>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kuvaus sisäisistä riskinsiirtotoiminnoista, mukaan lukien sisäisten riskinsiirtoyksiköiden tyypit;</w:t>
            </w:r>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prosessit, jotka on otettu käyttöön laitoksen markkinariskien tunnistamiseksi, mittaamiseksi, seuraamiseksi ja valvomiseksi;</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lastRenderedPageBreak/>
              <w:t>käytänteet, joilla suojaudutaan riskeiltä ja vähennetään niitä;</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strategiat ja prosessit, joilla seurataan jatkuvasti suojausmenetelmien tehokkuutta.</w:t>
            </w:r>
          </w:p>
        </w:tc>
      </w:tr>
      <w:tr w:rsidR="00931C32" w:rsidRPr="001F1865" w14:paraId="2F078747" w14:textId="77777777" w:rsidTr="003C1F81">
        <w:trPr>
          <w:trHeight w:val="680"/>
        </w:trPr>
        <w:tc>
          <w:tcPr>
            <w:tcW w:w="1555" w:type="dxa"/>
          </w:tcPr>
          <w:p w14:paraId="3715BE68" w14:textId="77777777" w:rsidR="00931C32" w:rsidRPr="001F1865" w:rsidRDefault="00931C32" w:rsidP="00DE090B">
            <w:pPr>
              <w:pStyle w:val="Applicationdirecte"/>
              <w:spacing w:before="0" w:after="240"/>
              <w:jc w:val="center"/>
            </w:pPr>
            <w:r>
              <w:lastRenderedPageBreak/>
              <w:t>b</w:t>
            </w:r>
          </w:p>
        </w:tc>
        <w:tc>
          <w:tcPr>
            <w:tcW w:w="7484"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Julkistaessaan asetuksen (EU) N:o 575/2013 435 artiklan 1 kohdan b alakohdassa tarkoitettuja tietoja markkinariskin hallintatoiminnon rakenteesta ja organisoinnista laitosten on ilmoitettava seuraavat tiedot:</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kuvaus markkinariskin hallintarakenteesta, joka on perustettu edellä rivillä a käsiteltyjen laitosten strategioiden ja prosessien täytäntöönpanoa varten;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kuvaus markkinariskin hallintaan osallistuvien eri osapuolten välisistä suhteista ja viestintämekanismeista. </w:t>
            </w:r>
          </w:p>
        </w:tc>
      </w:tr>
      <w:tr w:rsidR="00931C32" w:rsidRPr="001F1865" w14:paraId="15179A4A" w14:textId="77777777" w:rsidTr="003C1F81">
        <w:trPr>
          <w:trHeight w:val="436"/>
        </w:trPr>
        <w:tc>
          <w:tcPr>
            <w:tcW w:w="1555"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484"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 xml:space="preserve">Julkistaessaan asetuksen (EU) N:o 575/2013 435 artiklan 1 kohdan c alakohdassa tarkoitettuja tietoja markkinariskin raportointi- ja mittaamisjärjestelmien laajuudesta ja luonteesta laitosten on annettava kuvaus markkinariskin raportointi- ja mittaamisjärjestelmien laajuudesta ja luonteesta. </w:t>
            </w:r>
          </w:p>
        </w:tc>
      </w:tr>
      <w:tr w:rsidR="06503780" w:rsidRPr="001F1865" w14:paraId="5B327CF1" w14:textId="77777777" w:rsidTr="003C1F81">
        <w:trPr>
          <w:trHeight w:val="435"/>
        </w:trPr>
        <w:tc>
          <w:tcPr>
            <w:tcW w:w="1555"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484"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Julkistaessaan asetuksen (EU) N:o 575/2013 445 artiklan 1 kohdassa tarkoitettuja tietoja, jotka liittyvät yleiskatsaukseen kaupankäyntivaraston positioista, laitosten on annettava ylätason kuvaus kaupankäyntivarastoon kuuluvista positioistaan.</w:t>
            </w:r>
          </w:p>
        </w:tc>
      </w:tr>
    </w:tbl>
    <w:p w14:paraId="0A37501D" w14:textId="5B1DE2AB" w:rsidR="00931C32" w:rsidRPr="003C1F81" w:rsidRDefault="00931C32" w:rsidP="06503780">
      <w:pPr>
        <w:pStyle w:val="Titlelevel2"/>
        <w:spacing w:before="0"/>
        <w:rPr>
          <w:rFonts w:ascii="Times New Roman" w:hAnsi="Times New Roman" w:cs="Times New Roman"/>
          <w:b/>
          <w:sz w:val="24"/>
        </w:rPr>
      </w:pPr>
    </w:p>
    <w:p w14:paraId="6A05A809" w14:textId="77777777" w:rsidR="00931C32" w:rsidRPr="003C1F81" w:rsidRDefault="00931C32" w:rsidP="00931C32">
      <w:pPr>
        <w:pStyle w:val="Titlelevel2"/>
        <w:spacing w:before="0"/>
        <w:rPr>
          <w:rFonts w:ascii="Times New Roman" w:hAnsi="Times New Roman" w:cs="Times New Roman"/>
          <w:b/>
          <w:color w:val="auto"/>
          <w:sz w:val="24"/>
        </w:rPr>
      </w:pPr>
    </w:p>
    <w:p w14:paraId="21FE8BB6" w14:textId="0765936F" w:rsidR="00931C32" w:rsidRPr="00DB0A49" w:rsidRDefault="4E51ABE0" w:rsidP="00DB0A49">
      <w:pPr>
        <w:spacing w:after="240"/>
        <w:rPr>
          <w:rFonts w:ascii="Times New Roman" w:eastAsia="Times New Roman" w:hAnsi="Times New Roman" w:cs="Times New Roman"/>
          <w:sz w:val="24"/>
        </w:rPr>
      </w:pPr>
      <w:r>
        <w:rPr>
          <w:rFonts w:ascii="Times New Roman" w:hAnsi="Times New Roman"/>
          <w:b/>
          <w:sz w:val="24"/>
        </w:rPr>
        <w:t>Lomake EU MR1 – Markkinariski sovellettaessa vaihtoehtoista standardimenetelmää (ASA)</w:t>
      </w:r>
      <w:r>
        <w:rPr>
          <w:rFonts w:ascii="Times New Roman" w:hAnsi="Times New Roman"/>
          <w:sz w:val="24"/>
        </w:rPr>
        <w:t>: vakiomuotoinen lomake</w:t>
      </w:r>
    </w:p>
    <w:p w14:paraId="328A3EAE" w14:textId="50FF69DE"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Laitosten on julkistettava asetuksen (EU) N:o 575/2013 445 artiklassa tarkoitetut tiedot noudattamalla jäljempänä tässä liitteessä annettuja ohjeita täyttääkseen liitteessä XXIX olevan lomakkeen EU MR1. </w:t>
      </w:r>
      <w:r>
        <w:rPr>
          <w:rFonts w:ascii="Times New Roman" w:hAnsi="Times New Roman"/>
          <w:color w:val="auto"/>
          <w:sz w:val="24"/>
        </w:rPr>
        <w:t>Laitokset eivät saa sisällyttää tähän lomakkeeseen tietoja sisäisestä riskinsiirtoyksiköstään.</w:t>
      </w:r>
    </w:p>
    <w:tbl>
      <w:tblPr>
        <w:tblW w:w="0" w:type="auto"/>
        <w:tblInd w:w="105" w:type="dxa"/>
        <w:tblLayout w:type="fixed"/>
        <w:tblLook w:val="01E0" w:firstRow="1" w:lastRow="1" w:firstColumn="1" w:lastColumn="1" w:noHBand="0" w:noVBand="0"/>
      </w:tblPr>
      <w:tblGrid>
        <w:gridCol w:w="1445"/>
        <w:gridCol w:w="6970"/>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Lainsäädäntöviitteet ja ohjeet</w:t>
            </w:r>
          </w:p>
        </w:tc>
      </w:tr>
      <w:tr w:rsidR="06503780" w:rsidRPr="001F1865" w14:paraId="795949FA"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Rivinumero</w:t>
            </w:r>
          </w:p>
        </w:tc>
        <w:tc>
          <w:tcPr>
            <w:tcW w:w="6970"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Selitys</w:t>
            </w:r>
          </w:p>
        </w:tc>
      </w:tr>
      <w:tr w:rsidR="06503780" w:rsidRPr="001F1865" w14:paraId="71E2347C" w14:textId="77777777" w:rsidTr="003C1F81">
        <w:trPr>
          <w:trHeight w:val="300"/>
        </w:trPr>
        <w:tc>
          <w:tcPr>
            <w:tcW w:w="1445"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6970"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Herkkyysperusteinen menetelmä</w:t>
            </w:r>
            <w:r>
              <w:rPr>
                <w:rFonts w:ascii="Times New Roman" w:hAnsi="Times New Roman"/>
                <w:sz w:val="24"/>
                <w:u w:val="single"/>
              </w:rPr>
              <w:t xml:space="preserve"> </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asetuksen (EU) N:o 575/2013 kolmannen osan IV osaston 1 a luvun 2 jakson mukaisesti</w:t>
            </w:r>
          </w:p>
        </w:tc>
      </w:tr>
      <w:tr w:rsidR="06503780" w:rsidRPr="001F1865" w14:paraId="2A5FB346"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Yleinen korkoriski (GIRR)</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lastRenderedPageBreak/>
              <w:t>asetuksen (EU) N:o 575/2013 325 c artiklan 2 kohdan a alakohdan ja 325 d artiklan 1 kohdan i alakohdan mukaisesti</w:t>
            </w:r>
          </w:p>
        </w:tc>
      </w:tr>
      <w:tr w:rsidR="006852CB" w:rsidRPr="001F1865" w14:paraId="69667920"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lastRenderedPageBreak/>
              <w:t>2</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Osakeriski (EQU)</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asetuksen (EU) N:o 575/2013 325 c artiklan 2 kohdan a alakohdan ja 325 d artiklan 1 kohdan v alakohdan mukaisesti</w:t>
            </w:r>
          </w:p>
        </w:tc>
      </w:tr>
      <w:tr w:rsidR="006852CB" w:rsidRPr="001F1865" w14:paraId="719DB443"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3</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Hyödykeriski (COM)</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asetuksen (EU) N:o 575/2013 325 c artiklan 2 kohdan a alakohdan ja 325 d artiklan 1 kohdan vi alakohdan mukaisesti</w:t>
            </w:r>
          </w:p>
        </w:tc>
      </w:tr>
      <w:tr w:rsidR="006852CB" w:rsidRPr="001F1865" w14:paraId="0F63097B"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4</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Valuuttakurssiriski (FX)</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asetuksen (EU) N:o 575/2013 325 c artiklan 2 kohdan a alakohdan ja 325 d artiklan 1 kohdan vii alakohdan mukaisesti</w:t>
            </w:r>
          </w:p>
        </w:tc>
      </w:tr>
      <w:tr w:rsidR="06503780" w:rsidRPr="001F1865" w14:paraId="6069A777"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Muun kuin arvopaperistamisen luottomarginaaliriski (CSR)</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asetuksen (EU) N:o 575/2013 325 c artiklan 2 kohdan a alakohdan ja 325 d artiklan 1 kohdan ii alakohdan mukaisesti</w:t>
            </w:r>
          </w:p>
        </w:tc>
      </w:tr>
      <w:tr w:rsidR="06503780" w:rsidRPr="001F1865" w14:paraId="05E22EA0"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Arvopaperistamiseen liittyvä vaihtoehtoisen korrelaatiokaupankäyntisalkun ulkopuolinen luottomarginaaliriski (non-ACTP CSR)</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asetuksen (EU) N:o 575/2013 325 c artiklan 2 kohdan a alakohdan ja 325 d artiklan 1 kohdan iii alakohdan mukaisesti</w:t>
            </w:r>
          </w:p>
        </w:tc>
      </w:tr>
      <w:tr w:rsidR="06503780" w:rsidRPr="001F1865" w14:paraId="14D767E3"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Arvopaperistamiseen liittyvä vaihtoehtoisen korrelaatiokaupankäyntisalkun luottomarginaaliriski (ACTP CSR)</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asetuksen (EU) N:o 575/2013 325 c artiklan 2 kohdan a alakohdan ja 325 d artiklan 1 kohdan iv alakohdan mukaisesti</w:t>
            </w:r>
          </w:p>
        </w:tc>
      </w:tr>
      <w:tr w:rsidR="06503780" w:rsidRPr="001F1865" w14:paraId="5BB1038C" w14:textId="77777777" w:rsidTr="003C1F81">
        <w:trPr>
          <w:trHeight w:val="300"/>
        </w:trPr>
        <w:tc>
          <w:tcPr>
            <w:tcW w:w="1445"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6970"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Maksukyvyttömyysriski</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asetuksen (EU) N:o 575/2013 kolmannen osan IV osaston 1 a luvun 5 jakson mukaisesti</w:t>
            </w:r>
          </w:p>
        </w:tc>
      </w:tr>
      <w:tr w:rsidR="06503780" w:rsidRPr="001F1865" w14:paraId="4CA77AC2"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8</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Muut kuin arvopaperistamiset</w:t>
            </w:r>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asetuksen (EU) N:o 575/2013 325 c artiklan 2 kohdan b alakohdan ja kolmannen osan IV osaston 1 a luvun 5 jakson 1 alajakson mukaisesti</w:t>
            </w:r>
            <w:r>
              <w:rPr>
                <w:rFonts w:ascii="Times New Roman" w:hAnsi="Times New Roman"/>
              </w:rPr>
              <w:t xml:space="preserve"> </w:t>
            </w:r>
          </w:p>
        </w:tc>
      </w:tr>
      <w:tr w:rsidR="06503780" w:rsidRPr="001F1865" w14:paraId="7297D5CB"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Vaihtoehtoisen korrelaatiokaupankäyntisalkun ulkopuolinen arvopaperistaminen (non-ACTP)</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lastRenderedPageBreak/>
              <w:t>asetuksen (EU) N:o 575/2013 325 c artiklan 2 kohdan b alakohdan ja kolmannen osan IV osaston 1 a luvun 5 jakson 2 alajakson mukaisesti</w:t>
            </w:r>
            <w:r>
              <w:rPr>
                <w:rFonts w:ascii="Times New Roman" w:hAnsi="Times New Roman"/>
              </w:rPr>
              <w:t xml:space="preserve"> </w:t>
            </w:r>
          </w:p>
        </w:tc>
      </w:tr>
      <w:tr w:rsidR="06503780" w:rsidRPr="001F1865" w14:paraId="7399949B"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lastRenderedPageBreak/>
              <w:t>10</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Vaihtoehtoiseen korrelaatiokaupankäyntisalkkuun sisältyvä arvopaperistaminen (ACTP)</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asetuksen (EU) N:o 575/2013 325 c artiklan 2 kohdan b alakohdan ja kolmannen osan IV osaston 1 a luvun 5 jakson 3 alajakson mukaisesti</w:t>
            </w:r>
            <w:r>
              <w:rPr>
                <w:rFonts w:ascii="Times New Roman" w:hAnsi="Times New Roman"/>
              </w:rPr>
              <w:t xml:space="preserve"> </w:t>
            </w:r>
          </w:p>
        </w:tc>
      </w:tr>
      <w:tr w:rsidR="06503780" w:rsidRPr="001F1865" w14:paraId="1A1B8236" w14:textId="77777777" w:rsidTr="003C1F81">
        <w:trPr>
          <w:trHeight w:val="300"/>
        </w:trPr>
        <w:tc>
          <w:tcPr>
            <w:tcW w:w="1445"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6970"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Jäännösriski</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Asetuksen (EU) N:o 575/2013 kolmannen osan IV osaston 1 a luvun 4 jakso</w:t>
            </w:r>
          </w:p>
        </w:tc>
      </w:tr>
      <w:tr w:rsidR="06503780" w:rsidRPr="001F1865" w14:paraId="179BEFFD"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11a</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Eksoottiset kohde-etuudet</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asetuksen (EU) N:o 575/2013 325 c artiklan 2 kohdan c alakohdan ja 325 u artiklan 2 kohdan a alakohdan mukaisesti</w:t>
            </w:r>
          </w:p>
        </w:tc>
      </w:tr>
      <w:tr w:rsidR="06503780" w:rsidRPr="001F1865" w14:paraId="397A3B6A"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11b</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Muut jäännösriskit</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asetuksen (EU) N:o 575/2013 325 c artiklan 2 kohdan c alakohdan ja 325 u artiklan 2 kohdan b alakohdan mukaisesti</w:t>
            </w:r>
          </w:p>
        </w:tc>
      </w:tr>
      <w:tr w:rsidR="06503780" w:rsidRPr="001F1865" w14:paraId="106996A8"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6970"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Omien varojen vaatimukset yhteensä (OFR)</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Rivien 1 – EU 11b summa</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Sarakkeen kirjain</w:t>
            </w:r>
          </w:p>
        </w:tc>
        <w:tc>
          <w:tcPr>
            <w:tcW w:w="69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Selitys</w:t>
            </w:r>
          </w:p>
        </w:tc>
      </w:tr>
      <w:tr w:rsidR="06503780" w:rsidRPr="001F1865" w14:paraId="57E6568D" w14:textId="77777777" w:rsidTr="003C1F81">
        <w:trPr>
          <w:trHeight w:val="300"/>
        </w:trPr>
        <w:tc>
          <w:tcPr>
            <w:tcW w:w="1445"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6970"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Omien varojen vaatimukset yhteensä (OFR)</w:t>
            </w:r>
          </w:p>
        </w:tc>
      </w:tr>
      <w:tr w:rsidR="06503780" w:rsidRPr="001F1865" w14:paraId="37D30FC4" w14:textId="77777777" w:rsidTr="003C1F81">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69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rFonts w:ascii="Times New Roman" w:eastAsia="Times New Roman" w:hAnsi="Times New Roman" w:cs="Times New Roman"/>
                <w:sz w:val="24"/>
              </w:rPr>
            </w:pPr>
            <w:r>
              <w:rPr>
                <w:rFonts w:ascii="Times New Roman" w:hAnsi="Times New Roman"/>
                <w:sz w:val="24"/>
              </w:rPr>
              <w:t>Asetuksen (EU) N:o 575/2013 438 artiklan d alakohdassa tarkoitettujen omien varojen vaatimusten julkistaminen laskettuna rivien 1 – EU 11b määrien summana.</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Lomake EU MRB: Laadulliset julkistamisvaatimukset vaihtoehtoisten sisäisten mallien menetelmää (AIMA) käyttäville laitoksille</w:t>
      </w:r>
      <w:r>
        <w:rPr>
          <w:rFonts w:ascii="Times New Roman" w:hAnsi="Times New Roman"/>
          <w:sz w:val="24"/>
        </w:rPr>
        <w:t>: vapaamuotoinen teksti</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Laitosten on julkistettava asetuksen (EU) N:o 575/2013 455 artiklan a, b, c, d, e ja f alakohdassa tarkoitetut tiedot noudattamalla jäljempänä tässä liitteessä annettuja ohjeita täyttääkseen liitteessä XXIX olevan lomakkeen EU MRB.</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6971"/>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Lainsäädäntöviitteet ja ohjeet</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Rivinumero</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Selitys</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Julkistaessaan asetuksen (EU) N:o 575/2013 455 artiklan 1 a alakohdassa tarkoitettuja tietoja markkinariskiin sovellettavista vaihtoehtoisista sisäisistä malleista laitosten on ilmoitettava seuraavat tiedot:</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3EDB81F8" w:rsidR="3C9E464D" w:rsidRPr="00DB0A49" w:rsidRDefault="00B02BFD" w:rsidP="3765CAC5">
            <w:pPr>
              <w:rPr>
                <w:rFonts w:ascii="Times New Roman" w:hAnsi="Times New Roman" w:cs="Times New Roman"/>
                <w:sz w:val="24"/>
              </w:rPr>
            </w:pPr>
            <w:r>
              <w:rPr>
                <w:rFonts w:ascii="Times New Roman" w:hAnsi="Times New Roman"/>
                <w:sz w:val="24"/>
              </w:rPr>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laitoksen kaupankäyntitoiminnan tavoitteet sekä prosessit, jotka on toteutettu laitoksen markkinariskien tunnistamiseksi, mittaamiseksi, seuraamiseksi ja valvomiseksi. Nämä tiedot voidaan antaa ristiviittauksena taulukkoon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11E1514D" w:rsidR="3C9E464D" w:rsidRPr="00DB0A49" w:rsidRDefault="00671C85" w:rsidP="3765CAC5">
            <w:pPr>
              <w:rPr>
                <w:rFonts w:ascii="Times New Roman" w:hAnsi="Times New Roman" w:cs="Times New Roman"/>
                <w:sz w:val="24"/>
              </w:rPr>
            </w:pPr>
            <w:r>
              <w:rPr>
                <w:rFonts w:ascii="Times New Roman" w:hAnsi="Times New Roman"/>
                <w:sz w:val="24"/>
              </w:rPr>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104 artiklan 1 kohdassa tarkoitetut toimintatavat sen määrittämiseksi, mitkä positiot luetaan kaupankäyntivarastoon. Nämä tiedot voidaan antaa ristiviittauksena taulukkoon EU MRA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markkinariskin hallintatoiminnon ja hallintotavan rakenne ja organisointi</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 B Yleinen kuvaus kaupankäyntiyksikön rakenteesta ja AIMA-kauppayksikköön asetuksen (EU) N:o 575/2013 455 artiklan 1 kohdan c ja d alakohdan mukaisesti sisältyvistä instrumenttityypeistä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Julkistaessaan asetuksen (EU) N:o 575/2013 455 artiklan 1 kohdan c alakohdassa tarkoitettuja tietoja laitosten on annettava yleinen kuvaus 325 az artiklassa tarkoitetun sisäisen mallin mukaisten kaupankäyntiyksiköiden rakenteesta, mukaan lukien kunkin yksikön osalta laaja kuvaus yksikön liiketoimintastrategiasta, sen mukaisesti sallituista instrumenteista ja keskeisistä kyseiseen yksikköön liittyvistä riskityypeistä.</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Julkistaessaan asetuksen (EU) N:o 575/2013 455 artiklan 1 kohdan d alakohdassa tarkoitettuja tietoja laitosten on annettava yleiskatsaus niistä kaupankäyntivaraston positioista, joita 325 az artiklassa tarkoitetut vaihtoehtoiset sisäiset mallit eivät kata, mukaan lukien yleinen kuvaus yksikön rakenteesta ja yksiköihin tai yksikköluokkiin sisältyvistä instrumenttityypeistä 104 b artiklan mukaisesti.</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B C E Kuvaus konsolidoidulla tasolla käytettyjen mallien tärkeimmistä ominaisuuksista, mukaan lukien mallien validoinnissa käytetyt menetelmät ja mallintamisprosessit</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rFonts w:ascii="Times New Roman" w:hAnsi="Times New Roman" w:cs="Times New Roman"/>
                <w:sz w:val="24"/>
              </w:rPr>
            </w:pPr>
            <w:r>
              <w:rPr>
                <w:rFonts w:ascii="Times New Roman" w:hAnsi="Times New Roman"/>
                <w:sz w:val="24"/>
              </w:rPr>
              <w:t>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0E8A5F7"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Julkistaessaan asetuksen (EU) N:o 575/2013 455 artiklan 1 kohdan f alakohdan i alakohdassa tarkoitettuja tietoja laitosten on annettava</w:t>
            </w:r>
            <w:r w:rsidR="0042153C">
              <w:rPr>
                <w:rFonts w:ascii="Times New Roman" w:hAnsi="Times New Roman"/>
                <w:color w:val="000000" w:themeColor="text1"/>
                <w:sz w:val="24"/>
              </w:rPr>
              <w:t xml:space="preserve"> </w:t>
            </w:r>
            <w:r>
              <w:rPr>
                <w:rFonts w:ascii="Times New Roman" w:hAnsi="Times New Roman"/>
                <w:color w:val="000000" w:themeColor="text1"/>
                <w:sz w:val="24"/>
              </w:rPr>
              <w:t>asetuksen (EU) N:o 575/2013 325 az artiklassa tarkoitettujen, riskien määrän laskemiseksi käytettyjen eri sisäisten mallien laajuus, keskeiset piirteet ja mallinnuksessa tehdyt keskeiset valinnat niiden keskeisten mallien osalta, joita käytetään konsolidoidulla tasolla, sekä kuvaus siitä, missä määrin nämä sisäiset mallit edustavat kaikkia konsolidoidulla tasolla käytettyjä malleja, mukaan lukien (jos sovellettavissa) i) laaja kuvaus vakavaraisuusasetuksen 325 ba artiklan 1 kohdan a alakohdassa tarkoitetun odotetun tappion laskemiseen käytetystä mallintamistavasta, tietojen päivitysten tiheys mukaan lukien.</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Julkistaessaan asetuksen (EU) N:o 575/2013 455 artiklan 1 kohdan f alakohdan ii alakohdassa tarkoitettuja tietoja laitosten on sisällytettävä (jos sovellettavissa) laaja kuvaus asetuksen (EU) N:o </w:t>
            </w:r>
            <w:r>
              <w:rPr>
                <w:rFonts w:ascii="Times New Roman" w:hAnsi="Times New Roman"/>
                <w:color w:val="000000" w:themeColor="text1"/>
                <w:sz w:val="24"/>
              </w:rPr>
              <w:lastRenderedPageBreak/>
              <w:t>575/2013 325 ba artiklan 1 kohdan b alakohdassa tarkoitetun stressiskenaarion riskimittarin laskemiseen käytetystä menetelmästä, joka ei kuulu asetuksen (EU) N:o 575/2013 325 bk artiklan 3 kohdassa säädettyjen täsmennysten joukkoon.</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lastRenderedPageBreak/>
              <w:t>D Kuvaus sisäisistä malleista, joilla lasketaan maksukyvyttömyysriskin kattamiseksi vaadittava pääoma</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Julkistaessaan asetuksen (EU) N:o 575/2013 455 artiklan 1 kohdan f alakohdan iii alakohdassa tarkoitettuja tietoja laitosten on sisällytettävä (jos sovellettavissa) laaja kuvaus asetuksen (EU) N:o 575/2013 325 ba artiklan 2 kohdassa tarkoitetun maksukyvyttömyysriskin kattamiseksi vaadittavan pääoman laskennassa käytetystä mallintamistavasta, tietojen päivitysten tiheys mukaan lukien.</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Lomake EU MR2 – Markkinariski sovellettaessa vaihtoehtoisten sisäisten mallien menetelmää (AIMA):</w:t>
      </w:r>
      <w:r>
        <w:rPr>
          <w:rFonts w:ascii="Times New Roman" w:hAnsi="Times New Roman"/>
          <w:color w:val="auto"/>
          <w:sz w:val="24"/>
        </w:rPr>
        <w:t xml:space="preserve"> vakiomuotoinen lomake</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Laitosten on julkistettava asetuksen (EU) N:o 575/2013 455 artiklan 2 kohdassa tarkoitetut tiedot noudattamalla jäljempänä tässä liitteessä annettuja ohjeita täyttääkseen liitteessä XXIX olevan lomakkeen EU MR2. </w:t>
      </w:r>
      <w:r>
        <w:rPr>
          <w:rFonts w:ascii="Times New Roman" w:hAnsi="Times New Roman"/>
          <w:color w:val="auto"/>
          <w:sz w:val="24"/>
        </w:rPr>
        <w:t>Laitokset eivät saa sisällyttää tähän lomakkeeseen tietoja sisäisestä riskinsiirtoyksiköstään.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6971"/>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Lainsäädäntöviitteet ja ohjeet</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Rivinumero</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Selitys</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Rajoittamatonta odotettua tappiota kuvaava mittari (UESt)</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Ilmoitettava arvo on laskettava koko salkun tasolla eikä asetuksen (EU) N:o 575/2013 325 bb ja 325 bc artiklan mukaisen riskitekijöiden pääluokan tasolla.</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Rajoittamatonta odotettua tappiota kuvaava mittari riskitekijän pääluokan ”korko” osalta</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Ilmoitettava arvo on laskettava riskitekijän korko-pääluokan osalta asetuksen (EU) N:o 575/2013 325 bb, 325 bc ja 325 bd artiklan mukaisesti.</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7F0E1ED7"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Rajoittamatonta odotettua tappiota kuvaava mittari riskitekijän pääluokan ”osakkeet” osalta</w:t>
            </w:r>
            <w:r w:rsidR="0042153C">
              <w:rPr>
                <w:rFonts w:ascii="Times New Roman" w:hAnsi="Times New Roman"/>
                <w:sz w:val="24"/>
              </w:rPr>
              <w:t xml:space="preserve"> </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Ilmoitettava arvo on laskettava riskitekijän osakkeet-pääluokan osalta asetuksen (EU) N:o 575/2013 325 bb, 325 bc ja 325 bd artiklan mukaisesti.</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Rajoittamatonta odotettua tappiota kuvaava mittari riskitekijän pääluokan ”hyödykkeet” osalta</w:t>
            </w:r>
            <w:r>
              <w:rPr>
                <w:rFonts w:ascii="Times New Roman" w:hAnsi="Times New Roman"/>
                <w:sz w:val="24"/>
              </w:rPr>
              <w:t xml:space="preserve"> </w:t>
            </w:r>
          </w:p>
          <w:p w14:paraId="70BA8462" w14:textId="47AECB7A" w:rsidR="00B86E1A" w:rsidRPr="00DB0A49" w:rsidRDefault="05EA5842" w:rsidP="140F9DE1">
            <w:pPr>
              <w:rPr>
                <w:rFonts w:ascii="Times New Roman" w:eastAsia="Times New Roman" w:hAnsi="Times New Roman" w:cs="Times New Roman"/>
                <w:sz w:val="24"/>
              </w:rPr>
            </w:pPr>
            <w:r>
              <w:rPr>
                <w:rFonts w:ascii="Times New Roman" w:hAnsi="Times New Roman"/>
                <w:sz w:val="24"/>
              </w:rPr>
              <w:t xml:space="preserve"> Ilmoitettava arvo on laskettava riskitekijän hyödykkeet-pääluokan osalta asetuksen (EU) N:o 575/2013 325 bb, 325 bc ja 325 bd artiklan mukaisesti.</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Rajoittamatonta odotettua tappiota kuvaava mittari riskitekijän pääluokan ”ulkomaanvaluutta” osalta</w:t>
            </w:r>
          </w:p>
          <w:p w14:paraId="1880B223" w14:textId="3E5FAD7C" w:rsidR="002F3022" w:rsidRPr="00DB0A49" w:rsidRDefault="0042153C" w:rsidP="140F9DE1">
            <w:pPr>
              <w:rPr>
                <w:rFonts w:ascii="Times New Roman" w:eastAsia="Times New Roman" w:hAnsi="Times New Roman" w:cs="Times New Roman"/>
                <w:sz w:val="24"/>
              </w:rPr>
            </w:pPr>
            <w:r>
              <w:rPr>
                <w:rFonts w:ascii="Times New Roman" w:hAnsi="Times New Roman"/>
                <w:b/>
                <w:color w:val="444444"/>
                <w:sz w:val="24"/>
              </w:rPr>
              <w:lastRenderedPageBreak/>
              <w:t xml:space="preserve"> </w:t>
            </w:r>
            <w:r w:rsidR="1F3BA536">
              <w:rPr>
                <w:rFonts w:ascii="Times New Roman" w:hAnsi="Times New Roman"/>
                <w:sz w:val="24"/>
              </w:rPr>
              <w:t>Ilmoitettava arvo on laskettava riskitekijän ulkomaanvaluutta-pääluokan osalta asetuksen (EU) N:o 575/2013 325 bb, 325 bc ja 325 bd artiklan mukaisesti.</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lastRenderedPageBreak/>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rFonts w:ascii="Times New Roman" w:eastAsia="Times New Roman" w:hAnsi="Times New Roman" w:cs="Times New Roman"/>
                <w:sz w:val="24"/>
              </w:rPr>
            </w:pPr>
            <w:r>
              <w:rPr>
                <w:rFonts w:ascii="Times New Roman" w:hAnsi="Times New Roman"/>
                <w:b/>
                <w:sz w:val="24"/>
              </w:rPr>
              <w:t xml:space="preserve">Rajoittamatonta odotettua tappiota kuvaava mittari riskitekijän pääluokan ”luottomarginaali” osalta </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Ilmoitettava arvo on laskettava riskitekijän luottomarginaali-pääluokan osalta asetuksen (EU) N:o 575/2013 325 bb, 325 bc ja 325 bd artiklan mukaisesti.</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rFonts w:ascii="Times New Roman" w:eastAsia="Times New Roman" w:hAnsi="Times New Roman" w:cs="Times New Roman"/>
                <w:sz w:val="24"/>
              </w:rPr>
            </w:pPr>
            <w:r>
              <w:rPr>
                <w:rFonts w:ascii="Times New Roman" w:hAnsi="Times New Roman"/>
                <w:b/>
                <w:sz w:val="24"/>
              </w:rPr>
              <w:t>Rajoittamatonta odotettua tappiota kuvaavan mittarin riskitekijöiden pääluokkien summa</w:t>
            </w:r>
            <w:r>
              <w:rPr>
                <w:rFonts w:ascii="Times New Roman" w:hAnsi="Times New Roman"/>
                <w:sz w:val="24"/>
              </w:rPr>
              <w:t xml:space="preserve"> (∑UES</w:t>
            </w:r>
            <w:r>
              <w:rPr>
                <w:rFonts w:ascii="Times New Roman" w:hAnsi="Times New Roman"/>
                <w:sz w:val="24"/>
                <w:vertAlign w:val="superscript"/>
              </w:rPr>
              <w:t>i</w:t>
            </w:r>
            <w:r>
              <w:rPr>
                <w:rFonts w:ascii="Times New Roman" w:hAnsi="Times New Roman"/>
                <w:sz w:val="24"/>
                <w:vertAlign w:val="subscript"/>
              </w:rPr>
              <w:t>t</w:t>
            </w:r>
            <w:r>
              <w:rPr>
                <w:rFonts w:ascii="Times New Roman" w:hAnsi="Times New Roman"/>
                <w:sz w:val="24"/>
              </w:rPr>
              <w:t xml:space="preserve">) </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Rivien 2–6 summa</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Odotettua tappiota kuvaava mittari (ES</w:t>
            </w:r>
            <w:r>
              <w:rPr>
                <w:rFonts w:ascii="Times New Roman" w:hAnsi="Times New Roman"/>
                <w:b/>
                <w:sz w:val="24"/>
                <w:vertAlign w:val="subscript"/>
              </w:rPr>
              <w:t>t</w:t>
            </w:r>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t>Odotettua tappiota kuvaava riskimittari on laskettava asetuksen (EU) N:o 575/2013 325 ba artiklan 1 kohdan a alakohdan i alakohdan mukaisesti.</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Stressiskenaarion riskimittari (SS</w:t>
            </w:r>
            <w:r>
              <w:rPr>
                <w:rFonts w:ascii="Times New Roman" w:hAnsi="Times New Roman"/>
                <w:b/>
                <w:sz w:val="24"/>
                <w:vertAlign w:val="subscript"/>
              </w:rPr>
              <w:t>t</w:t>
            </w:r>
            <w:r>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Stressiskenaarion riskimittari on laskettava asetuksen (EU) N:o 575/2013 325 ba artiklan 1 kohdan a alakohdan ii alakohdan mukaisesti.</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Maksukyvyttömyysriskin kattamiseksi vaadittava pääoma (DRC</w:t>
            </w:r>
            <w:r>
              <w:rPr>
                <w:rFonts w:ascii="Times New Roman" w:hAnsi="Times New Roman"/>
                <w:b/>
                <w:sz w:val="24"/>
                <w:vertAlign w:val="subscript"/>
              </w:rPr>
              <w:t>t</w:t>
            </w:r>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Maksukyvyttömyysriskin kattamiseksi vaadittava pääoma on laskettava asetuksen (EU) N:o 575/2013 325 ba artiklan 2 kohdan a alakohdan mukaisesti.</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r>
              <w:rPr>
                <w:rFonts w:ascii="Times New Roman" w:hAnsi="Times New Roman"/>
                <w:b/>
                <w:sz w:val="24"/>
              </w:rPr>
              <w:t>PLAaddon</w:t>
            </w:r>
          </w:p>
          <w:p w14:paraId="72CEFFB9" w14:textId="21DFFB57" w:rsidR="00234F41" w:rsidRPr="00DB0A49" w:rsidRDefault="471075D0" w:rsidP="140F9DE1">
            <w:pPr>
              <w:rPr>
                <w:rFonts w:ascii="Times New Roman" w:eastAsia="Times New Roman" w:hAnsi="Times New Roman" w:cs="Times New Roman"/>
                <w:sz w:val="24"/>
              </w:rPr>
            </w:pPr>
            <w:r>
              <w:rPr>
                <w:rFonts w:ascii="Times New Roman" w:hAnsi="Times New Roman"/>
                <w:sz w:val="24"/>
              </w:rPr>
              <w:t>Tämä arvo lasketaan asetuksen (EU) N:o 575/2013 325 ba artiklan 3 kohdan mukaisesti yhdessä asetuksen (EU) 2022/2059 10 artiklan 1 kohdan kanssa.</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Omien varojen vaatimukset (OFR) tase-eriin ja taseen ulkopuolisiin eriin sisältyvän liiketoiminnan osalta plus PLAaddon (AIMA + PLAaddon)</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Tämä arvo on laskettava asetuksen (EU) 2022/2059 10 artiklan 1 kohdan mukaisesti. Tähän on lisättävä rivin 11 arvo.</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Omien varojen vaatimukset (OFR) yhteensä vaihtoehtoista standardimenetelmää (ASA) sovellettaessa niiden kaupankäyntiyksiköiden osalta, joihin ei voida käyttää vaihtoehtoisten sisäisten mallien menetelmää (AIMA)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Tämä arvo on laskettava asetuksen (EU) N:o 575/2013 325 ba artiklan 3 kohdassa esitetyllä tavalla.</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Omien varojen vaatimusten (OFR) ero sovellettaessa vaihtoehtoisten sisäisten mallien menetelmää (AIMA) ja vaihtoehtoista standardimenetelmää (ASA) AIMA-kaupankäyntiyksiköiden osalta (AIMA – ASAaima)</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Tämä arvo lasketaan AIMA-yksiköiden AIMA:n omien varojen vaatimusten (asetuksen (EU) 2022/2059 10 artiklan 1 kohta) ja kaikkien AIMA-yksiköiden ASA:n omien varojen vaatimusten arvon (salkkunäkymä) (asetuksen (EU) 2022/2059 10 artiklan 1 kohta) välisenä erotuksena.</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lastRenderedPageBreak/>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Omien varojen vaatimukset (OFR) sovellettaessa vaihtoehtoista standardimenetelmää (ASA) kaikkien kaupankäyntiyksiköiden osalta (mukaan lukien AIMAa soveltavat) (ASAall portfolio)</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Tämä arvo on laskettava asetuksen (EU) N:o 575/2013 325 ba artiklan 3 kohdassa esitetyllä tavalla.</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Omien varojen vaatimukset yhteensä sovellettaessa vaihtoehtoisten sisäisten mallien menetelmää (AIMA) (AIMAtotal)</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Tämä arvo on laskettava asetuksen (EU) N:o 575/2013 325 ba artiklan 3 kohdassa esitetyllä tavalla.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Sarakkeen kirjain</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Selitys</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rFonts w:ascii="Times New Roman" w:hAnsi="Times New Roman" w:cs="Times New Roman"/>
                <w:sz w:val="24"/>
              </w:rPr>
            </w:pPr>
            <w:r>
              <w:rPr>
                <w:rFonts w:ascii="Times New Roman" w:hAnsi="Times New Roman"/>
                <w:sz w:val="24"/>
              </w:rPr>
              <w:t xml:space="preserve">Viimeisin riskimittari [rivit 1–10] tai omien varojen vaatimukset [rivit 11–16] kuluvalla vuosineljänneksellä.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Riskimittarin keskiarvo [rivit 1–10] edeltäviltä 60 pankkipäivältä [rivit 1–9] tai edeltäviltä 12 viikolta [rivi 10] kuluvalla vuosineljänneksellä.</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Korkein riskimittari edeltäviltä 60 pankkipäivältä [rivit 1–6] kuluvalla vuosineljänneksellä.</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Matalin riskimittari edeltäviltä 60 pankkipäivältä [rivit 1–6] kuluvalla vuosineljänneksellä.</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Toteutumatestauksissa havaittujen ylitysten lukumäärä [rivi 1]</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Tässä solussa ilmoitettujen ylitysten lukumäärä on se luku, jota käytetään korotuksen määrittämiseen asetuksen (EU) N:o 575/2013 325 bf artiklan 6 kohdan b alakohdan taulukon 3 mukaisesti. Tähän ei sisällytetä ylityksiä, jotka on jätetty ottamatta huomioon toimivaltaisen viranomaisen luvalla.</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Viimeisin riskimittari [rivit 1–10] tai omien varojen vaatimukset [rivit 11–16] edellisellä vuosineljänneksellä.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Riskimittarin keskiarvo [rivit 1–10] edeltäviltä 60 pankkipäivältä [rivit 1–9] tai edeltäviltä 12 viikolta [rivi 10] edellisellä vuosineljänneksellä.</w:t>
            </w:r>
          </w:p>
        </w:tc>
      </w:tr>
    </w:tbl>
    <w:p w14:paraId="60061E4C" w14:textId="6CE0B0D3" w:rsidR="00AA4A0F" w:rsidRPr="003C1F81" w:rsidRDefault="00AA4A0F" w:rsidP="00931C32">
      <w:pPr>
        <w:pStyle w:val="Titlelevel2"/>
        <w:spacing w:before="0"/>
        <w:rPr>
          <w:rFonts w:ascii="Times New Roman" w:hAnsi="Times New Roman" w:cs="Times New Roman"/>
          <w:b/>
          <w:color w:val="auto"/>
          <w:sz w:val="24"/>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Pr>
          <w:rFonts w:ascii="Times New Roman" w:hAnsi="Times New Roman"/>
          <w:b/>
          <w:color w:val="auto"/>
          <w:sz w:val="24"/>
        </w:rPr>
        <w:t>Lomake EU MR3 – Markkinariski sovellettaessa yksinkertaistettua standardimenetelmää (SSA)</w:t>
      </w:r>
      <w:r>
        <w:rPr>
          <w:rFonts w:ascii="Times New Roman" w:hAnsi="Times New Roman"/>
          <w:color w:val="auto"/>
          <w:sz w:val="24"/>
        </w:rPr>
        <w:t>: vakiomuotoinen lomake</w:t>
      </w:r>
    </w:p>
    <w:p w14:paraId="6AC491D2" w14:textId="6E61C37E"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Laitosten on julkistettava asetuksen (EU) N:o 575/2013 445 artiklassa tarkoitetut tiedot noudattamalla jäljempänä tässä liitteessä annettuja ohjeita täyttääkseen tietoteknisten ratkaisujen liitteessä XXIX olevan lomakkeen EU MR3.</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6971"/>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Lainsäädäntöviitteet ja ohjeet</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Rivinumero</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Selitys</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 xml:space="preserve">Korkoriski (yleinen ja erityinen)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lastRenderedPageBreak/>
              <w:t>Tässä ilmoitetaan kaupankäyntivarastoon kuuluviin kaupankäynnin kohteena oleviin vieraan pääoman ehtoisiin rahoitusinstrumentteihin liittyvien positioiden yleisriski ja erityisriski asetuksen (EU) N:o 575/2013 kolmannen osan IV osaston 2 luvun mukaisesti, lukuun ottamatta arvopaperistamiseen liittyvää erityisriskiä.</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lastRenderedPageBreak/>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Osakeriski (yleinen ja erityinen)</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Tässä ilmoitetaan kaupankäyntivarastoon kuuluvien osakepositioiden yleisriski ja erityisriski asetuksen (EU) N:o 575/2013 kolmannen osan IV osaston 2 luvun mukaisesti.</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Hyödykeriski</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Tässä ilmoitetaan hyödykepositioihin liittyvä riski asetuksen (EU) N:o 575/2013 kolmannen osan IV osaston 4 luvun mukaisesti.</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Valuuttariski</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Tässä ilmoitetaan valuuttapositioihin liittyvä riski asetuksen (EU) N:o 575/2013 kolmannen osan IV osaston 3 luvun mukaisesti.</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Arvopaperistaminen (erityisriski)</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Tässä ilmoitetaan kaupankäyntivarastoon kuuluviin arvopaperistamispositioihin liittyvä erityisriski asetuksen (EU) N:o 575/2013 kolmannen osan IV osaston 2 luvussa olevan 337 ja 338 artiklan mukaisesti.</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 xml:space="preserve">Omien varojen vaatimukset (OFR) yhteensä sovellettaessa yksinkertaistettua standardimenetelmää (SSA) </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Asetuksen (EU) N:o 575/2013 438 artiklan d alakohdassa tarkoitettujen omien varojen vaatimusten julkistaminen laskettuna sarakkeen a osalta rivien 1–5 määrien summana ja sarakkeiden b, c ja d osalta rivien 1–4 määrien summana.</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Sarakkeen kirjain</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Selitys</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Suorat tuotteet (outright products)</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Positiot tuotteissa, jotka eivät ole valinnaisia eivätkä sisälly menetelmiin, jotka on täsmennetty markkinariskiä koskevassa standardimenetelmässä</w:t>
            </w:r>
            <w:r w:rsidRPr="00DB0A49">
              <w:rPr>
                <w:rFonts w:ascii="Times New Roman" w:eastAsia="Calibri" w:hAnsi="Times New Roman" w:cs="Times New Roman"/>
                <w:szCs w:val="22"/>
                <w:vertAlign w:val="superscript"/>
              </w:rPr>
              <w:footnoteReference w:id="3"/>
            </w:r>
            <w:r>
              <w:rPr>
                <w:rFonts w:ascii="Times New Roman" w:hAnsi="Times New Roman"/>
                <w:sz w:val="24"/>
              </w:rPr>
              <w:t xml:space="preserve"> optioihin liittyviin muihin riskeihin kuin deltaa koskeviin riskeihin sovellettavissa teknisissä sääntelystandardeissa.</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Optiot</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lastRenderedPageBreak/>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Yksinkertaistettu menetelmä</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Tässä ilmoitetaan asetuksen (EU) N:o 575/2013 kolmannen osan IV osaston 2 luvussa olevan 329 artiklan 3 kohdassa määritellyt optiot tai optiotodistukset, joiden osalta laitokset laskevat muuhun kuin deltaa koskevaan riskiin liittyvät omien varojen vaatimuksensa käyttäen yksinkertaistettua menetelmää</w:t>
            </w:r>
            <w:r w:rsidRPr="00DB0A49">
              <w:rPr>
                <w:rStyle w:val="FootnoteReference"/>
                <w:rFonts w:ascii="Times New Roman" w:eastAsia="Times New Roman" w:hAnsi="Times New Roman" w:cs="Times New Roman"/>
              </w:rPr>
              <w:footnoteReference w:id="4"/>
            </w:r>
            <w:r>
              <w:rPr>
                <w:rFonts w:ascii="Times New Roman" w:hAnsi="Times New Roman"/>
                <w:sz w:val="24"/>
              </w:rPr>
              <w:t>.</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Delta plus -menetelmä</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Tässä ilmoitetaan asetuksen (EU) N:o 575/2013 kolmannen osan IV osaston 2 luvussa olevan 329 artiklan 3 kohdassa määritellyt kaupankäyntivarastoon kuuluvat optiot tai optiotodistukset, joiden osalta laitokset laskevat muuhun kuin deltaa koskevaan riskiin liittyvät omien varojen vaatimuksensa käyttäen delta plus -menetelmää</w:t>
            </w:r>
            <w:r w:rsidRPr="00DB0A49">
              <w:rPr>
                <w:rStyle w:val="FootnoteReference"/>
                <w:rFonts w:ascii="Times New Roman" w:eastAsia="Times New Roman" w:hAnsi="Times New Roman" w:cs="Times New Roman"/>
              </w:rPr>
              <w:footnoteReference w:id="5"/>
            </w:r>
            <w:r>
              <w:rPr>
                <w:rFonts w:ascii="Times New Roman" w:hAnsi="Times New Roman"/>
                <w:sz w:val="24"/>
              </w:rPr>
              <w:t>.</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Skenaariomenetelmä</w:t>
            </w:r>
          </w:p>
          <w:p w14:paraId="2B78A76A" w14:textId="583FBB66"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Tässä ilmoitetaan asetuksen (EU) N:o 575/2013 kolmannen osan IV osaston 2 luvussa olevan 329 artiklan 3 kohdassa määritellyt kaupankäyntivarastoon kuuluvat optiot tai optiotodistukset, joiden osalta laitokset laskevat muuhun kuin deltaa koskevaan riskiin liittyvät omien varojen vaatimuksensa käyttäen skenaariomenetelmää</w:t>
            </w:r>
            <w:r w:rsidRPr="00DB0A49">
              <w:rPr>
                <w:rStyle w:val="FootnoteReference"/>
                <w:rFonts w:ascii="Times New Roman" w:eastAsia="Times New Roman" w:hAnsi="Times New Roman" w:cs="Times New Roman"/>
              </w:rPr>
              <w:footnoteReference w:id="6"/>
            </w:r>
            <w:r>
              <w:rPr>
                <w:rFonts w:ascii="Times New Roman" w:hAnsi="Times New Roman"/>
                <w:sz w:val="24"/>
              </w:rPr>
              <w:t>.</w:t>
            </w:r>
          </w:p>
        </w:tc>
      </w:tr>
    </w:tbl>
    <w:p w14:paraId="79592B57" w14:textId="77777777" w:rsidR="00931C32" w:rsidRPr="003C1F81" w:rsidRDefault="00931C32" w:rsidP="00931C32">
      <w:pPr>
        <w:pStyle w:val="Titlelevel2"/>
        <w:spacing w:before="0"/>
        <w:rPr>
          <w:rFonts w:ascii="Times New Roman" w:hAnsi="Times New Roman" w:cs="Times New Roman"/>
          <w:b/>
          <w:color w:val="auto"/>
          <w:sz w:val="24"/>
        </w:rPr>
      </w:pPr>
    </w:p>
    <w:sectPr w:rsidR="00931C32" w:rsidRPr="003C1F81">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t>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 xml:space="preserve"> (</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r>
        <w:t>.</w:t>
      </w:r>
    </w:p>
  </w:footnote>
  <w:footnote w:id="3">
    <w:p w14:paraId="6651B5AC" w14:textId="77777777" w:rsidR="00AA4A0F" w:rsidRPr="008158FF" w:rsidRDefault="00AA4A0F" w:rsidP="00AA4A0F">
      <w:pPr>
        <w:pStyle w:val="FootnoteText"/>
      </w:pPr>
      <w:r>
        <w:footnoteRef/>
      </w:r>
      <w:r>
        <w:tab/>
        <w:t>Sellaisena kuin se on määritelty 12 päivänä maaliskuuta 2014 annetussa komission delegoidussa asetuksessa (EU) N:o 528/2014 Euroopan parlamentin ja neuvoston asetuksen (EU) N:o 575/2013 täydentämisestä teknisillä sääntelystandardeilla, joita sovelletaan markkinariskiä koskevassa standardimenetelmässä optioihin liittyviin muihin riskeihin kuin deltaa koskeviin riskeihin (EUVL L 148, 20.5.2014, s. 29).</w:t>
      </w:r>
    </w:p>
  </w:footnote>
  <w:footnote w:id="4">
    <w:p w14:paraId="67B37F98" w14:textId="77777777" w:rsidR="00AA4A0F" w:rsidRPr="00222AAB" w:rsidRDefault="00AA4A0F" w:rsidP="00AA4A0F">
      <w:pPr>
        <w:pStyle w:val="FootnoteText"/>
      </w:pPr>
      <w:r>
        <w:rPr>
          <w:rStyle w:val="FootnoteReference"/>
          <w:rFonts w:cstheme="minorHAnsi"/>
        </w:rPr>
        <w:footnoteRef/>
      </w:r>
      <w:r>
        <w:tab/>
        <w:t>Sellaisena kuin se on määritelty 12 päivänä maaliskuuta 2014 annetussa komission delegoidussa asetuksessa (EU) N:o 528/2014 Euroopan parlamentin ja neuvoston asetuksen (EU) N:o 575/2013 täydentämisestä teknisillä sääntelystandardeilla, joita sovelletaan markkinariskiä koskevassa standardimenetelmässä optioihin liittyviin muihin riskeihin kuin deltaa koskeviin riskeihin (EUVL L 148, 20.5.2014, s. 29).</w:t>
      </w:r>
    </w:p>
  </w:footnote>
  <w:footnote w:id="5">
    <w:p w14:paraId="6C32CA93" w14:textId="77777777" w:rsidR="00AA4A0F" w:rsidRPr="00222AAB" w:rsidRDefault="00AA4A0F" w:rsidP="00AA4A0F">
      <w:pPr>
        <w:pStyle w:val="FootnoteText"/>
      </w:pPr>
      <w:r>
        <w:rPr>
          <w:rStyle w:val="FootnoteReference"/>
          <w:rFonts w:cstheme="minorHAnsi"/>
        </w:rPr>
        <w:footnoteRef/>
      </w:r>
      <w:r>
        <w:tab/>
        <w:t>Sellaisena kuin se on määritelty 12 päivänä maaliskuuta 2014 annetussa komission delegoidussa asetuksessa (EU) N:o 528/2014 Euroopan parlamentin ja neuvoston asetuksen (EU) N:o 575/2013 täydentämisestä teknisillä sääntelystandardeilla, joita sovelletaan markkinariskiä koskevassa standardimenetelmässä optioihin liittyviin muihin riskeihin kuin deltaa koskeviin riskeihin (EUVL L 148, 20.5.2014, s. 29).</w:t>
      </w:r>
    </w:p>
  </w:footnote>
  <w:footnote w:id="6">
    <w:p w14:paraId="739259DE" w14:textId="77777777" w:rsidR="00AA4A0F" w:rsidRPr="00222AAB" w:rsidRDefault="00AA4A0F" w:rsidP="00AA4A0F">
      <w:pPr>
        <w:pStyle w:val="FootnoteText"/>
      </w:pPr>
      <w:r>
        <w:rPr>
          <w:rStyle w:val="FootnoteReference"/>
          <w:rFonts w:cstheme="minorHAnsi"/>
        </w:rPr>
        <w:footnoteRef/>
      </w:r>
      <w:r>
        <w:tab/>
        <w:t>Sellaisena kuin se on määritelty 12 päivänä maaliskuuta 2014 annetussa komission delegoidussa asetuksessa (EU) N:o 528/2014 Euroopan parlamentin ja neuvoston asetuksen (EU) N:o 575/2013 täydentämisestä teknisillä sääntelystandardeilla, joita sovelletaan markkinariskiä koskevassa standardimenetelmässä optioihin liittyviin muihin riskeihin kuin deltaa koskeviin riskeihin (EUVL L 148, 20.5.2014, s.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8BE4F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7F8E82E"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864388"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F2F65B9C"/>
    <w:lvl w:ilvl="0" w:tplc="B010E6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proofState w:grammar="clean"/>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447EE"/>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C1F81"/>
    <w:rsid w:val="003E7DFC"/>
    <w:rsid w:val="003F26DE"/>
    <w:rsid w:val="0042153C"/>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14E59"/>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6598C7C3-765C-4D2C-82C3-2F9152DD44A1}"/>
</file>

<file path=customXml/itemProps3.xml><?xml version="1.0" encoding="utf-8"?>
<ds:datastoreItem xmlns:ds="http://schemas.openxmlformats.org/officeDocument/2006/customXml" ds:itemID="{C89EEC7D-C358-4C82-8503-1040F3D5E633}"/>
</file>

<file path=customXml/itemProps4.xml><?xml version="1.0" encoding="utf-8"?>
<ds:datastoreItem xmlns:ds="http://schemas.openxmlformats.org/officeDocument/2006/customXml" ds:itemID="{ABD2790A-C9DE-4C58-B93A-DE7627E78E0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2093</Words>
  <Characters>17060</Characters>
  <Application>Microsoft Office Word</Application>
  <DocSecurity>0</DocSecurity>
  <Lines>387</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18948</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