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EC03A" w14:textId="77777777" w:rsidR="00087388" w:rsidRPr="000866EF" w:rsidRDefault="00087388" w:rsidP="00087388">
      <w:pPr>
        <w:pStyle w:val="Annexetitre"/>
        <w:spacing w:before="0"/>
      </w:pPr>
      <w:r>
        <w:t xml:space="preserve">ANNESS XXII - Divulgazzjoni tal-użu tal-Approċċ IRB għar-riskju ta’ kreditu (eskluż ir-riskju ta’ kreditu tal-kontroparti)</w:t>
      </w:r>
    </w:p>
    <w:p w14:paraId="672A6659" w14:textId="77777777" w:rsidR="00087388" w:rsidRPr="000866EF" w:rsidRDefault="00087388" w:rsidP="00087388">
      <w:pPr>
        <w:spacing w:after="120"/>
        <w:rPr>
          <w:rFonts w:ascii="Times New Roman" w:hAnsi="Times New Roman" w:cs="Times New Roman"/>
          <w:sz w:val="24"/>
        </w:rPr>
      </w:pPr>
    </w:p>
    <w:p w14:paraId="3451F4FD" w14:textId="77777777" w:rsidR="00087388" w:rsidRPr="00F1728C" w:rsidRDefault="00087388" w:rsidP="00087388">
      <w:pPr>
        <w:spacing w:after="120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Tabella EU CRE – Rekwiżiti ta’ divulgazzjoni kwalitattiva relatati mal-Approċċ IRB.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b/>
          <w:rFonts w:ascii="Times New Roman" w:hAnsi="Times New Roman"/>
        </w:rPr>
        <w:t xml:space="preserve">Tabella flessibbli</w:t>
      </w:r>
      <w:r>
        <w:rPr>
          <w:sz w:val="24"/>
          <w:rFonts w:ascii="Times New Roman" w:hAnsi="Times New Roman"/>
        </w:rPr>
        <w:t xml:space="preserve">.</w:t>
      </w:r>
    </w:p>
    <w:p w14:paraId="5F7DF826" w14:textId="73107CC6" w:rsidR="00087388" w:rsidRPr="00F1728C" w:rsidRDefault="00087388" w:rsidP="63E31B68">
      <w:pPr>
        <w:pStyle w:val="ListParagraph"/>
        <w:numPr>
          <w:ilvl w:val="0"/>
          <w:numId w:val="2"/>
        </w:numPr>
        <w:spacing w:after="120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jiddikjaraw l-informazzjoni msemmija fl-Artikolu 452, il-punti (a) sa (f), tar-Regolament (UE) 575/2013</w:t>
      </w:r>
      <w:r w:rsidRPr="00F1728C">
        <w:rPr>
          <w:rStyle w:val="FootnoteReference"/>
          <w:rFonts w:ascii="Times New Roman" w:hAnsi="Times New Roman"/>
        </w:rPr>
        <w:footnoteReference w:id="1"/>
      </w:r>
      <w:r>
        <w:rPr>
          <w:sz w:val="24"/>
          <w:rFonts w:ascii="Times New Roman" w:hAnsi="Times New Roman"/>
        </w:rPr>
        <w:t xml:space="preserve"> (“CRR”) billi jsegwu l-istruzzjonijiet ipprovduti hawn taħt f’dan l-Anness sabiex jimlew it-Tabella EU CRE li hija ppreżentata fl-Anness XXI tas-soluzzjonijiet tal-IT tal-EBA.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1"/>
        <w:gridCol w:w="8253"/>
      </w:tblGrid>
      <w:tr w:rsidR="00087388" w:rsidRPr="00F1728C" w14:paraId="020F0BFA" w14:textId="77777777" w:rsidTr="00725D4D">
        <w:trPr>
          <w:trHeight w:val="420"/>
        </w:trPr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377105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tar-ringiela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A5DD43" w14:textId="77777777" w:rsidR="00087388" w:rsidRPr="00F1728C" w:rsidRDefault="00087388" w:rsidP="00725D4D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087388" w:rsidRPr="00F1728C" w14:paraId="7BF504D8" w14:textId="77777777" w:rsidTr="00725D4D">
        <w:trPr>
          <w:trHeight w:val="420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37501D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D75F21" w14:textId="77777777" w:rsidR="00087388" w:rsidRPr="00F1728C" w:rsidRDefault="00087388" w:rsidP="00725D4D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</w:tbl>
    <w:tbl>
      <w:tblPr>
        <w:tblStyle w:val="TableGrid"/>
        <w:tblW w:w="9629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1179"/>
        <w:gridCol w:w="7087"/>
      </w:tblGrid>
      <w:tr w:rsidR="00087388" w:rsidRPr="00F1728C" w14:paraId="164B5286" w14:textId="77777777" w:rsidTr="63E31B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14:paraId="5CBE7772" w14:textId="77777777" w:rsidR="00087388" w:rsidRPr="00F1728C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(a)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162A40D" w14:textId="05BD278E" w:rsidR="00087388" w:rsidRPr="00F1728C" w:rsidRDefault="00087388" w:rsidP="63E31B68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 452 punt (a) CRR.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4B66B306" w14:textId="13544A0E" w:rsidR="00087388" w:rsidRPr="000A6489" w:rsidRDefault="00087388" w:rsidP="11F50173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jiddikjaraw l-informazzjoni dwar il-kamp ta’ applikazzjoni tal-awtorizzazzjoni għall-użu tal-approċċ jew tal-modalitajiet ta’ tranżizzjoni mogħtija mill-awtorità kompetenti f’konformità mal-Artikolu 452, il-punt (a), tar-Regolament (UE) Nru 575/2013, l-istituzzjonijiet għandhom jiddeskrivu l-karatteristiċi ewlenin tas-sistemi ta’ klassifikazzjoni użati skont l-Approċċ IRB li għalihom ingħata l-permess minn awtorità kompetenti u t-tipi ta’ skoperturi koperti minn dawn is-sistemi ta’ klassifikazzjoni.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jiddeskrivu wkoll it-tipi ta’ skoperturi li għalihom ikollhom permess jagħmlu użu parzjali permanenti mill-Approċċ Standardizzat f’konformità mal-Artikolu 150 tar-Regolament (UE) 575/2013 u li jkunu taħt il-pjanijiet ta’ tnedija tal-IRB tagħhom f’konformità mal-Artikolu 148 tar-Regolament (UE)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Id-deskrizzjoni għandha tiġi pprovduta fil-livell tal-grupp.</w:t>
            </w:r>
          </w:p>
        </w:tc>
      </w:tr>
      <w:tr w:rsidR="00087388" w:rsidRPr="00F1728C" w14:paraId="51935B2C" w14:textId="77777777" w:rsidTr="63E31B68">
        <w:trPr>
          <w:trHeight w:val="557"/>
        </w:trPr>
        <w:tc>
          <w:tcPr>
            <w:tcW w:w="1363" w:type="dxa"/>
            <w:vAlign w:val="top"/>
          </w:tcPr>
          <w:p w14:paraId="3715BE68" w14:textId="77777777" w:rsidR="00087388" w:rsidRPr="00F1728C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(b)</w:t>
            </w:r>
          </w:p>
        </w:tc>
        <w:tc>
          <w:tcPr>
            <w:tcW w:w="1179" w:type="dxa"/>
          </w:tcPr>
          <w:p w14:paraId="33991CEF" w14:textId="024AE8C4" w:rsidR="00087388" w:rsidRPr="000A6489" w:rsidRDefault="00087388" w:rsidP="63E31B68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452, il-punt (c)(i)-(iv) CRR</w:t>
            </w:r>
          </w:p>
        </w:tc>
        <w:tc>
          <w:tcPr>
            <w:tcW w:w="7087" w:type="dxa"/>
          </w:tcPr>
          <w:p w14:paraId="10953D2B" w14:textId="77777777" w:rsidR="00087388" w:rsidRPr="00F1728C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Id-deskrizzjoni tal-mekkaniżmi ta’ kontroll għas-sistemi ta’ klassifikazzjoni għandha tkopri l-istima tal-parametri tar-riskju, inklużi l-iżvilupp u l-kalibrar tal-mudell intern, kif ukoll il-kontrolli fl-applikazzjoni tal-mudelli u tat-tibdiliet fis-sistemi ta’ klassifikazzjoni.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D8089BD" w14:textId="323FBEA1" w:rsidR="00087388" w:rsidRPr="00F1728C" w:rsidRDefault="00087388" w:rsidP="11F50173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452, il-punt (c)(i)(iv) tar-Regolament (UE) Nru 575/2013, id-deskrizzjoni tar-rwol tal-funzjonijiet imsemmija hawn fuq għandha tinkludi wkoll:</w:t>
            </w:r>
          </w:p>
          <w:p w14:paraId="7F9D3557" w14:textId="77777777" w:rsidR="00087388" w:rsidRPr="00F1728C" w:rsidRDefault="00087388" w:rsidP="00087388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ir-relazzjonijiet bejn il-funzjoni tal-ġestjoni tar-riskji u l-uffiċċju tal-awditjar intern,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4172694" w14:textId="2B769854" w:rsidR="00087388" w:rsidRPr="000A6489" w:rsidRDefault="00087388" w:rsidP="00087388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il-proċessi u l-metodi għar-rieżamijiet tas-sistemi ta’ klassifikazzjoni, inklużi rieżamijiet regolari tal-istimi f’konformità mal-Artikolu 179(1)(c) tar-Regolament (UE) 575/2013 u validazzjonijiet,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4B49B0F" w14:textId="77777777" w:rsidR="00087388" w:rsidRPr="000A6489" w:rsidRDefault="00087388" w:rsidP="00087388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il-proċeduri u l-arranġamenti organizzazzjonali sabiex tiġi żgurata l-indipendenza tal-funzjoni inkarigata mir-rieżami tal-mudelli (funzjoni ta’ validazzjoni) mill-funzjonijiet responsabbli għall-iżvilupp u għall-kalibrar tal-mudelli,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4A45581" w14:textId="77777777" w:rsidR="00087388" w:rsidRPr="000A6489" w:rsidRDefault="00087388" w:rsidP="00087388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l-proċedura sabiex tiġi żgurata l-akkontabilità tal-funzjonijiet inkarigati mill-iżvilupp u mir-rieżami tal-mudelli.</w:t>
            </w:r>
          </w:p>
        </w:tc>
      </w:tr>
      <w:tr w:rsidR="00344A92" w:rsidRPr="00344A92" w:rsidDel="00915DC9" w14:paraId="4E1160C1" w14:textId="77777777" w:rsidTr="63E31B68">
        <w:trPr>
          <w:trHeight w:val="973"/>
        </w:trPr>
        <w:tc>
          <w:tcPr>
            <w:tcW w:w="1363" w:type="dxa"/>
            <w:vAlign w:val="top"/>
          </w:tcPr>
          <w:p w14:paraId="0F95AF50" w14:textId="77777777" w:rsidR="00087388" w:rsidRPr="00344A92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(c)</w:t>
            </w:r>
          </w:p>
        </w:tc>
        <w:tc>
          <w:tcPr>
            <w:tcW w:w="1179" w:type="dxa"/>
          </w:tcPr>
          <w:p w14:paraId="4952FE1C" w14:textId="08E35EDB" w:rsidR="00087388" w:rsidRPr="000A6489" w:rsidRDefault="00087388" w:rsidP="63E31B68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 452 punt (d) CRR</w:t>
            </w:r>
          </w:p>
        </w:tc>
        <w:tc>
          <w:tcPr>
            <w:tcW w:w="7087" w:type="dxa"/>
          </w:tcPr>
          <w:p w14:paraId="5055C14F" w14:textId="77777777" w:rsidR="00087388" w:rsidRPr="000A6489" w:rsidDel="00915DC9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ir-rwol tal-funzjonijiet involuti fl-iżvilupp tal-mudell, fil-kalibrar, fl-approvazzjoni u fit-tibdiliet sussegwenti tas-sistemi ta’ klassifikazzjoni.</w:t>
            </w:r>
          </w:p>
        </w:tc>
      </w:tr>
      <w:tr w:rsidR="00344A92" w:rsidRPr="00344A92" w14:paraId="570A3446" w14:textId="77777777" w:rsidTr="63E31B68">
        <w:trPr>
          <w:trHeight w:val="1265"/>
        </w:trPr>
        <w:tc>
          <w:tcPr>
            <w:tcW w:w="1363" w:type="dxa"/>
            <w:vAlign w:val="top"/>
          </w:tcPr>
          <w:p w14:paraId="6543C3DB" w14:textId="77777777" w:rsidR="00087388" w:rsidRPr="00344A92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(d)</w:t>
            </w:r>
          </w:p>
        </w:tc>
        <w:tc>
          <w:tcPr>
            <w:tcW w:w="1179" w:type="dxa"/>
          </w:tcPr>
          <w:p w14:paraId="21D15FC9" w14:textId="5BE178BF" w:rsidR="00087388" w:rsidRPr="000A6489" w:rsidRDefault="00087388" w:rsidP="63E31B68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452 punt (e) CRR</w:t>
            </w:r>
          </w:p>
        </w:tc>
        <w:tc>
          <w:tcPr>
            <w:tcW w:w="7087" w:type="dxa"/>
          </w:tcPr>
          <w:p w14:paraId="08F33471" w14:textId="288E1C76" w:rsidR="00087388" w:rsidRPr="000A6489" w:rsidRDefault="00087388" w:rsidP="11F50173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il-kamp ta’ applikazzjoni u l-kontenut ewlieni tar-rapportar tal-ġestjoni relatat mal-mudelli tal-IRB imsemmija fl-Artikolu 189 tar-Regolament (UE) 575/2013, kif ukoll id-destinatarji u l-frekwenza ta’ tali rapportar.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87388" w:rsidRPr="00F1728C" w14:paraId="69AD8BED" w14:textId="77777777" w:rsidTr="63E31B68">
        <w:trPr>
          <w:trHeight w:val="1405"/>
        </w:trPr>
        <w:tc>
          <w:tcPr>
            <w:tcW w:w="1363" w:type="dxa"/>
            <w:vAlign w:val="top"/>
          </w:tcPr>
          <w:p w14:paraId="35EE8C6D" w14:textId="77777777" w:rsidR="00087388" w:rsidRPr="00F1728C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(e)</w:t>
            </w:r>
          </w:p>
        </w:tc>
        <w:tc>
          <w:tcPr>
            <w:tcW w:w="1179" w:type="dxa"/>
          </w:tcPr>
          <w:p w14:paraId="5E37D7DA" w14:textId="323FF31B" w:rsidR="00087388" w:rsidRPr="000A6489" w:rsidRDefault="00087388" w:rsidP="63E31B68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452 punt (f) CRR</w:t>
            </w:r>
          </w:p>
        </w:tc>
        <w:tc>
          <w:tcPr>
            <w:tcW w:w="7087" w:type="dxa"/>
          </w:tcPr>
          <w:p w14:paraId="5741F868" w14:textId="77777777" w:rsidR="00087388" w:rsidRPr="000A6489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Id-divulgazzjoni tas-sistemi ta’ klassifikazzjoni interna skont il-klassi tal-iskopertura għandha tinkludi n-numru ta’ mudelli ewlenin użati f’kull klassi tal-iskopertura fir-rigward ta’ tipi differenti ta’ skoperturi, b’deskrizzjoni qasira tad-differenzi ewlenin fost il-mudelli fi ħdan l-istess klassi tal-iskopertura.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għandha tinkludi wkoll deskrizzjoni tal-karatteristiċi ewlenin tal-mudelli ewlenin approvati, b’mod partikolari: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406B502" w14:textId="77777777" w:rsidR="00087388" w:rsidRPr="000A6489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(i) id-definizzjonijiet, il-metodi u d-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għall-istima u għall-validazzjoni tal-PD, inklużi l-istima u l-validazzjoni tal-PDs għal portafolli b’riskju baxx ta’ inadempjenza, kwalunkwe minimu regolatorju applikabbli, u l-fatturi ewlenin għad-differenzi osservati bejn l-istimi tal-PDs u r-rati ta’ inadempjenza attwali tal-anqas għall-aħħar 3 snin;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7540568" w14:textId="77777777" w:rsidR="00087388" w:rsidRPr="000A6489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(ii) fejn applikabbli, id-definizzjonijiet, il-metodi u d-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għall-istima u għall-validazzjoni tal-LGD, inklużi l-istima u l-validazzjoni tal-LGD waqt reċessjoni, informazzjoni dwar kif l-LGDs jiġu stmati għal portafoll b’riskju baxx ta’ inadempjenza, u l-perjodu medju ta’ żmien bejn l-event ta’ inadempjenza u l-għeluq tal-iskopertura;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E7620D5" w14:textId="77777777" w:rsidR="00087388" w:rsidRPr="000A6489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(iii) id-definizzjonijiet, il-metodi u d-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għall-istima u għall-validazzjoni tal-fatturi ta’ konverżjoni, inklużi s-suppożizzjonijiet użati fid-derivazzjoni ta’ dawk l-istimi.</w:t>
            </w:r>
          </w:p>
        </w:tc>
      </w:tr>
    </w:tbl>
    <w:p w14:paraId="5DAB6C7B" w14:textId="77777777" w:rsidR="00087388" w:rsidRPr="00F1728C" w:rsidRDefault="00087388" w:rsidP="00087388">
      <w:pPr>
        <w:spacing w:after="120"/>
        <w:rPr>
          <w:rFonts w:ascii="Times New Roman" w:hAnsi="Times New Roman" w:cs="Times New Roman"/>
          <w:sz w:val="24"/>
        </w:rPr>
      </w:pPr>
    </w:p>
    <w:p w14:paraId="6E846DD6" w14:textId="77777777" w:rsidR="00087388" w:rsidRPr="00F1728C" w:rsidRDefault="00087388" w:rsidP="00087388">
      <w:pPr>
        <w:spacing w:after="120"/>
        <w:rPr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CR6 – Approċċ IRB – Skoperturi għar-riskju ta’ kreditu skont il-klassi tal-iskopertura u l-medda tal-PDs.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Mudell fiss.</w:t>
      </w:r>
    </w:p>
    <w:p w14:paraId="28F760F7" w14:textId="286BC4B3" w:rsidR="003B7D6C" w:rsidRPr="00F1728C" w:rsidRDefault="00087388" w:rsidP="11F50173">
      <w:pPr>
        <w:pStyle w:val="ListParagraph"/>
        <w:numPr>
          <w:ilvl w:val="0"/>
          <w:numId w:val="7"/>
        </w:numPr>
        <w:spacing w:after="120"/>
        <w:jc w:val="both"/>
        <w:rPr>
          <w:sz w:val="24"/>
          <w:szCs w:val="24"/>
          <w:rFonts w:ascii="Times New Roman" w:hAnsi="Times New Roman"/>
        </w:rPr>
      </w:pPr>
      <w:r>
        <w:rPr>
          <w:rFonts w:ascii="Times New Roman" w:hAnsi="Times New Roman"/>
        </w:rPr>
        <w:t xml:space="preserve">L-istituzzjonijiet għandhom jiddikjaraw l-informazzjoni msemmija fl-Artikolu 452, punt (g)(i)(v) tar-Regolament (UE) 575/2013 dwar il-parametri ewlenin użati għall-kalkolu tar-rekwiżiti kapitali għall-approċċ IRB billi jsegwu l-istruzzjonijiet ipprovduti hawn taħt f’dan l-Anness sabiex jimlew il-Mudell EU CR6 li huwa ppreżentat fl-Anness XXI tas-soluzzjonijiet tal-IT tal-EBA.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L-informazzjoni ddikjarata f’dan il-mudell ma għandhiex tinkludi </w:t>
      </w:r>
      <w:r>
        <w:rPr>
          <w:sz w:val="24"/>
          <w:i/>
          <w:iCs/>
          <w:rFonts w:ascii="Times New Roman" w:hAnsi="Times New Roman"/>
        </w:rPr>
        <w:t xml:space="preserve">data</w:t>
      </w:r>
      <w:r>
        <w:rPr>
          <w:sz w:val="24"/>
          <w:rFonts w:ascii="Times New Roman" w:hAnsi="Times New Roman"/>
        </w:rPr>
        <w:t xml:space="preserve"> dwar self speċjalizzat imsemmi fl-Artikolu 153(4) tar-Regolament (UE) 575/2013.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Dan il-mudell jeskludi l-iskoperturi għar-riskju ta’ kreditu tal-kontroparti (CCR) (il-Kapitolu 6 tat-Titolu II tal-Parti Tlieta tar-Regolament (UE) 575/2013), l-iskoperturi tat-titolizzazzjoni, assi oħrajn b’obbligi mhux ta’ kreditu, l-impriżi ta’ investiment kollettiv u l-iskoperturi tal-ekwità.</w:t>
      </w:r>
      <w:r>
        <w:rPr>
          <w:sz w:val="24"/>
          <w:rFonts w:ascii="Times New Roman" w:hAnsi="Times New Roman"/>
        </w:rPr>
        <w:t xml:space="preserve"> </w:t>
      </w:r>
    </w:p>
    <w:p w14:paraId="6A05A809" w14:textId="77777777" w:rsidR="00087388" w:rsidRPr="00F1728C" w:rsidRDefault="00087388" w:rsidP="00087388">
      <w:pPr>
        <w:spacing w:after="120"/>
        <w:rPr>
          <w:rFonts w:ascii="Times New Roman" w:hAnsi="Times New Roman" w:cs="Times New Roman"/>
          <w:sz w:val="24"/>
        </w:rPr>
      </w:pPr>
    </w:p>
    <w:p w14:paraId="5A39BBE3" w14:textId="77777777" w:rsidR="00087388" w:rsidRPr="00F1728C" w:rsidRDefault="00087388" w:rsidP="00087388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7483"/>
      </w:tblGrid>
      <w:tr w:rsidR="00087388" w:rsidRPr="00F1728C" w14:paraId="1964CAA6" w14:textId="77777777" w:rsidTr="60FDE7BB">
        <w:trPr>
          <w:trHeight w:val="238"/>
        </w:trPr>
        <w:tc>
          <w:tcPr>
            <w:tcW w:w="1555" w:type="dxa"/>
            <w:vMerge w:val="restart"/>
            <w:shd w:val="clear" w:color="auto" w:fill="D9D9D9" w:themeFill="background1" w:themeFillShade="D9"/>
          </w:tcPr>
          <w:p w14:paraId="66A5CFB2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tal-kolonna</w:t>
            </w:r>
          </w:p>
        </w:tc>
        <w:tc>
          <w:tcPr>
            <w:tcW w:w="7483" w:type="dxa"/>
            <w:shd w:val="clear" w:color="auto" w:fill="D9D9D9" w:themeFill="background1" w:themeFillShade="D9"/>
          </w:tcPr>
          <w:p w14:paraId="5A879875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087388" w:rsidRPr="00F1728C" w14:paraId="29346F2B" w14:textId="77777777" w:rsidTr="60FDE7BB">
        <w:trPr>
          <w:trHeight w:val="238"/>
        </w:trPr>
        <w:tc>
          <w:tcPr>
            <w:tcW w:w="1555" w:type="dxa"/>
            <w:vMerge/>
          </w:tcPr>
          <w:p w14:paraId="41C8F396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483" w:type="dxa"/>
            <w:shd w:val="clear" w:color="auto" w:fill="D9D9D9" w:themeFill="background1" w:themeFillShade="D9"/>
          </w:tcPr>
          <w:p w14:paraId="30C9A014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9610E4" w:rsidRPr="009610E4" w14:paraId="3E7B8EBB" w14:textId="77777777" w:rsidTr="60FDE7BB">
        <w:trPr>
          <w:trHeight w:val="841"/>
        </w:trPr>
        <w:tc>
          <w:tcPr>
            <w:tcW w:w="1555" w:type="dxa"/>
          </w:tcPr>
          <w:p w14:paraId="45F94F8F" w14:textId="10DE2BCE" w:rsidR="00087388" w:rsidRPr="000A6489" w:rsidRDefault="00087388" w:rsidP="00725D4D">
            <w:pPr>
              <w:pStyle w:val="Applicationdirecte"/>
              <w:spacing w:before="0"/>
            </w:pPr>
          </w:p>
        </w:tc>
        <w:tc>
          <w:tcPr>
            <w:tcW w:w="7483" w:type="dxa"/>
          </w:tcPr>
          <w:p w14:paraId="285BBBEE" w14:textId="77777777" w:rsidR="00087388" w:rsidRPr="009610E4" w:rsidRDefault="00087388" w:rsidP="00725D4D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Firxa tal-PD</w:t>
            </w:r>
          </w:p>
          <w:p w14:paraId="0B5D39B9" w14:textId="77777777" w:rsidR="00087388" w:rsidRPr="009610E4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hija medda fissa tal-PDs li ma għandhiex tinbidel.</w:t>
            </w:r>
          </w:p>
          <w:p w14:paraId="5069DCCA" w14:textId="36434924" w:rsidR="00087388" w:rsidRPr="009610E4" w:rsidRDefault="00087388">
            <w:pPr>
              <w:pStyle w:val="Fait"/>
              <w:spacing w:before="0" w:after="120"/>
            </w:pPr>
            <w:r>
              <w:t xml:space="preserve">F’każ li d-</w:t>
            </w:r>
            <w:r>
              <w:rPr>
                <w:i/>
                <w:iCs/>
              </w:rPr>
              <w:t xml:space="preserve">data</w:t>
            </w:r>
            <w:r>
              <w:t xml:space="preserve"> dwar l-iskoperturi inadempjenti f’konformità mal-Artikolu 178 tar-Regolament (UE) 575/2013 tiġi diżaggregata aktar f’konformità mad-definizzjonijiet possibbli għall-kategoriji ta’ skoperturi inadempjenti, id-definizzjonijiet u l-ammonti għall-kategoriji ta’ skoperturi inadempjenti għandhom jiġu spjegati f’narrattiva li takkumpanja.</w:t>
            </w:r>
          </w:p>
          <w:p w14:paraId="00D99C0B" w14:textId="4E59B29C" w:rsidR="00087388" w:rsidRPr="009610E4" w:rsidRDefault="00087388" w:rsidP="00725D4D">
            <w:pPr>
              <w:pStyle w:val="Fait"/>
              <w:spacing w:before="0" w:after="120"/>
            </w:pPr>
            <w:r>
              <w:t xml:space="preserve">L-iskoperturi għandhom ikunu allokati għal taqsima xierqa tal-firxa tal-PD fissa bbażata fuq il-PD stmata għal kull debitur assenjat għal din il-klassi tal-iskoperturi (filwaqt li jitqies kwalunkwe effett ta’ sostituzzjoni minħabba s-CRM).</w:t>
            </w:r>
            <w:r>
              <w:t xml:space="preserve"> </w:t>
            </w:r>
            <w:r>
              <w:t xml:space="preserve">L-iskoperturi inadempjenti kollha għandhom jiġu inklużi fit-taqsima li tirrappreżenta PD ta’ 100 %.</w:t>
            </w:r>
          </w:p>
        </w:tc>
      </w:tr>
      <w:tr w:rsidR="009610E4" w:rsidRPr="009610E4" w14:paraId="57FFA5E6" w14:textId="77777777" w:rsidTr="60FDE7BB">
        <w:trPr>
          <w:trHeight w:val="1320"/>
        </w:trPr>
        <w:tc>
          <w:tcPr>
            <w:tcW w:w="1555" w:type="dxa"/>
          </w:tcPr>
          <w:p w14:paraId="20988227" w14:textId="6225DDEA" w:rsidR="00087388" w:rsidRPr="009610E4" w:rsidRDefault="00E643F5" w:rsidP="00725D4D">
            <w:pPr>
              <w:pStyle w:val="Applicationdirecte"/>
              <w:spacing w:before="0"/>
            </w:pPr>
            <w:r>
              <w:t xml:space="preserve">a</w:t>
            </w:r>
          </w:p>
          <w:p w14:paraId="72A3D3EC" w14:textId="77777777" w:rsidR="00087388" w:rsidRPr="000A6489" w:rsidRDefault="00087388" w:rsidP="00725D4D">
            <w:pPr>
              <w:pStyle w:val="Applicationdirecte"/>
              <w:spacing w:before="0"/>
            </w:pPr>
          </w:p>
        </w:tc>
        <w:tc>
          <w:tcPr>
            <w:tcW w:w="7483" w:type="dxa"/>
          </w:tcPr>
          <w:p w14:paraId="393B4B60" w14:textId="77777777" w:rsidR="00087388" w:rsidRPr="009610E4" w:rsidRDefault="00087388" w:rsidP="00725D4D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 xml:space="preserve">Skoperturi fil-karta bilanċjali</w:t>
            </w:r>
          </w:p>
          <w:p w14:paraId="27BE9730" w14:textId="7C0E0686" w:rsidR="00087388" w:rsidRPr="009610E4" w:rsidRDefault="00087388">
            <w:pPr>
              <w:pStyle w:val="Fait"/>
              <w:spacing w:before="0" w:after="120"/>
            </w:pPr>
            <w:r>
              <w:t xml:space="preserve">Valur tal-iskopertura kkalkolat f’konformità mal-Artikolu 166 minn (1) sa (7) tar-Regolament (UE) 575/2013 mingħajr ma jitqies kwalunkwe aġġustament tar-riskju ta’ kreditu u kwalunkwe fattur ta’ konverżjoni.</w:t>
            </w:r>
          </w:p>
        </w:tc>
      </w:tr>
      <w:tr w:rsidR="009610E4" w:rsidRPr="009610E4" w14:paraId="023C46E1" w14:textId="77777777" w:rsidTr="60FDE7BB">
        <w:trPr>
          <w:trHeight w:val="316"/>
        </w:trPr>
        <w:tc>
          <w:tcPr>
            <w:tcW w:w="1555" w:type="dxa"/>
          </w:tcPr>
          <w:p w14:paraId="7968FAB6" w14:textId="03D2485B" w:rsidR="00087388" w:rsidRPr="000A6489" w:rsidRDefault="00E643F5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483" w:type="dxa"/>
          </w:tcPr>
          <w:p w14:paraId="4850F09F" w14:textId="77777777" w:rsidR="00087388" w:rsidRPr="009610E4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Fatturi ta’ qabel il-konverżjoni (CCF) ta’ skoperturi li ma jidhrux fil-karta bilanċjali</w:t>
            </w:r>
          </w:p>
          <w:p w14:paraId="6E470CA5" w14:textId="069F6968" w:rsidR="00087388" w:rsidRPr="000A6489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f’konformità mal-Artikolu 166 minn (1) sa (7) tar-Regolament (UE) 575/2013, mingħajr ma jitqies kwalunkwe aġġustament għar-riskju ta’ kreditu u kwalunkwe fattur ta’ konverżjoni, la l-istimi proprji u lanqas il-fatturi ta’ konverżjoni speċifikati fl-Artikolu 166(8) tar-Regolament (UE) 575/2013.</w:t>
            </w:r>
          </w:p>
          <w:p w14:paraId="4A39B318" w14:textId="45098AB7" w:rsidR="00087388" w:rsidRPr="000A6489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li ma jidhrux fil-karta bilanċjali għandhom jinkludu l-ammonti impenjati iżda mhux prelevati kollha u l-entrati kollha li ma jidhrux fil-karta bilanċjali, kif elenkati fl-Anness I tar-Regolament (UE) Nru 575/2013.</w:t>
            </w:r>
          </w:p>
        </w:tc>
      </w:tr>
      <w:tr w:rsidR="009610E4" w:rsidRPr="009610E4" w14:paraId="43FD8B39" w14:textId="77777777" w:rsidTr="60FDE7BB">
        <w:trPr>
          <w:trHeight w:val="316"/>
        </w:trPr>
        <w:tc>
          <w:tcPr>
            <w:tcW w:w="1555" w:type="dxa"/>
          </w:tcPr>
          <w:p w14:paraId="5C2BBC0D" w14:textId="07ACE7EC" w:rsidR="00087388" w:rsidRPr="000A6489" w:rsidRDefault="00E643F5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483" w:type="dxa"/>
          </w:tcPr>
          <w:p w14:paraId="27134C40" w14:textId="77777777" w:rsidR="00087388" w:rsidRPr="009610E4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CCF medju ponderat skont l-iskopertura</w:t>
            </w:r>
          </w:p>
          <w:p w14:paraId="0D5A9915" w14:textId="411D4FC5" w:rsidR="00087388" w:rsidRPr="000A6489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Għall-iskoperturi kollha inklużi f’kull medda tal-iskala fissa ta’ PDs, il-fattur ta’ konverżjoni medju użat mill-istituzzjonijiet fil-kalkolu tagħhom tal-ammonti ta’ skoperturi ponderati għar-riskju, ponderati skont l-iskopertura li ma tidhirx fil-karta bilanċjali qabel is-CCF bħal fil-kolonna c ta’ dan il-mudell.</w:t>
            </w:r>
          </w:p>
        </w:tc>
      </w:tr>
      <w:tr w:rsidR="009610E4" w:rsidRPr="009610E4" w14:paraId="424E60D6" w14:textId="77777777" w:rsidTr="60FDE7BB">
        <w:trPr>
          <w:trHeight w:val="316"/>
        </w:trPr>
        <w:tc>
          <w:tcPr>
            <w:tcW w:w="1555" w:type="dxa"/>
          </w:tcPr>
          <w:p w14:paraId="02C161FA" w14:textId="0F4A049B" w:rsidR="00087388" w:rsidRPr="000A6489" w:rsidRDefault="00E643F5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483" w:type="dxa"/>
          </w:tcPr>
          <w:p w14:paraId="4CF9B440" w14:textId="77777777" w:rsidR="00087388" w:rsidRPr="009610E4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 tal-iskopertura wara s-CCF u wara s-CRM</w:t>
            </w:r>
          </w:p>
          <w:p w14:paraId="759BF3E5" w14:textId="3DAEAAB5" w:rsidR="00087388" w:rsidRPr="009610E4" w:rsidRDefault="00087388" w:rsidP="11F50173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tal-iskopertura f’konformità mal-Artikolu 166 tar-Regolament (UE) Nru 575/2013.</w:t>
            </w:r>
          </w:p>
          <w:p w14:paraId="0953D1A1" w14:textId="60C7F852" w:rsidR="00087388" w:rsidRPr="000A6489" w:rsidRDefault="00087388" w:rsidP="11F50173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tinkludi s-somma tal-valur tal-iskopertura tal-iskoperturi fil-karta bilanċjali u tal-iskoperturi li ma jidhrux fil-karta bilanċjali wara l-fatturi ta’ konverżjoni u l-perċentwali f’konformità mal-Artikolu 166(8) u (9) tar-Regolament (UE) 575/2013.</w:t>
            </w:r>
          </w:p>
        </w:tc>
      </w:tr>
      <w:tr w:rsidR="00087388" w:rsidRPr="00F1728C" w14:paraId="03D4CBDA" w14:textId="77777777" w:rsidTr="60FDE7BB">
        <w:trPr>
          <w:trHeight w:val="695"/>
        </w:trPr>
        <w:tc>
          <w:tcPr>
            <w:tcW w:w="1555" w:type="dxa"/>
          </w:tcPr>
          <w:p w14:paraId="2EEE3EE6" w14:textId="498E6F5D" w:rsidR="00087388" w:rsidRPr="000A6489" w:rsidRDefault="00E643F5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483" w:type="dxa"/>
          </w:tcPr>
          <w:p w14:paraId="4B042DBA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PD medju ponderat skont l-iskopertura (%)</w:t>
            </w:r>
          </w:p>
          <w:p w14:paraId="529D72CA" w14:textId="77777777" w:rsidR="00087388" w:rsidRPr="000A6489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Għall-iskoperturi kollha inklużi f’kull medda tal-medda fissa ta’ PDs, l-istima tal-PD medju ta’ kull obbligant, ponderata skont il-valur tal-iskopertura wara s-CCF u s-CRM bħal fil-kolonna e ta’ dan il-mudell</w:t>
            </w:r>
          </w:p>
        </w:tc>
      </w:tr>
      <w:tr w:rsidR="009610E4" w:rsidRPr="009610E4" w14:paraId="114B33C3" w14:textId="77777777" w:rsidTr="60FDE7BB">
        <w:trPr>
          <w:trHeight w:val="316"/>
        </w:trPr>
        <w:tc>
          <w:tcPr>
            <w:tcW w:w="1555" w:type="dxa"/>
          </w:tcPr>
          <w:p w14:paraId="15EF8CF4" w14:textId="78532A1C" w:rsidR="00087388" w:rsidRPr="000A6489" w:rsidRDefault="00E643F5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483" w:type="dxa"/>
          </w:tcPr>
          <w:p w14:paraId="0FCE60AF" w14:textId="77777777" w:rsidR="00087388" w:rsidRPr="009610E4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Għadd ta’ obbliganti</w:t>
            </w:r>
          </w:p>
          <w:p w14:paraId="0F085D67" w14:textId="6F6570A2" w:rsidR="00087388" w:rsidRPr="009610E4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In-numru ta’ entitajiet ġuridiċi jew ta’ obbliganti allokati għal kull bucket tal-medda fissa ta’ PDs, li ġew ikklassifikati separatament, irrispettivament min-numru ta’ self jew ta’ skoperturi differenti mogħtija.</w:t>
            </w:r>
          </w:p>
          <w:p w14:paraId="23AAE725" w14:textId="7CAFBF26" w:rsidR="00087388" w:rsidRPr="000A6489" w:rsidRDefault="00087388" w:rsidP="11F50173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Il-kondebituri għandhom jiġu trattati l-istess bħal għall-fini tal-kalibrar tal-PD.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skoperturi differenti għall-istess debitur ikunu klassifikati separatament, dawn għandhom jingħaddu separatament.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Tali sitwazzjoni tista’ sseħħ fil-klassi tal-iskopertura fil-livell tal-konsumatur jekk id-definizzjoni ta’ inadempjenza tiġi applikata fil-livell ta’ faċilità ta’ kreditu individwali f’konformità mal-aħħar sentenza tal-Artikolu 178(1) tar-Regolament (UE) 575/2013, jew jekk skoperturi separati għall-istess debitur jiġu assenjati għal gradi differenti ta’ debitur f’konformità mat-tieni sentenza tal-Artikolu 172(1)(e) tar-Regolament (UE) 575/2013 fi klassijiet tal-iskoperturi oħrajn.</w:t>
            </w:r>
          </w:p>
        </w:tc>
      </w:tr>
      <w:tr w:rsidR="009610E4" w:rsidRPr="009610E4" w14:paraId="7ACEEA2D" w14:textId="77777777" w:rsidTr="60FDE7BB">
        <w:trPr>
          <w:trHeight w:val="695"/>
        </w:trPr>
        <w:tc>
          <w:tcPr>
            <w:tcW w:w="1555" w:type="dxa"/>
          </w:tcPr>
          <w:p w14:paraId="6A0A92FB" w14:textId="36574F86" w:rsidR="00087388" w:rsidRPr="000A6489" w:rsidRDefault="00E643F5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483" w:type="dxa"/>
          </w:tcPr>
          <w:p w14:paraId="7DB67358" w14:textId="77777777" w:rsidR="00087388" w:rsidRPr="009610E4" w:rsidRDefault="00087388" w:rsidP="00725D4D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 xml:space="preserve">LGD medju ponderat skont l-iskopertura (%)</w:t>
            </w:r>
          </w:p>
          <w:p w14:paraId="35AF9A0B" w14:textId="0C9ED78A" w:rsidR="00087388" w:rsidRPr="009610E4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Għall-iskoperturi kollha inklużi f’kull bucket tal-medda fissa ta’ PDs, il-medja tal-istimi tal-LGD għal kull skopertura, ponderata skont il-valur tal-iskopertura wara s-CCF u wara s-CRM bħal fil-kolonna e ta’ dan il-mudell.</w:t>
            </w:r>
          </w:p>
          <w:p w14:paraId="322DD119" w14:textId="3B8EDC7F" w:rsidR="00087388" w:rsidRPr="009610E4" w:rsidRDefault="00087388" w:rsidP="11F50173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L-LGD iddivulgat għandu jikkorrispondi għall-istima finali tal-LGD użata fil-kalkolu tal-ammonti ponderati għar-riskju miksuba wara li jitqiesu kwalunkwe effetti CRM u kundizzjonijiet ta’ reċessjoni fejn rilevanti.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skoperturi fil-livell tal-konsumatur garantiti bi proprjetajiet immobbli, l-LGD iddikjarat għandu jqis il-limiti minimi speċifikati fl-Artikolu 164(4) tar-Regolament (UE) Nru 575/2013.</w:t>
            </w:r>
          </w:p>
          <w:p w14:paraId="2D98E957" w14:textId="51EF9130" w:rsidR="00087388" w:rsidRPr="009610E4" w:rsidRDefault="00087388" w:rsidP="11F50173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Fil-każ ta’ skoperturi soġġetti għat-trattament doppju ta’ inadempjenza, l-LGD li għandu jiġi ddikjarat għandu jikkorrispondi għal dak magħżul f’konformità mal-Artikolu 161(4) tar-Regolament (UE) Nru 575/2013.</w:t>
            </w:r>
          </w:p>
          <w:p w14:paraId="1D3BC235" w14:textId="2591D8F8" w:rsidR="00087388" w:rsidRPr="000A6489" w:rsidRDefault="00087388" w:rsidP="11F50173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skoperturi inadempjenti skont l-approċċ A-IRB, għandhom jiġu kkunsidrati d-dispożizzjonijiet stabbiliti fl-Artikolu 181(1), il-punt (h)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L-LGD iddivulgat għandu jikkorrispondi għall-istima tal-LGD f’inadempjenza f’konformità mal-metodoloġiji ta’ stima applikabbli.</w:t>
            </w:r>
          </w:p>
        </w:tc>
      </w:tr>
      <w:tr w:rsidR="009610E4" w:rsidRPr="009610E4" w14:paraId="3A4FB7CB" w14:textId="77777777" w:rsidTr="60FDE7BB">
        <w:trPr>
          <w:trHeight w:val="695"/>
        </w:trPr>
        <w:tc>
          <w:tcPr>
            <w:tcW w:w="1555" w:type="dxa"/>
          </w:tcPr>
          <w:p w14:paraId="5FDD1F99" w14:textId="3ABA492A" w:rsidR="00087388" w:rsidRPr="000A6489" w:rsidRDefault="00E643F5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</w:t>
            </w:r>
          </w:p>
        </w:tc>
        <w:tc>
          <w:tcPr>
            <w:tcW w:w="7483" w:type="dxa"/>
          </w:tcPr>
          <w:p w14:paraId="4AE02F64" w14:textId="77777777" w:rsidR="00087388" w:rsidRPr="009610E4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Maturità medja ponderata skont l-iskopertura (snin)</w:t>
            </w:r>
          </w:p>
          <w:p w14:paraId="5F0587B5" w14:textId="1AA6D946" w:rsidR="00087388" w:rsidRPr="009610E4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Għall-iskoperturi kollha inklużi f’kull bucket tal-medda fissa ta’ PDs, il-maturità medja ta’ kull skopertura, ponderata skont il-valur tal-iskopertura wara s-CCF bħal fil-kolonna e ta’ dan il-mudell.</w:t>
            </w:r>
          </w:p>
          <w:p w14:paraId="0B4B4311" w14:textId="3775C18C" w:rsidR="00087388" w:rsidRPr="009610E4" w:rsidRDefault="00087388" w:rsidP="11F50173">
            <w:pPr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iddikjarat tal-maturità jirrifletti l-Artikolu 162 tar-Regolament (UE)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D7CEB78" w14:textId="77777777" w:rsidR="00087388" w:rsidRPr="009610E4" w:rsidRDefault="00087388" w:rsidP="00725D4D">
            <w:pPr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Il-maturità medja għandha tiġi ddivulgata fi snin.</w:t>
            </w:r>
          </w:p>
          <w:p w14:paraId="5D1C7074" w14:textId="51C2EDCB" w:rsidR="00087388" w:rsidRPr="000A6489" w:rsidRDefault="00087388" w:rsidP="63E31B68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id-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ma għandhiex tiġi ddikjarata għall-valuri tal-iskopertura li għalihom il-maturità ma tkunx element fil-kalkolu tal-ammonti ta’ skoperturi ponderati għar-riskju f’konformità mal-Kapitolu 3 tat-Titolu II tal-Parti Tlieta tar-Regolament (UE)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ifisser li din il-kolonna ma għandhiex timtela għall-klassi tal-iskoperturi “fil-livell tal-konsumatur”.</w:t>
            </w:r>
          </w:p>
        </w:tc>
      </w:tr>
      <w:tr w:rsidR="009610E4" w:rsidRPr="009610E4" w14:paraId="4C616055" w14:textId="77777777" w:rsidTr="60FDE7BB">
        <w:trPr>
          <w:trHeight w:val="695"/>
        </w:trPr>
        <w:tc>
          <w:tcPr>
            <w:tcW w:w="1555" w:type="dxa"/>
          </w:tcPr>
          <w:p w14:paraId="3886062F" w14:textId="61A30A29" w:rsidR="00087388" w:rsidRPr="009610E4" w:rsidDel="00F079B2" w:rsidRDefault="00E643F5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</w:t>
            </w:r>
          </w:p>
        </w:tc>
        <w:tc>
          <w:tcPr>
            <w:tcW w:w="7483" w:type="dxa"/>
          </w:tcPr>
          <w:p w14:paraId="10CC1622" w14:textId="77777777" w:rsidR="00087388" w:rsidRPr="009610E4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tal-iskopertura ponderat għar-riskju wara l-fatturi ta’ appoġġ</w:t>
            </w:r>
          </w:p>
          <w:p w14:paraId="32F4737E" w14:textId="48C5AF52" w:rsidR="00087388" w:rsidRPr="009610E4" w:rsidRDefault="00087388" w:rsidP="11F50173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skoperturi għal gvernijiet ċentrali u għal banek ċentrali, għal istituzzjonijiet u għal impriżi, l-ammont tal-iskopertura ponderat għar-riskju kkalkolat f’konformità mal-Artikolu 153 minn (1) sa (4) tar-Regolament (UE) 575/2013;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skoperturi fil-livell tal-konsumatur, l-ammont tal-iskopertura ponderat għar-riskju kkalkolat f’konformità mal-Artikolu 154 tar-Regolament (UE) Nru 575/2013.</w:t>
            </w:r>
          </w:p>
          <w:p w14:paraId="2EAE4CC0" w14:textId="10DBF653" w:rsidR="00087388" w:rsidRPr="009610E4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jitqiesu l-fatturi ta’ sostenn għall-SMEs u għall-infrastruttura f’konformità mal-Artikolu 501 u mal-Artikolu 501a tar-Regolament (UE)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87388" w:rsidRPr="00F1728C" w14:paraId="41B76A0A" w14:textId="77777777" w:rsidTr="60FDE7BB">
        <w:trPr>
          <w:trHeight w:val="695"/>
        </w:trPr>
        <w:tc>
          <w:tcPr>
            <w:tcW w:w="1555" w:type="dxa"/>
          </w:tcPr>
          <w:p w14:paraId="3BF6AD36" w14:textId="61857C15" w:rsidR="00087388" w:rsidRPr="000A6489" w:rsidRDefault="00E643F5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</w:t>
            </w:r>
          </w:p>
        </w:tc>
        <w:tc>
          <w:tcPr>
            <w:tcW w:w="7483" w:type="dxa"/>
          </w:tcPr>
          <w:p w14:paraId="254CED4A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Densità tal-ammonti tal-iskoperturi ponderati għar-riskju</w:t>
            </w:r>
          </w:p>
          <w:p w14:paraId="0A097DB5" w14:textId="391BAC06" w:rsidR="00087388" w:rsidRPr="000A6489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Proporzjon bejn is-somma tal-ammonti tal-iskopertura ponderati għar-riskju wara l-fatturi ta’ sostenn bħal fil-kolonna i ta’ dan il-mudell u l-valur tal-iskopertura bħal fil-kolonna d ta’ dan il-mudell.</w:t>
            </w:r>
          </w:p>
        </w:tc>
      </w:tr>
      <w:tr w:rsidR="009610E4" w:rsidRPr="009610E4" w14:paraId="3554034A" w14:textId="77777777" w:rsidTr="60FDE7BB">
        <w:trPr>
          <w:trHeight w:val="695"/>
        </w:trPr>
        <w:tc>
          <w:tcPr>
            <w:tcW w:w="1555" w:type="dxa"/>
          </w:tcPr>
          <w:p w14:paraId="201627B3" w14:textId="7AB25CBD" w:rsidR="00087388" w:rsidRPr="000A6489" w:rsidRDefault="00E643F5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</w:t>
            </w:r>
          </w:p>
        </w:tc>
        <w:tc>
          <w:tcPr>
            <w:tcW w:w="7483" w:type="dxa"/>
          </w:tcPr>
          <w:p w14:paraId="2480350D" w14:textId="77777777" w:rsidR="00087388" w:rsidRPr="009610E4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ta’ telf mistenni</w:t>
            </w:r>
          </w:p>
          <w:p w14:paraId="3F5BAB26" w14:textId="0F956916" w:rsidR="00087388" w:rsidRPr="009610E4" w:rsidRDefault="00087388" w:rsidP="11F50173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telf mistenni kkalkulat f’konformità mal-Artikolu 158 tar-Regolament (UE) Nru 575/2013.</w:t>
            </w:r>
          </w:p>
          <w:p w14:paraId="04447CFA" w14:textId="77777777" w:rsidR="00087388" w:rsidRPr="000A6489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telf mistenni li għandu jiġi ddivulgat għandu jkun ibbażat fuq il-parametri tar-riskju attwali użati fis-sistema ta’ klassifikazzjoni interna approvata mill-awtorità kompetenti rispettiva.</w:t>
            </w:r>
          </w:p>
        </w:tc>
      </w:tr>
      <w:tr w:rsidR="009610E4" w:rsidRPr="009610E4" w14:paraId="48A866E0" w14:textId="77777777" w:rsidTr="60FDE7BB">
        <w:trPr>
          <w:trHeight w:val="695"/>
        </w:trPr>
        <w:tc>
          <w:tcPr>
            <w:tcW w:w="1555" w:type="dxa"/>
          </w:tcPr>
          <w:p w14:paraId="748633DD" w14:textId="400B9BCC" w:rsidR="00087388" w:rsidRPr="000A6489" w:rsidRDefault="00E643F5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</w:t>
            </w:r>
          </w:p>
        </w:tc>
        <w:tc>
          <w:tcPr>
            <w:tcW w:w="7483" w:type="dxa"/>
          </w:tcPr>
          <w:p w14:paraId="671BD8C8" w14:textId="77777777" w:rsidR="00087388" w:rsidRPr="009610E4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Aġġustamenti tal-valur u provvedimenti</w:t>
            </w:r>
          </w:p>
          <w:p w14:paraId="1A7911DD" w14:textId="3912BE77" w:rsidR="00087388" w:rsidRPr="009610E4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speċifiċi u ġenerali għar-riskju ta’ kreditu f’konformità mar-Regolament ta’ Delega tal-Kummissjoni (UE) Nru 183/2014</w:t>
            </w:r>
            <w:r w:rsidRPr="000A6489">
              <w:rPr>
                <w:rStyle w:val="FootnoteReference"/>
                <w:rFonts w:ascii="Times New Roman" w:hAnsi="Times New Roman" w:cs="Times New Roman"/>
              </w:rPr>
              <w:footnoteReference w:id="2"/>
            </w:r>
            <w:r>
              <w:rPr>
                <w:sz w:val="24"/>
                <w:rFonts w:ascii="Times New Roman" w:hAnsi="Times New Roman"/>
              </w:rPr>
              <w:t xml:space="preserve">, aġġustamenti fil-valur addizzjonali f’konformità mal-Artikoli 34 u 110 tar-Regolament (UE) Nru 575/2013, kif ukoll tnaqqis ieħor ta’ fondi proprji relatat ma’ skoperturi allokati għal kull bucket fil-firxa tal-PD fissa.</w:t>
            </w:r>
          </w:p>
          <w:p w14:paraId="467B4F4E" w14:textId="0D254CBE" w:rsidR="00087388" w:rsidRPr="009610E4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Dawn l-aġġustamenti tal-valur u d-dispożizzjonijiet għandhom ikunu dawk ikkunsidrati għall-implimentazzjoni tal-Artikolu 159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88D9146" w14:textId="77777777" w:rsidR="00087388" w:rsidRPr="009610E4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Il-provvedimenti ġenerali għandhom jiġu ddivulgati billi jiġi assenjat l-ammont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pro rata</w:t>
            </w:r>
            <w:r>
              <w:rPr>
                <w:sz w:val="24"/>
                <w:rFonts w:ascii="Times New Roman" w:hAnsi="Times New Roman"/>
              </w:rPr>
              <w:t xml:space="preserve"> – f’konformità mat-telf mistenni ta’ gradi differenti ta’ debituri.</w:t>
            </w:r>
          </w:p>
        </w:tc>
      </w:tr>
    </w:tbl>
    <w:p w14:paraId="0D0B940D" w14:textId="77777777" w:rsidR="00087388" w:rsidRPr="00F1728C" w:rsidRDefault="00087388" w:rsidP="00087388">
      <w:pPr>
        <w:spacing w:after="120"/>
        <w:rPr>
          <w:rFonts w:ascii="Times New Roman" w:hAnsi="Times New Roman" w:cs="Times New Roman"/>
          <w:sz w:val="24"/>
        </w:rPr>
      </w:pPr>
    </w:p>
    <w:p w14:paraId="0E27B00A" w14:textId="77777777" w:rsidR="00087388" w:rsidRPr="000A6489" w:rsidRDefault="00087388" w:rsidP="00087388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7484"/>
      </w:tblGrid>
      <w:tr w:rsidR="00087388" w:rsidRPr="00F1728C" w14:paraId="2E633EEF" w14:textId="77777777" w:rsidTr="11F50173">
        <w:trPr>
          <w:trHeight w:val="90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F8FCF1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tar-ringiela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B17608" w14:textId="77777777" w:rsidR="00087388" w:rsidRPr="00F1728C" w:rsidRDefault="00087388" w:rsidP="00725D4D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087388" w:rsidRPr="00F1728C" w14:paraId="55527BB7" w14:textId="77777777" w:rsidTr="11F50173">
        <w:trPr>
          <w:trHeight w:val="238"/>
        </w:trPr>
        <w:tc>
          <w:tcPr>
            <w:tcW w:w="1555" w:type="dxa"/>
            <w:vMerge/>
          </w:tcPr>
          <w:p w14:paraId="60061E4C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48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B0A2FF6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087388" w:rsidRPr="00F1728C" w14:paraId="0683DB1D" w14:textId="77777777" w:rsidTr="11F50173">
        <w:trPr>
          <w:trHeight w:val="1601"/>
        </w:trPr>
        <w:tc>
          <w:tcPr>
            <w:tcW w:w="1555" w:type="dxa"/>
          </w:tcPr>
          <w:p w14:paraId="25D2174C" w14:textId="77777777" w:rsidR="00087388" w:rsidRPr="000A6489" w:rsidRDefault="00087388" w:rsidP="00725D4D">
            <w:pPr>
              <w:spacing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Klassi tal-iskoperturi X</w:t>
            </w:r>
          </w:p>
          <w:p w14:paraId="44EAFD9C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484" w:type="dxa"/>
          </w:tcPr>
          <w:p w14:paraId="1B9A966C" w14:textId="7E0DB493" w:rsidR="00087388" w:rsidRPr="00F1728C" w:rsidRDefault="01E22573" w:rsidP="0F62C19C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l-istituzzjonijiet ikunu rċevew permess sabiex jużaw l-LGDs u l-fatturi ta’ konverżjoni proprji għall-kalkolu tal-ammonti ta’ skoperturi ponderati għar-riskju, dawn għandhom jiddikjaraw l-informazzjoni meħtieġa f’dan il-mudell separatament għall-klassijiet tal-iskoperturi soġġetti għal dan il-permess (A-IRB).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Għall-klassijiet tal-iskoperturi li għalihom l-istituzzjoni ma jkollhiex permess tuża l-istimi proprji tal-LGD u l-fatturi ta’ konverżjoni (F-IRB) l-istituzzjoni għandha tiddivulga l-informazzjoni dwar l-iskoperturi rilevanti separatament bl-użu tal-mudell F-IRB.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aktar dettalji dwar il-klassijiet tal-iskoperturi, ara l-Mudell EU CR7 — Struzzjonijiet tal-approċċ IRB.</w:t>
            </w:r>
          </w:p>
        </w:tc>
      </w:tr>
      <w:tr w:rsidR="009610E4" w:rsidRPr="009610E4" w14:paraId="4D85411B" w14:textId="77777777" w:rsidTr="11F50173">
        <w:trPr>
          <w:trHeight w:val="1124"/>
        </w:trPr>
        <w:tc>
          <w:tcPr>
            <w:tcW w:w="1555" w:type="dxa"/>
          </w:tcPr>
          <w:p w14:paraId="78D7738C" w14:textId="77777777" w:rsidR="00087388" w:rsidRPr="000A6489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A-IRB</w:t>
            </w:r>
          </w:p>
        </w:tc>
        <w:tc>
          <w:tcPr>
            <w:tcW w:w="7484" w:type="dxa"/>
          </w:tcPr>
          <w:p w14:paraId="516F4E04" w14:textId="77777777" w:rsidR="00087388" w:rsidRPr="009610E4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Klassi tal-iskoperturi X</w:t>
            </w:r>
          </w:p>
          <w:p w14:paraId="593ACEDE" w14:textId="77B9CA25" w:rsidR="009C2B0F" w:rsidRPr="009610E4" w:rsidRDefault="00087388" w:rsidP="11F50173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kull klassi tal-iskoperturi elenkata fl-Artikolu 147(2) tar-Regolament (UE) 575/2013, bl-eċċezzjonijiet indikati hawn fuq, l-istituzzjonijiet għandhom jiddikjaraw mudell separat, b’diżaggregazzjoni ulterjuri għall-klassijiet tal-iskoperturi li ġejjin:</w:t>
            </w:r>
          </w:p>
          <w:p w14:paraId="6EECA9BF" w14:textId="43ED359C" w:rsidR="00087388" w:rsidRPr="009610E4" w:rsidRDefault="00504A90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fil-klassi tal-iskoperturi “skoperturi għal impriżi”, diżaggregazzjoni f’konformità mal-punt (c), l-Artikolu 147(2), is-subpunt (i), (ii) u (iii) tar-Regolament (UE) Nru 575/2013.</w:t>
            </w:r>
          </w:p>
          <w:p w14:paraId="45AEFE62" w14:textId="774CC043" w:rsidR="00087388" w:rsidRPr="009610E4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fid-diżaggregazzjoni tal-klassi tal-iskoperturi “skoperturi fil-livell tal-konsumatur” f’konformità mal-punt (d) tal-Artikolu 147(2), is-subpunt (i), (ii), (iii) u (iv)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99F2D42" w14:textId="77777777" w:rsidR="00087388" w:rsidRPr="000A6489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Ir-ringiela tal-iskoperturi totali għandha tiġi inkluża fl-aħħar ta’ kull mudell separat għal kull klassi tal-iskoperturi.</w:t>
            </w:r>
          </w:p>
        </w:tc>
      </w:tr>
      <w:tr w:rsidR="009610E4" w:rsidRPr="009610E4" w14:paraId="4E966BC0" w14:textId="77777777" w:rsidTr="11F50173">
        <w:trPr>
          <w:trHeight w:val="316"/>
        </w:trPr>
        <w:tc>
          <w:tcPr>
            <w:tcW w:w="1555" w:type="dxa"/>
          </w:tcPr>
          <w:p w14:paraId="6F4F3B3D" w14:textId="77777777" w:rsidR="00087388" w:rsidRPr="000A6489" w:rsidRDefault="00087388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F-IRB</w:t>
            </w:r>
          </w:p>
        </w:tc>
        <w:tc>
          <w:tcPr>
            <w:tcW w:w="7484" w:type="dxa"/>
          </w:tcPr>
          <w:p w14:paraId="364084E4" w14:textId="77777777" w:rsidR="00087388" w:rsidRPr="009610E4" w:rsidRDefault="00087388" w:rsidP="00725D4D">
            <w:pPr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Klassi tal-iskoperturi X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9353B77" w14:textId="41E26B41" w:rsidR="00087388" w:rsidRPr="009610E4" w:rsidRDefault="00087388" w:rsidP="11F50173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kull klassi tal-iskoperturi elenkata fl-Artikolu 147(2) tar-Regolament (UE) 575/2013, bl-eċċezzjonijiet indikati hawn fuq, l-istituzzjonijiet għandhom jiddikjaraw mudell separat, b’diżaggregazzjoni ulterjuri għall-klassijiet tal-iskoperturi li ġejjin:</w:t>
            </w:r>
          </w:p>
          <w:p w14:paraId="76DC65D8" w14:textId="34E061C7" w:rsidR="00504A90" w:rsidRPr="009610E4" w:rsidRDefault="4D7D683A" w:rsidP="11F50173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fil-klassi tal-iskoperturi “skoperturi għal impriżi” (l-Artikolu 147(2) tar-Regolament (UE) Nru 575/2013), diżaggregazzjoni f’konformità mal-Artikolu 147(2)(i), (ii) u (iii) tar-Regolament (UE) Nru 575/2013.</w:t>
            </w:r>
          </w:p>
          <w:p w14:paraId="09F757E2" w14:textId="18231EDE" w:rsidR="00087388" w:rsidRPr="000A6489" w:rsidRDefault="00087388" w:rsidP="00725D4D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B94D5A5" w14:textId="77777777" w:rsidR="00087388" w:rsidRPr="000A6489" w:rsidRDefault="00087388" w:rsidP="00087388">
      <w:pPr>
        <w:spacing w:after="120"/>
        <w:rPr>
          <w:rFonts w:ascii="Times New Roman" w:hAnsi="Times New Roman" w:cs="Times New Roman"/>
          <w:sz w:val="24"/>
        </w:rPr>
      </w:pPr>
    </w:p>
    <w:p w14:paraId="3DEEC669" w14:textId="77777777" w:rsidR="00087388" w:rsidRPr="000A6489" w:rsidRDefault="00087388" w:rsidP="00087388">
      <w:pPr>
        <w:spacing w:after="120"/>
        <w:rPr>
          <w:rFonts w:ascii="Times New Roman" w:hAnsi="Times New Roman" w:cs="Times New Roman"/>
          <w:sz w:val="24"/>
        </w:rPr>
      </w:pPr>
    </w:p>
    <w:p w14:paraId="5B489A8A" w14:textId="77777777" w:rsidR="00087388" w:rsidRPr="00F1728C" w:rsidRDefault="00087388" w:rsidP="00087388">
      <w:pPr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CR6-A – Approċċ IRB – Kamp ta’ applikazzjoni tal-użu tal-approċċi IRB u SA.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Mudell fiss</w:t>
      </w:r>
    </w:p>
    <w:p w14:paraId="3656B9AB" w14:textId="77777777" w:rsidR="00087388" w:rsidRPr="00F1728C" w:rsidRDefault="00087388" w:rsidP="00087388">
      <w:pPr>
        <w:spacing w:after="120"/>
        <w:rPr>
          <w:rFonts w:ascii="Times New Roman" w:hAnsi="Times New Roman" w:cs="Times New Roman"/>
          <w:sz w:val="24"/>
        </w:rPr>
      </w:pPr>
    </w:p>
    <w:p w14:paraId="0F23DA47" w14:textId="58447C56" w:rsidR="00087388" w:rsidRPr="00F1728C" w:rsidRDefault="01E22573" w:rsidP="003B7D6C">
      <w:pPr>
        <w:pStyle w:val="ListParagraph"/>
        <w:numPr>
          <w:ilvl w:val="0"/>
          <w:numId w:val="7"/>
        </w:numPr>
        <w:spacing w:after="120"/>
        <w:jc w:val="both"/>
        <w:rPr>
          <w:sz w:val="24"/>
          <w:szCs w:val="24"/>
          <w:rFonts w:ascii="Times New Roman" w:hAnsi="Times New Roman"/>
        </w:rPr>
      </w:pPr>
      <w:r>
        <w:rPr>
          <w:rFonts w:ascii="Times New Roman" w:hAnsi="Times New Roman"/>
        </w:rPr>
        <w:t xml:space="preserve">L-istituzzjonijiet li jikkalkolaw l-ammonti ta’ skoperturi ponderati għar-riskju skont l-Approċċ IRB għar-riskju ta’ kreditu għandhom jiddikjaraw l-informazzjoni msemmija fl-Artikolu 452(b) tar-Regolament (UE) 575/2013 billi jsegwu l-istruzzjonijiet ipprovduti hawn taħt f’dan l-Anness sabiex jimlew il-Mudell EU CR6-A li huwa ppreżentat fl-Anness XXI tas-soluzzjonijiet tal-IT tal-EBA.</w:t>
      </w:r>
    </w:p>
    <w:p w14:paraId="4B5E480E" w14:textId="13381D9A" w:rsidR="00087388" w:rsidRPr="00F1728C" w:rsidRDefault="00087388" w:rsidP="63E31B68">
      <w:pPr>
        <w:pStyle w:val="ListParagraph"/>
        <w:numPr>
          <w:ilvl w:val="0"/>
          <w:numId w:val="7"/>
        </w:numPr>
        <w:spacing w:after="120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Għall-finijiet ta’ dan il-mudell, l-istituzzjonijiet għandhom jallokaw l-iskoperturi tagħhom soġġetti għall-Approċċ Standardizzat stabbilit fil-Kapitolu 2 tat-Titolu II tal-Parti Tlieta jew għall-Approċċ IRB stabbilit fil-Kapitolu 3 tat-Titolu II tal-Parti Tlieta għall-klassijiet tal-iskoperturi kif iddefiniti skont l-Approċċ IRB.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Dan il-mudell jeskludi l-iskoperturi għar-riskju ta’ kreditu tal-kontroparti (CCR) (il-Kapitolu 6 tat-Titolu II tal-Parti Tlieta tar-Regolament (UE) 575/2013), u l-iskoperturi tat-titolizzazzjoni.</w:t>
      </w:r>
    </w:p>
    <w:p w14:paraId="1865EDC4" w14:textId="7E9F1F91" w:rsidR="00087388" w:rsidRPr="00F1728C" w:rsidRDefault="00087388" w:rsidP="11F50173">
      <w:pPr>
        <w:pStyle w:val="ListParagraph"/>
        <w:numPr>
          <w:ilvl w:val="0"/>
          <w:numId w:val="7"/>
        </w:numPr>
        <w:spacing w:after="120"/>
        <w:ind w:left="714" w:hanging="357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Fin-narrattiva li takkumpanja l-mudell, l-istituzzjonijiet għandhom jispjegaw kwalunkwe differenza materjali bejn il-valur tal-iskopertura kif iddefinit fl-Artikolu 166 għall-iskoperturi tal-IRB bħal fil-kolonna a tal-mudell u l-valur tal-iskopertura għall-istess skoperturi f’konformità mal-Artikolu 429(4) tar-Regolament (UE) 575/2013, bħal fil-kolonni b u d ta’ dan il-mudell.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7632"/>
      </w:tblGrid>
      <w:tr w:rsidR="00087388" w:rsidRPr="00F1728C" w14:paraId="1202DD0E" w14:textId="77777777" w:rsidTr="63E31B68">
        <w:trPr>
          <w:trHeight w:val="90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C1942C" w14:textId="77777777" w:rsidR="00087388" w:rsidRPr="000A6489" w:rsidRDefault="00087388" w:rsidP="00725D4D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087388" w:rsidRPr="00F1728C" w14:paraId="203103B3" w14:textId="77777777" w:rsidTr="63E31B68">
        <w:trPr>
          <w:trHeight w:val="23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7BA2571" w14:textId="77777777" w:rsidR="00087388" w:rsidRPr="000A6489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tal-kolonna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29AB804" w14:textId="77777777" w:rsidR="00087388" w:rsidRPr="000A6489" w:rsidRDefault="00087388" w:rsidP="00725D4D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9610E4" w:rsidRPr="009610E4" w14:paraId="0BBBC27A" w14:textId="77777777" w:rsidTr="63E31B68">
        <w:trPr>
          <w:trHeight w:val="31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3DB8" w14:textId="77777777" w:rsidR="00087388" w:rsidRPr="009610E4" w:rsidRDefault="00087388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7760" w14:textId="06E6B93A" w:rsidR="00087388" w:rsidRPr="009610E4" w:rsidRDefault="00B91174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spacing w:val="-2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 totali tal-iskopertura kif iddefinit fl-Artikolu 166 CRR għall-iskoperturi soġġetti għall-approċċ IRB</w:t>
            </w:r>
          </w:p>
          <w:p w14:paraId="22960DEC" w14:textId="259642C3" w:rsidR="00087388" w:rsidRPr="009610E4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pacing w:val="-2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f’din il-kolonna l-valur totali tal-iskopertura kif iddefinit fl-Artikolu 166 tar-Regolament (UE) 575/2013, għal dawk l-iskoperturi biss skont l-approċċ IRB.</w:t>
            </w:r>
          </w:p>
        </w:tc>
      </w:tr>
      <w:tr w:rsidR="009610E4" w:rsidRPr="009610E4" w14:paraId="3CF94307" w14:textId="77777777" w:rsidTr="63E31B68">
        <w:trPr>
          <w:trHeight w:val="31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F774" w14:textId="77777777" w:rsidR="00087388" w:rsidRPr="009610E4" w:rsidRDefault="00087388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1087" w14:textId="77777777" w:rsidR="00087388" w:rsidRPr="009610E4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pacing w:val="-2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 tal-iskoperturi totali għal skoperturi soġġetti għall-Approċċ standardizzat u għall-approċċ IRB</w:t>
            </w:r>
          </w:p>
          <w:p w14:paraId="715E07E7" w14:textId="108C0C4F" w:rsidR="00087388" w:rsidRPr="009610E4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jużaw il-valur tal-iskopertura f’konformità mal-Artikolu 429(4) tar-Regolament (UE) 575/2013 sabiex jiddikjaraw il-valur tal-iskopertura totali, inklużi kemm l-iskoperturi skont l-approċċ standardizzat kif ukoll l-iskoperturi skont l-approċċ IRB.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87388" w:rsidRPr="00F1728C" w14:paraId="6E3E2BF2" w14:textId="77777777" w:rsidTr="63E31B68">
        <w:trPr>
          <w:trHeight w:val="31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1D00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BADF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pacing w:val="-2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Perċentwal tal-valur tal-iskoperturi totali soġġett għall-użu parzjali permanenti tal-SA (%)</w:t>
            </w:r>
          </w:p>
          <w:p w14:paraId="2766CDC2" w14:textId="5A19A0E5" w:rsidR="00087388" w:rsidRPr="00F1728C" w:rsidRDefault="00087388" w:rsidP="63E31B68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Parti mill-iskopertura għal kull klassi tal-iskopertura soġġetta għall-Approċċ Standardizzat (skopertura soġġetta għall-Approċċ Standardizzat stabbilit fil-Kapitolu 2 tat-Titolu II tal-Parti Tlieta, f’konformità mal-kamp ta’ applikazzjoni tal-permess għall-użu parzjali permanenti tal-Approċċ Standardizzat riċevut minn awtorità kompetenti f’konformità mal-Artikolu 150 tar-Regolament (UE) 575/2013), fuq l-iskopertura totali f’dik il-klassi tal-iskopertura bħal fil-kolonna b ta’ dan il-mudell.</w:t>
            </w:r>
          </w:p>
        </w:tc>
      </w:tr>
      <w:tr w:rsidR="00087388" w:rsidRPr="00F1728C" w14:paraId="44A7F909" w14:textId="77777777" w:rsidTr="63E31B68">
        <w:trPr>
          <w:trHeight w:val="31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D049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48FF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pacing w:val="-2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Perċentwal tal-valur tal-iskopertura totali soġġett għall-approċċ IRB (%)</w:t>
            </w:r>
          </w:p>
          <w:p w14:paraId="7F835ACD" w14:textId="6B1A5E27" w:rsidR="00087388" w:rsidRPr="00F1728C" w:rsidRDefault="00087388" w:rsidP="63E31B68">
            <w:pPr>
              <w:autoSpaceDE w:val="0"/>
              <w:autoSpaceDN w:val="0"/>
              <w:adjustRightInd w:val="0"/>
              <w:spacing w:after="120"/>
              <w:jc w:val="both"/>
              <w:rPr>
                <w:spacing w:val="-2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Parti mill-iskopertura għal kull klassi tal-iskopertura soġġetta għall-approċċ IRB (skopertura soġġetta għall-Approċċ IRB stabbilit fil-Kapitolu 3 tat-Titolu II tal-Parti Tlieta fuq l-iskopertura totali f’dik il-klassi tal-iskopertura), filwaqt li jiġi rrispettat il-kamp ta’ applikazzjoni tal-permess riċevut minn awtorità kompetenti sabiex jintuża l-Approċċ IRB f’konformità mal-Artikolu 143 tar-Regolament (UE) 575/2013, fuq l-iskopertura totali f’dik il-klassi tal-iskopertura bħal fil-kolonna b ta’ dan il-mudell.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għandu jinkludi kemm skoperturi meta l-istituzzjonijiet ikollhom il-permess li jużaw l-istima tal-LGD u l-fatturi ta’ konverżjoni tagħhom stess jew le (F-IRB u A-IRB), inkluż approċċ ta’ klassifikar prudenzjali superviżorju għal skoperturi speċjalizzati ta’ għoti ta’ self u għal skoperturi ta’ ekwità skont l-approċċ sempliċi ta’ ponderazzjoni tar-riskji.</w:t>
            </w:r>
          </w:p>
        </w:tc>
      </w:tr>
      <w:tr w:rsidR="00087388" w:rsidRPr="00F1728C" w14:paraId="12193497" w14:textId="77777777" w:rsidTr="63E31B68">
        <w:trPr>
          <w:trHeight w:val="31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8EB6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DC23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pacing w:val="-2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Perċentwal tal-valur tal-iskopertura totali soġġett għal pjan ta’ introduzzjoni (%)</w:t>
            </w:r>
          </w:p>
          <w:p w14:paraId="2A8E1233" w14:textId="31914B7D" w:rsidR="00087388" w:rsidRPr="00F1728C" w:rsidRDefault="00087388" w:rsidP="63E31B68">
            <w:pPr>
              <w:autoSpaceDE w:val="0"/>
              <w:autoSpaceDN w:val="0"/>
              <w:adjustRightInd w:val="0"/>
              <w:spacing w:after="120"/>
              <w:jc w:val="both"/>
              <w:rPr>
                <w:spacing w:val="-2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Parti mill-iskopertura għal kull klassi ta’ assi soġġetta għall-implimentazzjoni sekwenzjali tal-approċċ IRB skont l-Artikolu 148 tar-Regolament (UE) 575/2013, meta mqabbla mal-iskopertura totali f’dik il-klassi tal-iskopertura kif indikat fil-kolonna b.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għandu jinkludi:</w:t>
            </w:r>
          </w:p>
          <w:p w14:paraId="0A7D52D7" w14:textId="6EBCC2D4" w:rsidR="00087388" w:rsidRPr="00F1728C" w:rsidRDefault="00087388" w:rsidP="0008738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jc w:val="both"/>
              <w:rPr>
                <w:spacing w:val="-2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iż-żewġ skoperturi meta l-istituzzjonijiet jippjanaw li japplikaw approċċ IRB bl-istima proprja tal-LGD jew mingħajrha u fatturi ta’ konverżjoni (F-IRB jew A-IRB);</w:t>
            </w:r>
          </w:p>
          <w:p w14:paraId="545F55BD" w14:textId="69CA4A75" w:rsidR="00087388" w:rsidRPr="00F1728C" w:rsidRDefault="00087388" w:rsidP="0008738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jc w:val="both"/>
              <w:rPr>
                <w:spacing w:val="-2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ta’ ekwità immaterjali mhux inklużi fil-kolonni c u d ta’ dan il-mudell;</w:t>
            </w:r>
          </w:p>
          <w:p w14:paraId="62816ED4" w14:textId="67C0E187" w:rsidR="00087388" w:rsidRPr="00F1728C" w:rsidRDefault="00087388" w:rsidP="0008738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jc w:val="both"/>
              <w:rPr>
                <w:spacing w:val="-2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diġà taħt F-IRB meta istituzzjoni tkun qed tippjana li tapplika A-IRB fil-futur;</w:t>
            </w:r>
          </w:p>
          <w:p w14:paraId="3FD0FBD5" w14:textId="77777777" w:rsidR="00087388" w:rsidRPr="00F1728C" w:rsidRDefault="00087388" w:rsidP="00087388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speċjalizzati ta’ għoti ta’ self taħt l-approċċ ta’ klassifikar prudenzjali superviżorju mhux inklużi fil-kolonna d ta’ dan il-mudell.</w:t>
            </w:r>
          </w:p>
        </w:tc>
      </w:tr>
    </w:tbl>
    <w:p w14:paraId="45FB0818" w14:textId="77777777" w:rsidR="00087388" w:rsidRPr="00F1728C" w:rsidRDefault="00087388" w:rsidP="00087388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87388" w:rsidRPr="00F1728C" w14:paraId="241D7A38" w14:textId="77777777" w:rsidTr="0F62C19C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522B50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FE3064" w14:textId="77777777" w:rsidR="00087388" w:rsidRPr="00F1728C" w:rsidRDefault="00087388" w:rsidP="00725D4D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087388" w:rsidRPr="00F1728C" w14:paraId="555AFC23" w14:textId="77777777" w:rsidTr="0F62C19C">
        <w:trPr>
          <w:trHeight w:val="403"/>
        </w:trPr>
        <w:tc>
          <w:tcPr>
            <w:tcW w:w="1413" w:type="dxa"/>
            <w:vMerge/>
          </w:tcPr>
          <w:p w14:paraId="049F31CB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478F8C7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087388" w:rsidRPr="00F1728C" w14:paraId="6607530A" w14:textId="77777777" w:rsidTr="0F62C19C">
        <w:trPr>
          <w:trHeight w:val="316"/>
        </w:trPr>
        <w:tc>
          <w:tcPr>
            <w:tcW w:w="1413" w:type="dxa"/>
          </w:tcPr>
          <w:p w14:paraId="4EADCEC8" w14:textId="6D98E609" w:rsidR="00087388" w:rsidRPr="00F1728C" w:rsidRDefault="001505CE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1-8</w:t>
            </w:r>
          </w:p>
        </w:tc>
        <w:tc>
          <w:tcPr>
            <w:tcW w:w="7654" w:type="dxa"/>
          </w:tcPr>
          <w:p w14:paraId="0461CF21" w14:textId="5CBB5223" w:rsidR="00087388" w:rsidRPr="00F1728C" w:rsidRDefault="01E22573" w:rsidP="0F62C19C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jinkludu l-informazzjoni fil-mudell CR 6-A skont il-klassijiet tal-iskoperturi, f’konformità mad-diżaggregazzjoni tal-klassijiet tal-iskoperturi inklużi fir-ringieli tal-mudell.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aktar dettalji dwar il-klassijiet tal-iskoperturi, ara l-istruzzjonijiet tal-Mudell EU CR7 — approċċ IRB.</w:t>
            </w:r>
          </w:p>
        </w:tc>
      </w:tr>
    </w:tbl>
    <w:p w14:paraId="53128261" w14:textId="77777777" w:rsidR="00087388" w:rsidRPr="00F1728C" w:rsidRDefault="00087388" w:rsidP="00087388">
      <w:pPr>
        <w:spacing w:after="120"/>
        <w:rPr>
          <w:rFonts w:ascii="Times New Roman" w:hAnsi="Times New Roman" w:cs="Times New Roman"/>
          <w:sz w:val="24"/>
        </w:rPr>
      </w:pPr>
    </w:p>
    <w:p w14:paraId="599DF724" w14:textId="77777777" w:rsidR="00087388" w:rsidRPr="00F1728C" w:rsidRDefault="00087388" w:rsidP="00087388">
      <w:pPr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CR7 – Approċċ IRB – Effett fuq l-ammonti ta’ Skoperturi Ponderati għar-Riskju ta’ derivattivi ta’ kreditu użati bħala tekniki tas-CRM.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Mudell fiss.</w:t>
      </w:r>
    </w:p>
    <w:p w14:paraId="7B6AB97E" w14:textId="6E2C137C" w:rsidR="00087388" w:rsidRPr="00F1728C" w:rsidRDefault="00087388" w:rsidP="63E31B68">
      <w:pPr>
        <w:pStyle w:val="ListParagraph"/>
        <w:numPr>
          <w:ilvl w:val="0"/>
          <w:numId w:val="7"/>
        </w:numPr>
        <w:spacing w:after="120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fl-Artikolu 453(j) tar-Regolament (UE) 575/2013 billi jsegwu l-istruzzjonijiet ipprovduti hawn taħt f’dan l-Anness sabiex jimlew il-mudell EU CR7, ippreżentat fl-Anness XXI tas-soluzzjonijiet tal-IT tal-EBA.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jissupplimentaw il-mudell b’narrattiva sabiex jispjegaw l-effett tad-derivattivi ta’ kreditu fuq l-ammonti ta’ skoperturi ponderati għar-riskju.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Dan il-mudell jeskludi l-iskoperturi għar-riskju ta’ kreditu tal-kontroparti (CCR) (il-Kapitolu 6 tat-Titolu II tal-Parti Tlieta tar-Regolament (UE) 575/2013), l-iskoperturi tat-titolizzazzjoni, assi oħrajn b’obbligi mhux ta’ kreditu, l-impriżi ta’ investiment kollettiv u l-iskoperturi tal-ekwità.</w:t>
      </w:r>
    </w:p>
    <w:p w14:paraId="62486C05" w14:textId="77777777" w:rsidR="00087388" w:rsidRPr="00F1728C" w:rsidRDefault="00087388" w:rsidP="00087388">
      <w:pPr>
        <w:pStyle w:val="ListParagraph"/>
        <w:spacing w:after="120"/>
        <w:ind w:left="714"/>
        <w:rPr>
          <w:rFonts w:ascii="Times New Roman" w:hAnsi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87388" w:rsidRPr="00F1728C" w14:paraId="3533ABDE" w14:textId="77777777" w:rsidTr="63E31B68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850708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tal-kolonna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4671C8" w14:textId="77777777" w:rsidR="00087388" w:rsidRPr="00F1728C" w:rsidRDefault="00087388" w:rsidP="00725D4D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087388" w:rsidRPr="00F1728C" w14:paraId="5C810547" w14:textId="77777777" w:rsidTr="63E31B68">
        <w:trPr>
          <w:trHeight w:val="741"/>
        </w:trPr>
        <w:tc>
          <w:tcPr>
            <w:tcW w:w="1413" w:type="dxa"/>
            <w:vMerge/>
          </w:tcPr>
          <w:p w14:paraId="4101652C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6870B61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087388" w:rsidRPr="00F1728C" w14:paraId="49912972" w14:textId="77777777" w:rsidTr="63E31B68">
        <w:trPr>
          <w:trHeight w:val="316"/>
        </w:trPr>
        <w:tc>
          <w:tcPr>
            <w:tcW w:w="1413" w:type="dxa"/>
          </w:tcPr>
          <w:p w14:paraId="0E995611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4" w:type="dxa"/>
          </w:tcPr>
          <w:p w14:paraId="63722345" w14:textId="77777777" w:rsidR="00087388" w:rsidRPr="00F1728C" w:rsidRDefault="00087388" w:rsidP="00725D4D">
            <w:pPr>
              <w:pStyle w:val="Default"/>
              <w:spacing w:after="120"/>
              <w:rPr>
                <w:b/>
                <w:color w:val="auto"/>
                <w:rFonts w:ascii="Times New Roman" w:hAnsi="Times New Roman" w:cs="Times New Roman"/>
              </w:rPr>
            </w:pPr>
            <w:r>
              <w:rPr>
                <w:b/>
                <w:color w:val="auto"/>
                <w:rFonts w:ascii="Times New Roman" w:hAnsi="Times New Roman"/>
              </w:rPr>
              <w:t xml:space="preserve">Ammont tal-iskopertura ponderat għar-riskju ta’ derivattivi ta’ qabel il-kreditu</w:t>
            </w:r>
          </w:p>
          <w:p w14:paraId="42052019" w14:textId="4A521401" w:rsidR="00087388" w:rsidRPr="00F1728C" w:rsidRDefault="00087388" w:rsidP="00725D4D">
            <w:pPr>
              <w:pStyle w:val="Default"/>
              <w:spacing w:after="120"/>
              <w:rPr>
                <w:rFonts w:ascii="Times New Roman" w:hAnsi="Times New Roman" w:cs="Times New Roman"/>
              </w:rPr>
            </w:pPr>
            <w:r>
              <w:rPr>
                <w:color w:val="auto"/>
                <w:rFonts w:ascii="Times New Roman" w:hAnsi="Times New Roman"/>
              </w:rPr>
              <w:t xml:space="preserve">L-ammont tal-iskopertura ponderat għar-riskju ipotetiku kkalkolat bħala l-RWEA attwali billi ġie preżunt biss in-nuqqas ta’ rikonoxximent tad-derivattiv ta’ kreditu bħala teknika tas-CRM kif speċifikat fl-Artikolu 204 tar-Regolament (UE) 575/2013.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  <w:r>
              <w:rPr>
                <w:color w:val="auto"/>
                <w:rFonts w:ascii="Times New Roman" w:hAnsi="Times New Roman"/>
              </w:rPr>
              <w:t xml:space="preserve">L-ammonti għandhom jiġu ppreżentati fil-klassijiet tal-iskoperturi rilevanti għall-iskoperturi għad-debitur oriġinali.</w:t>
            </w:r>
          </w:p>
        </w:tc>
      </w:tr>
      <w:tr w:rsidR="00087388" w:rsidRPr="00F1728C" w14:paraId="11D4D0CB" w14:textId="77777777" w:rsidTr="63E31B68">
        <w:trPr>
          <w:trHeight w:val="316"/>
        </w:trPr>
        <w:tc>
          <w:tcPr>
            <w:tcW w:w="1413" w:type="dxa"/>
          </w:tcPr>
          <w:p w14:paraId="71608CFE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4" w:type="dxa"/>
          </w:tcPr>
          <w:p w14:paraId="489B469A" w14:textId="77777777" w:rsidR="00087388" w:rsidRPr="00F1728C" w:rsidRDefault="00087388" w:rsidP="00725D4D">
            <w:pPr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attwali tal-iskopertura ponderat għar-riskju</w:t>
            </w:r>
          </w:p>
          <w:p w14:paraId="414E9D56" w14:textId="77777777" w:rsidR="00087388" w:rsidRPr="00F1728C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tal-iskopertura ponderat għar-riskju kkalkolat billi jitqies l-impatt tad-derivattivi ta’ kreditu.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l-istituzzjonijiet jissostitwixxu l-piż tar-riskju jew il-parametri tar-riskju tal-obbligant bil-piż tar-riskju jew bil-parametri tar-riskju tal-fornitur tal-protezzjoni, l-ammonti ta’ skoperturi ponderati għar-riskju għandhom jiġu ppreżentati fil-klassi tal-iskoperturi rilevanti għal skoperturi diretti għall-fornitur tal-protezzjoni.</w:t>
            </w:r>
          </w:p>
        </w:tc>
      </w:tr>
    </w:tbl>
    <w:p w14:paraId="4B99056E" w14:textId="77777777" w:rsidR="00087388" w:rsidRPr="00F1728C" w:rsidRDefault="00087388" w:rsidP="00087388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87388" w:rsidRPr="00F1728C" w14:paraId="6F906D2B" w14:textId="77777777" w:rsidTr="0F62C19C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8C9DC6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tar-ringiela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ECF57C" w14:textId="77777777" w:rsidR="00087388" w:rsidRPr="00F1728C" w:rsidRDefault="00087388" w:rsidP="00725D4D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087388" w:rsidRPr="00F1728C" w14:paraId="32F2159D" w14:textId="77777777" w:rsidTr="0F62C19C">
        <w:trPr>
          <w:trHeight w:val="741"/>
        </w:trPr>
        <w:tc>
          <w:tcPr>
            <w:tcW w:w="1413" w:type="dxa"/>
            <w:vMerge/>
          </w:tcPr>
          <w:p w14:paraId="1299C43A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0D3B80B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087388" w:rsidRPr="00F1728C" w14:paraId="474BA759" w14:textId="77777777" w:rsidTr="0F62C19C">
        <w:trPr>
          <w:trHeight w:val="316"/>
        </w:trPr>
        <w:tc>
          <w:tcPr>
            <w:tcW w:w="1413" w:type="dxa"/>
          </w:tcPr>
          <w:p w14:paraId="7EF76B82" w14:textId="59124E5B" w:rsidR="00087388" w:rsidRPr="000A6489" w:rsidRDefault="01E22573" w:rsidP="0F62C19C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1, EU 1a, EU 1b, 2, EU 2a, EU 2b, 3, 5, EU 5a, EU 5b, EU 5c, 6, EU 6a, EU 6b, EU 6c, EU 8a, 9, 10, EU 10a, EU 10b, 17, 18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654" w:type="dxa"/>
          </w:tcPr>
          <w:p w14:paraId="42115022" w14:textId="77777777" w:rsidR="005C42F4" w:rsidRDefault="01E22573" w:rsidP="00725D4D">
            <w:pPr>
              <w:pStyle w:val="Default"/>
              <w:spacing w:after="120"/>
              <w:jc w:val="both"/>
              <w:rPr>
                <w:color w:val="auto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L-istituzzjonijiet għandhom jinkludu d-diżaggregazzjoni tal-ammont tal-iskopertura ponderat għar-riskju ta’ derivattivi ta’ qabel il-kreditu u l-iskopertura ponderata għar-riskju attwali skont il-klassi tal-iskopertura, f’konformità mal-klassijiet tal-iskoperturi u mas-sottoklassijiet tal-iskoperturi elenkati fl-Artikolu 147(2) tar-Regolament (UE) 575/2013 u separatament għall-iskoperturi skont l-approċċ F-IRB u l-iskoperturi skont l-approċċ A-IRB.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</w:p>
          <w:p w14:paraId="2FECA712" w14:textId="7FE9A950" w:rsidR="00087388" w:rsidRPr="00F1728C" w:rsidRDefault="01E22573" w:rsidP="00725D4D">
            <w:pPr>
              <w:pStyle w:val="Default"/>
              <w:spacing w:after="120"/>
              <w:jc w:val="both"/>
              <w:rPr>
                <w:color w:val="auto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L-istituzzjonijiet għandhom jiddikjaraw taħt ir-ringieli 17 u 18 ta’ dan il-mudell is-subtotali għall-iskoperturi F-IRB u għall-iskoperturi A-IRB.</w:t>
            </w:r>
          </w:p>
          <w:p w14:paraId="27A0B0E7" w14:textId="5BE819C5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B77F1A" w:rsidRPr="00F1728C" w14:paraId="1ADA600A" w14:textId="77777777" w:rsidTr="0F62C19C">
        <w:trPr>
          <w:trHeight w:val="316"/>
        </w:trPr>
        <w:tc>
          <w:tcPr>
            <w:tcW w:w="1413" w:type="dxa"/>
          </w:tcPr>
          <w:p w14:paraId="4DDBEF00" w14:textId="2664BDEA" w:rsidR="00B77F1A" w:rsidRPr="00F1728C" w:rsidRDefault="00E65AFD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654" w:type="dxa"/>
          </w:tcPr>
          <w:p w14:paraId="49FF129C" w14:textId="77777777" w:rsidR="001505CE" w:rsidRPr="000A6489" w:rsidRDefault="00B77F1A" w:rsidP="0F62C19C">
            <w:pPr>
              <w:pStyle w:val="Default"/>
              <w:spacing w:after="120"/>
              <w:jc w:val="both"/>
              <w:rPr>
                <w:b/>
                <w:bCs/>
                <w:rFonts w:ascii="Times New Roman" w:eastAsia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Impriżi- F-IRB</w:t>
            </w:r>
          </w:p>
          <w:p w14:paraId="2F95F6BA" w14:textId="7231863C" w:rsidR="00B77F1A" w:rsidRPr="00F1728C" w:rsidRDefault="001505CE" w:rsidP="0F62C19C">
            <w:pPr>
              <w:pStyle w:val="Default"/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Somma tal-iskoperturi fir-ringieli EU 5a, EU 5b u EU 5c.</w:t>
            </w:r>
          </w:p>
        </w:tc>
      </w:tr>
      <w:tr w:rsidR="00466600" w:rsidRPr="00F1728C" w14:paraId="134EC7D3" w14:textId="77777777" w:rsidTr="0F62C19C">
        <w:trPr>
          <w:trHeight w:val="316"/>
        </w:trPr>
        <w:tc>
          <w:tcPr>
            <w:tcW w:w="1413" w:type="dxa"/>
          </w:tcPr>
          <w:p w14:paraId="12F8CE7D" w14:textId="161B207A" w:rsidR="00466600" w:rsidRPr="00F1728C" w:rsidRDefault="004E2633" w:rsidP="0F62C19C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654" w:type="dxa"/>
          </w:tcPr>
          <w:p w14:paraId="166D59A5" w14:textId="77777777" w:rsidR="001505CE" w:rsidRPr="000A6489" w:rsidRDefault="004E2633" w:rsidP="0F62C19C">
            <w:pPr>
              <w:pStyle w:val="Default"/>
              <w:spacing w:after="120"/>
              <w:jc w:val="both"/>
              <w:rPr>
                <w:b/>
                <w:bCs/>
                <w:rFonts w:ascii="Times New Roman" w:eastAsia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Impriżi — A-IRB</w:t>
            </w:r>
          </w:p>
          <w:p w14:paraId="6C6DC143" w14:textId="68A82C81" w:rsidR="00725D4D" w:rsidRPr="00F1728C" w:rsidRDefault="001505CE" w:rsidP="0F62C19C">
            <w:pPr>
              <w:pStyle w:val="Default"/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Somma tal-iskoperturi fir-ringieli EU 6 a, EU 6b u EU 6c.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1E1AE0" w:rsidRPr="00F1728C" w14:paraId="3596E494" w14:textId="77777777" w:rsidTr="0F62C19C">
        <w:trPr>
          <w:trHeight w:val="316"/>
        </w:trPr>
        <w:tc>
          <w:tcPr>
            <w:tcW w:w="1413" w:type="dxa"/>
          </w:tcPr>
          <w:p w14:paraId="3461D779" w14:textId="31BE3BED" w:rsidR="001E1AE0" w:rsidRPr="00F1728C" w:rsidRDefault="00170359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 8a</w:t>
            </w:r>
          </w:p>
        </w:tc>
        <w:tc>
          <w:tcPr>
            <w:tcW w:w="7654" w:type="dxa"/>
          </w:tcPr>
          <w:p w14:paraId="5EC39BD9" w14:textId="77777777" w:rsidR="001505CE" w:rsidRPr="000A6489" w:rsidRDefault="002C7F1A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rFonts w:ascii="Times New Roman" w:eastAsia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Bejgħ bl-imnut — A-IRB</w:t>
            </w:r>
          </w:p>
          <w:p w14:paraId="20E57CB1" w14:textId="16C051F8" w:rsidR="001E1AE0" w:rsidRPr="00F1728C" w:rsidRDefault="001505CE" w:rsidP="000A648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Somma tal-iskoperturi fir-ringieli 9, 10, EU 10a u EU 10b.</w:t>
            </w:r>
          </w:p>
        </w:tc>
      </w:tr>
      <w:tr w:rsidR="00087388" w:rsidRPr="00F34968" w14:paraId="163D0C9E" w14:textId="77777777" w:rsidTr="0F62C19C">
        <w:trPr>
          <w:trHeight w:val="316"/>
        </w:trPr>
        <w:tc>
          <w:tcPr>
            <w:tcW w:w="1413" w:type="dxa"/>
          </w:tcPr>
          <w:p w14:paraId="446DE71A" w14:textId="6B15494B" w:rsidR="00087388" w:rsidRPr="00F1728C" w:rsidRDefault="7E7B1D6B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</w:t>
            </w:r>
          </w:p>
        </w:tc>
        <w:tc>
          <w:tcPr>
            <w:tcW w:w="7654" w:type="dxa"/>
          </w:tcPr>
          <w:p w14:paraId="54C536E7" w14:textId="4BDADB71" w:rsidR="00087388" w:rsidRPr="00F1728C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Skoperturi totali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E4B221A" w14:textId="77777777" w:rsidR="000264F8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tal-iskopertura ponderata għar-riskju ta’ derivattivi ta’ qabel il-kreditu, u l-ammont totali tal-iskopertura ponderata għar-riskju attwali għall-iskoperturi IRB kollha (inklużi l-F-IRB u l-A-IRB).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72ACCEE" w14:textId="52317465" w:rsidR="00087388" w:rsidRPr="000A6489" w:rsidRDefault="00E60EAB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tal-iskoperturi fir-ringieli 1, EU 1a, EU 1b, 2, EU 2a, EU 2b, 3, 5, 6, EU 8a.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0FB78278" w14:textId="77777777" w:rsidR="00087388" w:rsidRPr="000A6489" w:rsidRDefault="00087388" w:rsidP="00087388">
      <w:pPr>
        <w:spacing w:after="120"/>
        <w:rPr>
          <w:rFonts w:ascii="Times New Roman" w:hAnsi="Times New Roman" w:cs="Times New Roman"/>
          <w:sz w:val="24"/>
          <w:lang w:val="fr-FR"/>
        </w:rPr>
      </w:pPr>
    </w:p>
    <w:p w14:paraId="03923879" w14:textId="26214CE1" w:rsidR="00087388" w:rsidRPr="00F1728C" w:rsidRDefault="00087388" w:rsidP="00087388">
      <w:pPr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CR7 -Approċċ A IRB – Divulgazzjoni tal-firxa tal-użu tat-tekniki tas-CRM</w:t>
      </w:r>
      <w:r>
        <w:rPr>
          <w:b/>
          <w:sz w:val="24"/>
          <w:rFonts w:ascii="Times New Roman" w:hAnsi="Times New Roman"/>
        </w:rPr>
        <w:t xml:space="preserve"> </w:t>
      </w:r>
    </w:p>
    <w:p w14:paraId="5CDB174B" w14:textId="51DDF066" w:rsidR="009A30F2" w:rsidRPr="00F1728C" w:rsidRDefault="00087388" w:rsidP="11F50173">
      <w:pPr>
        <w:pStyle w:val="ListParagraph"/>
        <w:numPr>
          <w:ilvl w:val="0"/>
          <w:numId w:val="7"/>
        </w:numPr>
        <w:spacing w:after="120"/>
        <w:ind w:left="714" w:hanging="357"/>
        <w:jc w:val="both"/>
        <w:rPr>
          <w:sz w:val="24"/>
          <w:szCs w:val="24"/>
          <w:rFonts w:ascii="Times New Roman" w:hAnsi="Times New Roman"/>
        </w:rPr>
      </w:pPr>
      <w:r>
        <w:rPr>
          <w:rFonts w:ascii="Times New Roman" w:hAnsi="Times New Roman"/>
        </w:rPr>
        <w:t xml:space="preserve">L-istituzzjonijiet għandhom jiddivulgaw l-informazzjoni msemmija fl-Artikolu 453(g) tar-Regolament (UE) 575/2013 separatament għal skoperturi skont A-IRB u F-IRB billi jsegwu l-istruzzjonijiet ipprovduti hawn taħt f’dan l-Anness sabiex jimlew il-mudell EU CR7-A ppreżentat fl-Anness XXI tas-soluzzjonijiet tal-IT tal-EBA.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F’każ li entrata ta’ protezzjoni ffinanzjata tal-kreditu tapplika għal aktar minn skopertura waħda, is-somma tal-iskoperturi meqjusa koperti minnha ma tistax taqbeż il-valur tal-entrata tal-protezzjoni tal-kreditu.</w:t>
      </w:r>
      <w:r>
        <w:rPr>
          <w:sz w:val="24"/>
          <w:rFonts w:ascii="Times New Roman" w:hAnsi="Times New Roman"/>
        </w:rPr>
        <w:t xml:space="preserve"> </w:t>
      </w:r>
    </w:p>
    <w:p w14:paraId="0F287152" w14:textId="4F211994" w:rsidR="00087388" w:rsidRPr="00F1728C" w:rsidRDefault="00942C4C" w:rsidP="63E31B68">
      <w:pPr>
        <w:pStyle w:val="ListParagraph"/>
        <w:numPr>
          <w:ilvl w:val="0"/>
          <w:numId w:val="7"/>
        </w:numPr>
        <w:spacing w:after="120"/>
        <w:ind w:left="714" w:hanging="357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Dan il-mudell jeskludi l-iskoperturi għar-riskju ta’ kreditu tal-kontroparti (CCR) (il-Kapitolu 6 tat-Titolu II tal-Parti Tlieta tar-Regolament (UE) 575/2013), l-iskoperturi tat-titolizzazzjoni, assi oħrajn b’obbligi mhux ta’ kreditu, l-impriżi ta’ investiment kollettiv u l-iskoperturi tal-ekwità.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87388" w:rsidRPr="00F1728C" w14:paraId="58A61B7A" w14:textId="77777777" w:rsidTr="11F50173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70889F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tal-kolonna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692144" w14:textId="77777777" w:rsidR="00087388" w:rsidRPr="00F1728C" w:rsidRDefault="00087388" w:rsidP="00725D4D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087388" w:rsidRPr="00F1728C" w14:paraId="47ABA6F8" w14:textId="77777777" w:rsidTr="11F50173">
        <w:trPr>
          <w:trHeight w:val="238"/>
        </w:trPr>
        <w:tc>
          <w:tcPr>
            <w:tcW w:w="1413" w:type="dxa"/>
            <w:vMerge/>
          </w:tcPr>
          <w:p w14:paraId="1FC39945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5C8441A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087388" w:rsidRPr="00F1728C" w14:paraId="0DD69BF7" w14:textId="77777777" w:rsidTr="11F50173">
        <w:trPr>
          <w:trHeight w:val="2388"/>
        </w:trPr>
        <w:tc>
          <w:tcPr>
            <w:tcW w:w="1413" w:type="dxa"/>
          </w:tcPr>
          <w:p w14:paraId="106CF623" w14:textId="77777777" w:rsidR="00087388" w:rsidRPr="00F1728C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4" w:type="dxa"/>
          </w:tcPr>
          <w:p w14:paraId="595007CA" w14:textId="77777777" w:rsidR="00087388" w:rsidRPr="00F1728C" w:rsidRDefault="00087388" w:rsidP="00725D4D">
            <w:pPr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totali</w:t>
            </w:r>
          </w:p>
          <w:p w14:paraId="11B4E377" w14:textId="68650BB1" w:rsidR="00087388" w:rsidRPr="00F1728C" w:rsidRDefault="00087388" w:rsidP="11F50173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tal-iskopertura (fatturi ta’ wara l-konverżjoni) f’konformità mal-Artikoli minn 166 sa 167 tar-Regolament (UE) Nru 575/2013.</w:t>
            </w:r>
          </w:p>
          <w:p w14:paraId="130EEB9C" w14:textId="77777777" w:rsidR="00087388" w:rsidRPr="00F1728C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għandhom jiġu ddivulgati f’konformità mal-klassi tal-iskoperturi applikabbli għad-debitur, mingħajr ma jitqies kwalunkwe effett ta’ sostituzzjoni minħabba l-eżistenza ta’ garanzija.</w:t>
            </w:r>
          </w:p>
          <w:p w14:paraId="0DA44DEB" w14:textId="59B30F8D" w:rsidR="00087388" w:rsidRPr="00F1728C" w:rsidRDefault="00087388" w:rsidP="11F50173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505CE" w:rsidRPr="001505CE" w14:paraId="7AFD3E4E" w14:textId="77777777" w:rsidTr="11F50173">
        <w:trPr>
          <w:trHeight w:val="316"/>
        </w:trPr>
        <w:tc>
          <w:tcPr>
            <w:tcW w:w="1413" w:type="dxa"/>
          </w:tcPr>
          <w:p w14:paraId="100C137E" w14:textId="77777777" w:rsidR="00087388" w:rsidRPr="001505CE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4" w:type="dxa"/>
          </w:tcPr>
          <w:p w14:paraId="5EBAC67F" w14:textId="77777777" w:rsidR="00087388" w:rsidRPr="001505CE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FCP - Parti mill-iskoperturi koperta b’kollateral finanzjarju (%)</w:t>
            </w:r>
          </w:p>
          <w:p w14:paraId="05B7615D" w14:textId="77777777" w:rsidR="00087388" w:rsidRPr="001505CE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Perċentwal ta’ skoperturi koperti b’kollateral finanzjarju fuq l-iskoperturi totali bħal fil-kolonna a ta’ dan il-mudell.</w:t>
            </w:r>
          </w:p>
          <w:p w14:paraId="1161AB0B" w14:textId="09AAEB12" w:rsidR="00087388" w:rsidRPr="001505CE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finanzjarju, inkluż kollateral fi flus, titoli ta’ dejn, u deheb, kif elenkat fl-Artikoli 197 u 198 tar-Regolament (UE) Nru 575/2013, għandu jiġi inkluż fin-numeratur meta jiġu ssodisfati r-rekwiżiti kollha stabbiliti fl-Artikolu 207 minn (2) sa (4)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tal-kollateral iddikjarat għandu jkun limitat għall-valur tal-iskopertura fil-livell ta’ skopertura individwali.</w:t>
            </w:r>
          </w:p>
          <w:p w14:paraId="4EB0550C" w14:textId="66AEA03D" w:rsidR="00087388" w:rsidRPr="001505CE" w:rsidRDefault="00087388" w:rsidP="11F50173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jintużaw stimi proprji tal-LGD: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kollateral finanzjarju kkunsidrat fl-istimi tal-LGD f’konformità mal-Artikolu 181(1)(e) u (f)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L-ammont li għandu jiġi ddivulgat għandu jkun il-valur stmat tas-suq tal-kollateral.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1505CE" w:rsidRPr="001505CE" w14:paraId="4DE8CE6C" w14:textId="77777777" w:rsidTr="11F50173">
        <w:trPr>
          <w:trHeight w:val="316"/>
        </w:trPr>
        <w:tc>
          <w:tcPr>
            <w:tcW w:w="1413" w:type="dxa"/>
          </w:tcPr>
          <w:p w14:paraId="66622524" w14:textId="77777777" w:rsidR="00087388" w:rsidRPr="001505CE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654" w:type="dxa"/>
          </w:tcPr>
          <w:p w14:paraId="3502B039" w14:textId="77777777" w:rsidR="00087388" w:rsidRPr="001505CE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FCP - Parti mill-iskoperturi koperta b’kollaterali eliġibbli oħra (%)</w:t>
            </w:r>
          </w:p>
          <w:p w14:paraId="71F6D040" w14:textId="314277F4" w:rsidR="00087388" w:rsidRPr="001505CE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Perċentwal ta’ skoperturi koperti b’kollateral eliġibbli ieħor meta mqabbel mal-iskoperturi totali kif indikati fil-kolonna a ta’ dan il-mudell.</w:t>
            </w:r>
          </w:p>
          <w:p w14:paraId="418B65DD" w14:textId="77777777" w:rsidR="00087388" w:rsidRPr="001505CE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Il-valuri ddivulgati f’din il-kolonna għandhom ikunu s-somma tal-valuri fil-kolonni d sa f ta’ dan il-mudell.</w:t>
            </w:r>
          </w:p>
          <w:p w14:paraId="2F6A5BCF" w14:textId="0B212FEC" w:rsidR="00087388" w:rsidRPr="001505CE" w:rsidRDefault="00087388" w:rsidP="11F50173">
            <w:pPr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ma jintużawx stimi proprji tal-LGD: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199(1) sa (8) tar-Regolament (UE) Nru 575/2013 tal-Kunsill u l-Artikolu 229 tar-Regolament (UE) Nru 575/2013.</w:t>
            </w:r>
          </w:p>
          <w:p w14:paraId="460C4DD2" w14:textId="0BC71391" w:rsidR="00087388" w:rsidRPr="001505CE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jintużaw l-istimi proprji tal-LGD: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kollateral ieħor ikkunsidrat fl-istimi tal-LGD f’konformità mal-Artikolu 181(1)(e) u (f) tar-Regolament (UE) Nru 575/2013.</w:t>
            </w:r>
          </w:p>
        </w:tc>
      </w:tr>
      <w:tr w:rsidR="001505CE" w:rsidRPr="001505CE" w14:paraId="5E88B69B" w14:textId="77777777" w:rsidTr="11F50173">
        <w:trPr>
          <w:trHeight w:val="316"/>
        </w:trPr>
        <w:tc>
          <w:tcPr>
            <w:tcW w:w="1413" w:type="dxa"/>
          </w:tcPr>
          <w:p w14:paraId="62BAE319" w14:textId="77777777" w:rsidR="00087388" w:rsidRPr="001505CE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4" w:type="dxa"/>
          </w:tcPr>
          <w:p w14:paraId="61EEB320" w14:textId="77777777" w:rsidR="00087388" w:rsidRPr="001505CE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FCP - Parti mill-iskoperturi koperta b’kollaterali ta’ proprjetà immobbli (%)</w:t>
            </w:r>
          </w:p>
          <w:p w14:paraId="64FF065B" w14:textId="13382A6F" w:rsidR="00087388" w:rsidRPr="001505CE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Perċentwal ta’ skoperturi koperti b’kollateral ta’ proprjetà immobbli inkluża lokazzjoni f’konformità mal-Artikolu 199(7) tar-Regolament (UE) Nru 575/2013 meta mqabbel mal-iskoperturi totali kif indikati fil-kolonna a ta’ dan il-mudell.</w:t>
            </w:r>
          </w:p>
          <w:p w14:paraId="1E5FFFA3" w14:textId="425B55C6" w:rsidR="00087388" w:rsidRPr="001505CE" w:rsidRDefault="00087388" w:rsidP="11F50173">
            <w:pPr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Il-kollateral ta’ proprjetà immobbli għandu jiġi inkluż fin-numeratur meta jissodisfa r-rekwiżiti ta’ eliġibbiltà kollha stabbiliti fl-Artikolu 208 minn (2) sa (5)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D11C6A7" w14:textId="56E310AE" w:rsidR="00087388" w:rsidRPr="001505CE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Il-lokazzjoni fuq proprjetà immobbli għandha tiġi inkluża fin-numeratur meta tissodisfa r-rekwiżiti kollha ta’ eliġibbiltà stabbiliti fl-Artikolu 211 tar-Regolament (UE)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tal-kollateral irrapportat għandu jkun limitat għall-valur tal-iskopertura fil-livell ta’ skopertura individwali.</w:t>
            </w:r>
          </w:p>
        </w:tc>
      </w:tr>
      <w:tr w:rsidR="001505CE" w:rsidRPr="001505CE" w14:paraId="045325E6" w14:textId="77777777" w:rsidTr="11F50173">
        <w:trPr>
          <w:trHeight w:val="316"/>
        </w:trPr>
        <w:tc>
          <w:tcPr>
            <w:tcW w:w="1413" w:type="dxa"/>
          </w:tcPr>
          <w:p w14:paraId="6A2565D8" w14:textId="77777777" w:rsidR="00087388" w:rsidRPr="001505CE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4" w:type="dxa"/>
          </w:tcPr>
          <w:p w14:paraId="5C213FCD" w14:textId="77777777" w:rsidR="00087388" w:rsidRPr="001505CE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Parti mill-iskoperturi koperta b’Riċevibbli (%)</w:t>
            </w:r>
          </w:p>
          <w:p w14:paraId="0746B807" w14:textId="40DF4235" w:rsidR="00087388" w:rsidRPr="001505CE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Perċentwal ta’ skoperturi koperti b’riċevibbli f’konformità mal-Artikolu 199(5) tar-Regolament (UE) Nru 575/2013, mill-iskoperturi totali kif indikati fil-kolonna a ta’ dan il-mudell.</w:t>
            </w:r>
          </w:p>
          <w:p w14:paraId="710DCA31" w14:textId="76FAEE9F" w:rsidR="00087388" w:rsidRPr="001505CE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Ir-riċevibbli għandhom jiġu inklużi fin-numeratur meta jissodisfaw ir-rekwiżiti kollha ta’ eliġibbiltà stabbiliti fl-Artikolu 209 tar-Regolament (UE)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tal-kollateral irrapportat għandu jkun limitat għall-valur tal-iskopertura fil-livell ta’ skopertura individwali.</w:t>
            </w:r>
          </w:p>
        </w:tc>
      </w:tr>
      <w:tr w:rsidR="001505CE" w:rsidRPr="001505CE" w14:paraId="05320019" w14:textId="77777777" w:rsidTr="11F50173">
        <w:trPr>
          <w:trHeight w:val="316"/>
        </w:trPr>
        <w:tc>
          <w:tcPr>
            <w:tcW w:w="1413" w:type="dxa"/>
          </w:tcPr>
          <w:p w14:paraId="5F980064" w14:textId="77777777" w:rsidR="00087388" w:rsidRPr="001505CE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654" w:type="dxa"/>
          </w:tcPr>
          <w:p w14:paraId="435EF86D" w14:textId="77777777" w:rsidR="00087388" w:rsidRPr="001505CE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Parti mill-iskoperturi koperta b’Kollateral fiżiku ieħor (%)</w:t>
            </w:r>
          </w:p>
          <w:p w14:paraId="654C6C9C" w14:textId="430BF6CF" w:rsidR="00087388" w:rsidRPr="001505CE" w:rsidRDefault="00087388" w:rsidP="11F50173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Perċentwal ta’ skoperturi koperti b’kollateral fiżiku ieħor inkluża lokazzjoni ta’ dawk il-kollaterali f’konformità mal-Artikolu 199(6) u (8) tar-Regolament (UE) Nru 575/2013, mill-iskoperturi totali kif indikati fil-kolonna a ta’ dan il-mudell.</w:t>
            </w:r>
          </w:p>
          <w:p w14:paraId="082434AC" w14:textId="5B847DD3" w:rsidR="00087388" w:rsidRPr="001505CE" w:rsidRDefault="00087388" w:rsidP="11F50173">
            <w:pPr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fiżiku ieħor għandu jiġi inkluż fin-numeratur meta jissodisfa r-rekwiżiti kollha ta’ eliġibbiltà stabbiliti fl-Artikolu 210 tar-Regolament (UE)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tal-kollateral irrapportat għandu jkun limitat għall-valur tal-iskopertura fil-livell ta’ skopertura individwali.</w:t>
            </w:r>
          </w:p>
        </w:tc>
      </w:tr>
      <w:tr w:rsidR="00087388" w:rsidRPr="00F1728C" w14:paraId="65908E13" w14:textId="77777777" w:rsidTr="11F50173">
        <w:trPr>
          <w:trHeight w:val="316"/>
        </w:trPr>
        <w:tc>
          <w:tcPr>
            <w:tcW w:w="1413" w:type="dxa"/>
          </w:tcPr>
          <w:p w14:paraId="0DB6C36A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654" w:type="dxa"/>
          </w:tcPr>
          <w:p w14:paraId="521635B5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FCP - Parti mill-iskoperturi koperta bi Protezzjoni ffinanzjata tal-kreditu oħra (%)</w:t>
            </w:r>
          </w:p>
          <w:p w14:paraId="6C4231F8" w14:textId="1DE105B6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Perċentwal ta’ skoperturi koperti b’FCP oħra, mill-iskoperturi totali kif indikati fil-kolonna a.</w:t>
            </w:r>
          </w:p>
          <w:p w14:paraId="2C3D8A7E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Il-valuri f’din il-kolonna għandhom ikunu s-somma tal-valuri fil-kolonni h, i u j ta’ dan il-mudell.</w:t>
            </w:r>
          </w:p>
        </w:tc>
      </w:tr>
      <w:tr w:rsidR="001505CE" w:rsidRPr="001505CE" w14:paraId="5C2DC995" w14:textId="77777777" w:rsidTr="11F50173">
        <w:trPr>
          <w:trHeight w:val="316"/>
        </w:trPr>
        <w:tc>
          <w:tcPr>
            <w:tcW w:w="1413" w:type="dxa"/>
          </w:tcPr>
          <w:p w14:paraId="45EAADE1" w14:textId="77777777" w:rsidR="00087388" w:rsidRPr="001505CE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</w:t>
            </w:r>
          </w:p>
          <w:p w14:paraId="0562CB0E" w14:textId="77777777" w:rsidR="00087388" w:rsidRPr="001505CE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654" w:type="dxa"/>
          </w:tcPr>
          <w:p w14:paraId="625B0643" w14:textId="77777777" w:rsidR="00087388" w:rsidRPr="001505CE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FCP - Parti mill-iskoperturi koperta bi flus f’depożitu (%)</w:t>
            </w:r>
          </w:p>
          <w:p w14:paraId="04D50369" w14:textId="14BFD562" w:rsidR="00087388" w:rsidRPr="001505CE" w:rsidRDefault="00087388" w:rsidP="11F50173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Il-perċentwal ta’ skoperturi koperti bi flus jew bi strumenti assimilati ta’ flus miżmuma minn istituzzjoni terza fuq l-iskoperturi totali bħal fil-kolonna a ta’ dan il-mudell;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f’konformità mal-Artikolu 200(a) tar-Regolament (UE) 575/2013, protezzjoni ffinanzjata oħra tal-kreditu tinkludi flus f’depożitu ma’ istituzzjoni terza, jew strumenti assimilati ta’ flus miżmuma minn istituzzjoni terza f’arranġament mhux ta’ kustodja u mirhuna lill-istituzzjoni mutwanti.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BA415CF" w14:textId="77777777" w:rsidR="00087388" w:rsidRPr="001505CE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tal-kollateral irrapportat għandu jkun limitat għall-valur tal-iskopertura fil-livell ta’ skopertura individwali.</w:t>
            </w:r>
          </w:p>
        </w:tc>
      </w:tr>
      <w:tr w:rsidR="00087388" w:rsidRPr="00F1728C" w14:paraId="7D60ED9D" w14:textId="77777777" w:rsidTr="11F50173">
        <w:trPr>
          <w:trHeight w:val="316"/>
        </w:trPr>
        <w:tc>
          <w:tcPr>
            <w:tcW w:w="1413" w:type="dxa"/>
          </w:tcPr>
          <w:p w14:paraId="3FABC7AD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</w:t>
            </w:r>
          </w:p>
        </w:tc>
        <w:tc>
          <w:tcPr>
            <w:tcW w:w="7654" w:type="dxa"/>
          </w:tcPr>
          <w:p w14:paraId="65B7276A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FCP - Parti mill-iskoperturi koperta b’poloz tal-assigurazzjoni tal-ħajja (%)</w:t>
            </w:r>
          </w:p>
          <w:p w14:paraId="75F3E00A" w14:textId="6A1D9102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Perċentwal tal-iskoperturi koperti b’poloz tal-assigurazzjoni tal-ħajja, mill-iskoperturi totali kif indikati fil-kolonna a ta’ dan il-mudell.</w:t>
            </w:r>
          </w:p>
          <w:p w14:paraId="7C24938A" w14:textId="6CC0928D" w:rsidR="00087388" w:rsidRPr="00F1728C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200(b) tar-Regolament (UE) 575/2013, protezzjoni ffinanzjata oħra tal-kreditu tinkludi poloz tal-assigurazzjoni tal-ħajja mirhuna lill-istituzzjoni mutwanti.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tal-kollateral irrapportat għandu jkun limitat għall-valur tal-iskopertura fil-livell ta’ skopertura individwali.</w:t>
            </w:r>
          </w:p>
        </w:tc>
      </w:tr>
      <w:tr w:rsidR="00087388" w:rsidRPr="00F1728C" w14:paraId="54DFAC7F" w14:textId="77777777" w:rsidTr="11F50173">
        <w:trPr>
          <w:trHeight w:val="316"/>
        </w:trPr>
        <w:tc>
          <w:tcPr>
            <w:tcW w:w="1413" w:type="dxa"/>
          </w:tcPr>
          <w:p w14:paraId="3DC2D073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</w:t>
            </w:r>
          </w:p>
        </w:tc>
        <w:tc>
          <w:tcPr>
            <w:tcW w:w="7654" w:type="dxa"/>
          </w:tcPr>
          <w:p w14:paraId="21B136D1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FCP - Parti mill-iskoperturi koperti bi strument miżmum minn parti terza (%)</w:t>
            </w:r>
          </w:p>
          <w:p w14:paraId="58C8EAE3" w14:textId="451849A1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Perċentwal tal-iskoperturi koperti b’kollateral fil-forma ta’ strumenti miżmuma minn parti terza fuq l-iskoperturi totali bħal fil-kolonna a ta’ dan il-mudell;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parti mill-iskoperturi koperti bi strumenti maħruġa minn terza persuna, mill-iskoperturi totali.</w:t>
            </w:r>
          </w:p>
          <w:p w14:paraId="677167CD" w14:textId="1A3C531F" w:rsidR="00087388" w:rsidRPr="00F1728C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200(c) tar-Regolament (UE) 575/2013, il-valur iddikjarat għandu jinkludi l-istrumenti maħruġa minn istituzzjoni ta’ terza persuna li se jiġu riakkwistati minn dik l-istituzzjoni fuq talba.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tal-kollateral għandu jkun limitat għall-valur tal-iskopertura fil-livell ta’ skopertura individwali.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il-perċentwal għandu jeskludi dawk l-iskoperturi koperti minn strumenti miżmuma minn parti terza fejn, skont l-Artikolu 232(4) tar-Regolament (UE) Nru 575/2013, l-istituzzjonijiet jittrattaw strumenti riakkwistati fuq talba li huma eliġibbli skont l-Artikolu 200, il-punt (c) tar-Regolament (UE) Nru 575/2013 bħala garanzija mill-istituzzjoni li toħroġ.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087388" w:rsidRPr="00F1728C" w14:paraId="0CC0E77F" w14:textId="77777777" w:rsidTr="11F50173">
        <w:trPr>
          <w:trHeight w:val="316"/>
        </w:trPr>
        <w:tc>
          <w:tcPr>
            <w:tcW w:w="1413" w:type="dxa"/>
          </w:tcPr>
          <w:p w14:paraId="636E6465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</w:t>
            </w:r>
          </w:p>
        </w:tc>
        <w:tc>
          <w:tcPr>
            <w:tcW w:w="7654" w:type="dxa"/>
          </w:tcPr>
          <w:p w14:paraId="62A78B77" w14:textId="77777777" w:rsidR="00087388" w:rsidRPr="00F1728C" w:rsidRDefault="00087388" w:rsidP="00725D4D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UFCP - Parti mill-iskoperturi koperta b’garanziji (%)</w:t>
            </w:r>
          </w:p>
          <w:p w14:paraId="1527F03D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Perċentwal ta’ skoperturi koperti b’garanziji fuq l-iskoperturi totali bħal fil-kolonna a ta’ dan il-mudell.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DD6855D" w14:textId="45686718" w:rsidR="00087388" w:rsidRPr="00F1728C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Il-garanziji għandhom jissodisfaw ir-rekwiżit stabbilit fl-Artikoli 213, 214, 215 u 232(4)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tal-garanziji għandu jkun limitat għall-valur tal-iskopertura fil-livell ta’ skopertura individwali.</w:t>
            </w:r>
          </w:p>
        </w:tc>
      </w:tr>
      <w:tr w:rsidR="00087388" w:rsidRPr="00F1728C" w14:paraId="446F969B" w14:textId="77777777" w:rsidTr="11F50173">
        <w:trPr>
          <w:trHeight w:val="316"/>
        </w:trPr>
        <w:tc>
          <w:tcPr>
            <w:tcW w:w="1413" w:type="dxa"/>
          </w:tcPr>
          <w:p w14:paraId="6A7AFBC4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</w:t>
            </w:r>
          </w:p>
        </w:tc>
        <w:tc>
          <w:tcPr>
            <w:tcW w:w="7654" w:type="dxa"/>
          </w:tcPr>
          <w:p w14:paraId="2AF14E01" w14:textId="77777777" w:rsidR="00087388" w:rsidRPr="00F1728C" w:rsidRDefault="00087388" w:rsidP="00725D4D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UFCP - Parti mill-iskoperturi koperta b’derivattivi ta’ kreditu (%)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2A83C95A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Perċentwal ta’ skoperturi koperti b’derivattivi ta’ kreditu fuq l-iskoperturi totali bħal fil-kolonna a ta’ dan il-mudell.</w:t>
            </w:r>
          </w:p>
          <w:p w14:paraId="706FD0C7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Id-derivattivi ta’ kreditu jinkludu dawn li ġejjin:</w:t>
            </w:r>
          </w:p>
          <w:p w14:paraId="2CBA7958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swaps ta’ inadempjenza ta’ kreditu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9113A8D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swaps tar-redditu totali</w:t>
            </w:r>
          </w:p>
          <w:p w14:paraId="15063D98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noti marbutin mal-kreditu (credit linked notes) sal-limitu tal-finanzjament tagħhom bi flus.</w:t>
            </w:r>
          </w:p>
          <w:p w14:paraId="51DCACDF" w14:textId="5147D983" w:rsidR="00087388" w:rsidRPr="00F1728C" w:rsidRDefault="00087388" w:rsidP="00C96694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Dawn l-istrumenti għandhom jissodisfaw ir-rekwiżit stabbilit fl-Artikoli 204(1) u (2), 213, 216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tad-derivattivi ta’ kreditu għandu jkun limitat għall-valur tal-iskopertura fil-livell ta’ skopertura individwali.</w:t>
            </w:r>
          </w:p>
        </w:tc>
      </w:tr>
      <w:tr w:rsidR="00087388" w:rsidRPr="00F1728C" w14:paraId="50B2D825" w14:textId="77777777" w:rsidTr="11F50173">
        <w:trPr>
          <w:trHeight w:val="316"/>
        </w:trPr>
        <w:tc>
          <w:tcPr>
            <w:tcW w:w="1413" w:type="dxa"/>
          </w:tcPr>
          <w:p w14:paraId="7C47E027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</w:t>
            </w:r>
          </w:p>
        </w:tc>
        <w:tc>
          <w:tcPr>
            <w:tcW w:w="7654" w:type="dxa"/>
          </w:tcPr>
          <w:p w14:paraId="719A479C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RWEA mingħajr effetti ta’ sostituzzjoni (effetti ta’ tnaqqis biss)</w:t>
            </w:r>
          </w:p>
          <w:p w14:paraId="774E7285" w14:textId="0BAABF0F" w:rsidR="00087388" w:rsidRPr="00F1728C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ta’ skoperturi ponderati għar-riskju kkalkolati f’konformità mal-Artikolu 92(4), il-punti (a) u (g), tar-Regolament (UE) Nru 575/2013, inkluż kwalunkwe tnaqqis tal-RWEA minħabba l-eżistenza ta’ protezzjoni ffinanzjata jew mhux iffinanzjata tal-kreditu, inkluż meta l-PD u l-LGD jew il-piż tar-riskju jiġi ssostitwit minħabba l-eżistenza ta’ protezzjoni mhux iffinanzjata tal-kreditu.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Madankollu, fil-każijiet kollha, inkluż meta jintuża l-approċċ ta’ sostituzzjoni, l-iskoperturi jiġu ddivulgati fil-klassijiet tal-iskoperturi oriġinali applikabbli għad-debitur.</w:t>
            </w:r>
          </w:p>
        </w:tc>
      </w:tr>
      <w:tr w:rsidR="00087388" w:rsidRPr="00F1728C" w14:paraId="710037D4" w14:textId="77777777" w:rsidTr="11F50173">
        <w:trPr>
          <w:trHeight w:val="316"/>
        </w:trPr>
        <w:tc>
          <w:tcPr>
            <w:tcW w:w="1413" w:type="dxa"/>
          </w:tcPr>
          <w:p w14:paraId="3FB8B379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</w:t>
            </w:r>
          </w:p>
        </w:tc>
        <w:tc>
          <w:tcPr>
            <w:tcW w:w="7654" w:type="dxa"/>
          </w:tcPr>
          <w:p w14:paraId="25AEECEC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RWEA b’effetti ta’ sostituzzjoni (kemm effetti ta’ tnaqqis kif ukoll ta’ sostituzzjoni)</w:t>
            </w:r>
          </w:p>
          <w:p w14:paraId="154D0450" w14:textId="6337BCB3" w:rsidR="00087388" w:rsidRPr="00F1728C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tal-iskopertura ponderati għar-riskju kkalkolati f’konformità mal-Artikoli minn 153 sa 157 tar-Regolament (UE) Nru 575/2013, inkluż kwalunkwe tnaqqis tal-RWEA minħabba l-eżistenza ta’ protezzjoni ta’ kreditu ffinanzjata jew mhux iffinanzjata.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l-PD u l-LGD jew il-piż tar-riskju jiġi ssostitwit minħabba l-eżistenza ta’ protezzjoni ta’ kreditu mhux iffinanzjata, l-iskoperturi jiġu ddivulgati fil-klassi tal-iskoperturi applikabbli għall-fornitur tal-protezzjoni.</w:t>
            </w:r>
          </w:p>
        </w:tc>
      </w:tr>
    </w:tbl>
    <w:p w14:paraId="34CE0A41" w14:textId="77777777" w:rsidR="00087388" w:rsidRPr="00F1728C" w:rsidRDefault="00087388" w:rsidP="00087388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87388" w:rsidRPr="00F1728C" w14:paraId="399A73BD" w14:textId="77777777" w:rsidTr="11F50173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3D7768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tar-ringiela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BE48C4" w14:textId="77777777" w:rsidR="00087388" w:rsidRPr="00F1728C" w:rsidRDefault="00087388" w:rsidP="00725D4D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087388" w:rsidRPr="00F1728C" w14:paraId="65737CE2" w14:textId="77777777" w:rsidTr="11F50173">
        <w:trPr>
          <w:trHeight w:val="237"/>
        </w:trPr>
        <w:tc>
          <w:tcPr>
            <w:tcW w:w="1413" w:type="dxa"/>
            <w:vMerge/>
          </w:tcPr>
          <w:p w14:paraId="62EBF3C5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3CDFC67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087388" w:rsidRPr="00F1728C" w14:paraId="1BA109EF" w14:textId="77777777" w:rsidTr="11F50173">
        <w:trPr>
          <w:trHeight w:val="316"/>
        </w:trPr>
        <w:tc>
          <w:tcPr>
            <w:tcW w:w="1413" w:type="dxa"/>
          </w:tcPr>
          <w:p w14:paraId="29D6B04F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654" w:type="dxa"/>
          </w:tcPr>
          <w:p w14:paraId="15A76DE6" w14:textId="77777777" w:rsidR="00087388" w:rsidRPr="00F1728C" w:rsidRDefault="00087388" w:rsidP="00725D4D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Din id-divulgazzjoni għandha ssir b’mod separat għall-iskoperturi skont l-approċċ A-IRB, l-approċċ F-IRB kif ukoll għal ta’ għoti ta’ self speċjalizzat skont l-approċċ ta’ klassifikar prudenzjali u għal skoperturi ta’ ekwità.</w:t>
            </w:r>
            <w:r>
              <w:rPr>
                <w:color w:val="auto"/>
                <w:rFonts w:ascii="Times New Roman" w:hAnsi="Times New Roman"/>
              </w:rPr>
              <w:tab/>
            </w:r>
          </w:p>
        </w:tc>
      </w:tr>
      <w:tr w:rsidR="00087388" w:rsidRPr="00F1728C" w14:paraId="1A2F0F2D" w14:textId="77777777" w:rsidTr="11F50173">
        <w:trPr>
          <w:trHeight w:val="316"/>
        </w:trPr>
        <w:tc>
          <w:tcPr>
            <w:tcW w:w="1413" w:type="dxa"/>
          </w:tcPr>
          <w:p w14:paraId="6D98A12B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43F5773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A-IRB</w:t>
            </w:r>
          </w:p>
        </w:tc>
        <w:tc>
          <w:tcPr>
            <w:tcW w:w="7654" w:type="dxa"/>
          </w:tcPr>
          <w:p w14:paraId="19047FB2" w14:textId="22D4A027" w:rsidR="00CB5E48" w:rsidRPr="00F1728C" w:rsidRDefault="00087388" w:rsidP="11F50173">
            <w:pPr>
              <w:pStyle w:val="Default"/>
              <w:spacing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L-istituzzjonijiet għandhom jinkludu l-informazzjoni dwar it-tekniki ta’ mitigazzjoni tar-riskju ta’ kreditu inklużi f’dan il-mudell skont il-klassi tal-iskoperturi, f’konformità mal-klassijiet tal-iskoperturi elenkati fl-Artikolu 147(2) tar-Regolament (UE) Nru 575/2013 b’diżaggregazzjoni ulterjuri għall-klassijiet li ġejjin tal-iskoperturi: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397AD12E" w14:textId="5210C605" w:rsidR="00CB5E48" w:rsidRPr="00F1728C" w:rsidRDefault="00CB5E48" w:rsidP="00CB5E48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fil-klassi tal-iskoperturi “skoperturi għal impriżi”, diżaggregazzjoni f’konformità mal-punt (c), l-Artikolu 147(2), is-subpunt (i), (ii) u (iii);</w:t>
            </w:r>
          </w:p>
          <w:p w14:paraId="6C25BE4E" w14:textId="77777777" w:rsidR="00CB5E48" w:rsidRPr="00F1728C" w:rsidRDefault="00CB5E48" w:rsidP="00CB5E48">
            <w:pPr>
              <w:pStyle w:val="Default"/>
              <w:spacing w:after="120"/>
              <w:rPr>
                <w:iCs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- fil-klassi tal-iskoperturi “skoperturi fil-livell tal-konsumatur”, diżaggregazzjoni f’konformità mal-punt (d) tal-Artikolu 147(2), is-subpunt (i), (ii), (iii) u (iv).</w:t>
            </w:r>
          </w:p>
          <w:p w14:paraId="356BC85D" w14:textId="554860E0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388" w:rsidRPr="00F1728C" w14:paraId="22CBC58A" w14:textId="77777777" w:rsidTr="11F50173">
        <w:trPr>
          <w:trHeight w:val="316"/>
        </w:trPr>
        <w:tc>
          <w:tcPr>
            <w:tcW w:w="1413" w:type="dxa"/>
          </w:tcPr>
          <w:p w14:paraId="2946DB82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FB2F8E9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F-IRB</w:t>
            </w:r>
          </w:p>
        </w:tc>
        <w:tc>
          <w:tcPr>
            <w:tcW w:w="7654" w:type="dxa"/>
          </w:tcPr>
          <w:p w14:paraId="6A6EA4D6" w14:textId="54B95CE5" w:rsidR="00087388" w:rsidRPr="00F1728C" w:rsidRDefault="00087388" w:rsidP="11F50173">
            <w:pPr>
              <w:pStyle w:val="Default"/>
              <w:spacing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L-istituzzjonijiet għandhom jinkludu l-informazzjoni dwar it-tekniki ta’ mitigazzjoni tar-riskju ta’ kreditu inklużi f’dan il-mudell skont il-klassi tal-iskoperturi, f’konformità mal-klassijiet tal-iskoperturi elenkati fl-Artikolu 147(2) tar-Regolament (UE) Nru 575/2013 b’diżaggregazzjoni ulterjuri għall-klassi li ġejja tal-iskoperturi: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5A5AA8D" w14:textId="77777777" w:rsidR="00CB5E48" w:rsidRPr="00F1728C" w:rsidRDefault="00CB5E48" w:rsidP="00CB5E48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fil-klassi tal-iskoperturi “skoperturi għal impriżi”, diżaggregazzjoni f’konformità mal-punt (c), l-Artikolu 147(2), is-subpunt (i), (ii) u (iii).</w:t>
            </w:r>
          </w:p>
          <w:p w14:paraId="4A3F3760" w14:textId="4750808D" w:rsidR="00087388" w:rsidRPr="00F1728C" w:rsidRDefault="00CB5E48" w:rsidP="00725D4D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iCs/>
                <w:sz w:val="24"/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14:paraId="5F90E7FE" w14:textId="77777777" w:rsidR="00087388" w:rsidRPr="00F1728C" w:rsidRDefault="00087388" w:rsidP="00087388">
      <w:pPr>
        <w:spacing w:before="240"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CR8 – Rapporti tal-fluss tal-RWEA tal-iskoperturi għar-riskju ta’ kreditu skont l-approċċ IRB.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Mudell fiss.</w:t>
      </w:r>
      <w:r>
        <w:rPr>
          <w:b/>
          <w:sz w:val="24"/>
          <w:rFonts w:ascii="Times New Roman" w:hAnsi="Times New Roman"/>
        </w:rPr>
        <w:t xml:space="preserve"> </w:t>
      </w:r>
    </w:p>
    <w:p w14:paraId="6726176A" w14:textId="147FC40D" w:rsidR="00087388" w:rsidRPr="00F1728C" w:rsidRDefault="00087388" w:rsidP="11F50173">
      <w:pPr>
        <w:pStyle w:val="ListParagraph"/>
        <w:numPr>
          <w:ilvl w:val="0"/>
          <w:numId w:val="7"/>
        </w:numPr>
        <w:spacing w:after="120"/>
        <w:ind w:left="714" w:hanging="357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fl-Artikolu 438(h) tar-Regolament (UE) 575/2013 billi jsegwu l-istruzzjonijiet ipprovduti hawn taħt f’dan l-Anness sabiex jimlew il-mudell EU CR8 li huwa ppreżentat fl-Anness XXI tas-soluzzjonijiet tal-IT tal-EBA.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L-informazzjoni f’dan il-mudell teskludi l-iskoperturi għar-riskju ta’ kreditu tal-kontroparti (CCR) (il-Kapitolu 6 tat-Titolu II tal-Parti Tlieta tar-Regolament (UE) 575/2013).</w:t>
      </w:r>
    </w:p>
    <w:p w14:paraId="260EF26D" w14:textId="77777777" w:rsidR="00087388" w:rsidRPr="00F1728C" w:rsidRDefault="00087388" w:rsidP="003B7D6C">
      <w:pPr>
        <w:pStyle w:val="ListParagraph"/>
        <w:numPr>
          <w:ilvl w:val="0"/>
          <w:numId w:val="7"/>
        </w:numPr>
        <w:spacing w:after="120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jiddivulgaw il-flussi tal-RWEA bħala t-tibdiliet bejn l-ammonti tal-iskopertura ponderati għar-riskju fi tmiem il-perjodu ta’ referenza tad-divulgazzjoni (kif speċifikati hawn taħt fir-ringiela 9 ta’ dan il-mudell) u l-ammonti tal-iskopertura ponderati fi tmiem il-perjodu ta’ referenza tad-divulgazzjoni preċedenti (kif speċifikati hawn taħt fir-ringiela 1 ta’ dan il-mudell;</w:t>
      </w:r>
      <w:r>
        <w:rPr>
          <w:sz w:val="24"/>
          <w:color w:val="000000" w:themeColor="text1"/>
          <w:rFonts w:ascii="Times New Roman" w:hAnsi="Times New Roman"/>
        </w:rPr>
        <w:t xml:space="preserve"> </w:t>
      </w:r>
      <w:r>
        <w:rPr>
          <w:sz w:val="24"/>
          <w:color w:val="000000" w:themeColor="text1"/>
          <w:rFonts w:ascii="Times New Roman" w:hAnsi="Times New Roman"/>
        </w:rPr>
        <w:t xml:space="preserve">fil-każ ta’ divulgazzjonijiet trimestrali, tmiem it-trimestru qabel it-trimestru tal-perjodu ta’ referenza tad-divulgazzjoni).</w:t>
      </w:r>
      <w:r>
        <w:rPr>
          <w:sz w:val="24"/>
          <w:color w:val="000000" w:themeColor="text1"/>
          <w:rFonts w:ascii="Times New Roman" w:hAnsi="Times New Roman"/>
        </w:rPr>
        <w:t xml:space="preserve"> </w:t>
      </w:r>
      <w:r>
        <w:rPr>
          <w:sz w:val="24"/>
          <w:color w:val="000000" w:themeColor="text1"/>
          <w:rFonts w:ascii="Times New Roman" w:hAnsi="Times New Roman"/>
        </w:rPr>
        <w:t xml:space="preserve">L-istituzzjonijiet jistgħu jikkomplementaw id-divulgazzjonijiet tal-Pilastru 3 tagħhom billi jiddivulgaw l-istess informazzjoni għat-tliet trimestri preċedenti.</w:t>
      </w:r>
    </w:p>
    <w:p w14:paraId="502EB8C1" w14:textId="77777777" w:rsidR="00087388" w:rsidRPr="00F1728C" w:rsidRDefault="00087388" w:rsidP="003B7D6C">
      <w:pPr>
        <w:pStyle w:val="ListParagraph"/>
        <w:numPr>
          <w:ilvl w:val="0"/>
          <w:numId w:val="7"/>
        </w:numPr>
        <w:spacing w:after="120"/>
        <w:ind w:left="714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jissupplimentaw il-mudell b’kummentarju narrattiv sabiex jispjegaw iċ-ċifri fir-ringiela 8 ta’ dan il-mudell, jiġifieri kwalunwke fattur ewlieni ieħor li jikkontribwixxi b’mod sinifikanti għall-varjazzjonijiet tal-RWEA.</w:t>
      </w:r>
      <w:r>
        <w:rPr>
          <w:sz w:val="24"/>
          <w:rFonts w:ascii="Times New Roman" w:hAnsi="Times New Roman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87388" w:rsidRPr="00F1728C" w14:paraId="126787A2" w14:textId="77777777" w:rsidTr="63E31B68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B921DC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tal-kolonna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A0D92A" w14:textId="77777777" w:rsidR="00087388" w:rsidRPr="00F1728C" w:rsidRDefault="00087388" w:rsidP="00725D4D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087388" w:rsidRPr="00F1728C" w14:paraId="6A28C393" w14:textId="77777777" w:rsidTr="63E31B68">
        <w:trPr>
          <w:trHeight w:val="420"/>
        </w:trPr>
        <w:tc>
          <w:tcPr>
            <w:tcW w:w="1413" w:type="dxa"/>
            <w:vMerge/>
          </w:tcPr>
          <w:p w14:paraId="5997CC1D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ED0E6CE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087388" w:rsidRPr="00F1728C" w14:paraId="696BA88B" w14:textId="77777777" w:rsidTr="63E31B68">
        <w:trPr>
          <w:trHeight w:val="741"/>
        </w:trPr>
        <w:tc>
          <w:tcPr>
            <w:tcW w:w="1413" w:type="dxa"/>
            <w:shd w:val="clear" w:color="auto" w:fill="auto"/>
          </w:tcPr>
          <w:p w14:paraId="1C8780F8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4" w:type="dxa"/>
            <w:shd w:val="clear" w:color="auto" w:fill="auto"/>
          </w:tcPr>
          <w:p w14:paraId="491809DE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tal-iskopertura ponderat għar-riskju</w:t>
            </w:r>
          </w:p>
          <w:p w14:paraId="46440802" w14:textId="23696277" w:rsidR="00087388" w:rsidRPr="00F1728C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tal-iskopertura ponderat għar-riskju għal riskju ta’ kreditu kkalkolat bl-approċċ IRB, filwaqt li jitqiesu l-fatturi ta’ appoġġ f’konformità mal-Artikoli 501 u 501a tar-Regolament (UE) Nru 575/2013.</w:t>
            </w:r>
          </w:p>
        </w:tc>
      </w:tr>
    </w:tbl>
    <w:p w14:paraId="110FFD37" w14:textId="77777777" w:rsidR="00087388" w:rsidRPr="00F1728C" w:rsidRDefault="00087388" w:rsidP="00087388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87388" w:rsidRPr="00F1728C" w14:paraId="7EC9B111" w14:textId="77777777" w:rsidTr="00725D4D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A39009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F24CAA" w14:textId="77777777" w:rsidR="00087388" w:rsidRPr="00F1728C" w:rsidRDefault="00087388" w:rsidP="00725D4D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087388" w:rsidRPr="00F1728C" w14:paraId="5E65058D" w14:textId="77777777" w:rsidTr="00725D4D">
        <w:trPr>
          <w:trHeight w:val="336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699379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0AFF437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087388" w:rsidRPr="00F1728C" w14:paraId="11662F61" w14:textId="77777777" w:rsidTr="00725D4D">
        <w:trPr>
          <w:trHeight w:val="741"/>
        </w:trPr>
        <w:tc>
          <w:tcPr>
            <w:tcW w:w="1413" w:type="dxa"/>
            <w:shd w:val="clear" w:color="auto" w:fill="auto"/>
          </w:tcPr>
          <w:p w14:paraId="649841BE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654" w:type="dxa"/>
            <w:shd w:val="clear" w:color="auto" w:fill="auto"/>
          </w:tcPr>
          <w:p w14:paraId="4B69D0F8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tal-iskopertura ponderat għar-riskju fi tmiem il-perjodu ta’ divulgazzjoni preċedenti</w:t>
            </w:r>
          </w:p>
        </w:tc>
      </w:tr>
      <w:tr w:rsidR="00087388" w:rsidRPr="00F1728C" w14:paraId="59797D53" w14:textId="77777777" w:rsidTr="00725D4D">
        <w:trPr>
          <w:trHeight w:val="316"/>
        </w:trPr>
        <w:tc>
          <w:tcPr>
            <w:tcW w:w="1413" w:type="dxa"/>
          </w:tcPr>
          <w:p w14:paraId="18F999B5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4" w:type="dxa"/>
          </w:tcPr>
          <w:p w14:paraId="60C0E4F2" w14:textId="77777777" w:rsidR="00087388" w:rsidRPr="00F1728C" w:rsidRDefault="00087388" w:rsidP="00725D4D">
            <w:pPr>
              <w:spacing w:after="120"/>
              <w:jc w:val="both"/>
              <w:rPr>
                <w:b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Daqs tal-assi (+/-)</w:t>
            </w:r>
          </w:p>
          <w:p w14:paraId="2A1C0F3D" w14:textId="0A978186" w:rsidR="00087388" w:rsidRPr="00F1728C" w:rsidRDefault="00087388" w:rsidP="00725D4D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Tibdil fl-ammont tal-iskopertura ponderat għar-riskju bejn it-tmiem tal-perjodu ta’ divulgazzjoni preċedenti u t-tmiem tal-perjodu ta’ divulgazzjoni kurrenti, minħabba d-daqs tal-assi, jiġifieri tibdiliet organiċi fid-daqs u fil-kompożizzjoni tal-kotba (inkluża l-oriġinazzjoni ta’ negozji ġodda u ta’ self li jimmatura) iżda esklużi tibdiliet fid-daqs tal-kotba minħabba akkwiżizzjonijiet u disponiment tal-entitajiet.</w:t>
            </w:r>
          </w:p>
          <w:p w14:paraId="21CFBD20" w14:textId="77777777" w:rsidR="00087388" w:rsidRPr="00F1728C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Żidiet fl-ammonti tal-iskopertura ponderati għar-riskju għandhom jiġu ddivulgati bħala ammont pożittiv u tnaqqis fl-ammonti ta’ skoperturi ponderati għar-riskju għandhom jiġu ddivulgati bħala ammont negattiv.</w:t>
            </w:r>
          </w:p>
        </w:tc>
      </w:tr>
      <w:tr w:rsidR="00087388" w:rsidRPr="00F1728C" w14:paraId="563DB604" w14:textId="77777777" w:rsidTr="00725D4D">
        <w:trPr>
          <w:trHeight w:val="316"/>
        </w:trPr>
        <w:tc>
          <w:tcPr>
            <w:tcW w:w="1413" w:type="dxa"/>
          </w:tcPr>
          <w:p w14:paraId="5FCD5EC4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654" w:type="dxa"/>
          </w:tcPr>
          <w:p w14:paraId="7D0F2796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Kwalità tal-assi (+/-)</w:t>
            </w:r>
          </w:p>
          <w:p w14:paraId="43D5054C" w14:textId="5FA1EF8D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Tibdil fl-ammont tal-iskopertura ponderat għar-riskju bejn it-tmiem tal-perjodu ta’ divulgazzjoni preċedenti u t-tmiem tal-perjodu ta’ divulgazzjoni kurrenti, minħabba l-kwalità tal-assi, jiġifieri tibdiliet fil-kwalità vvalutata tal-assi tal-istituzzjoni minħabba tibdiliet fir-riskju tal-mutwatarju, bħal migrazzjoni tal-grad ta’ klassifikazzjoni jew effetti simili.</w:t>
            </w:r>
          </w:p>
          <w:p w14:paraId="28EE5ACA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Żidiet fl-ammonti tal-iskopertura ponderati għar-riskju għandhom jiġu ddivulgati bħala ammont pożittiv u tnaqqis fl-ammonti ta’ skoperturi ponderati għar-riskju għandhom jiġu ddivulgati bħala ammont negattiv.</w:t>
            </w:r>
          </w:p>
        </w:tc>
      </w:tr>
      <w:tr w:rsidR="00087388" w:rsidRPr="00F1728C" w14:paraId="246C06C0" w14:textId="77777777" w:rsidTr="00725D4D">
        <w:trPr>
          <w:trHeight w:val="316"/>
        </w:trPr>
        <w:tc>
          <w:tcPr>
            <w:tcW w:w="1413" w:type="dxa"/>
          </w:tcPr>
          <w:p w14:paraId="2598DEE6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654" w:type="dxa"/>
          </w:tcPr>
          <w:p w14:paraId="0F384F28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Aġġornamenti tal-mudell (+/-)</w:t>
            </w:r>
          </w:p>
          <w:p w14:paraId="0BE2CFF4" w14:textId="124C1D88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Tibdil fl-ammont tal-iskopertura ponderat għar-riskju bejn it-tmiem tal-perjodu ta’ divulgazzjoni preċedenti u t-tmiem tal-perjodu ta’ divulgazzjoni kurrenti, minħabba aġġornamenti fil-mudell, jiġifieri tibdiliet minħabba l-implimentazzjoni ta’ mudelli ġodda, tibdiliet fil-mudelli, tibdiliet fil-kamp ta’ applikazzjoni tal-mudell, jew kwalunkwe tibdil ieħor maħsub sabiex jindirizza dgħufijiet fil-mudell.</w:t>
            </w:r>
          </w:p>
          <w:p w14:paraId="13E221C1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Żidiet fl-ammonti tal-iskopertura ponderati għar-riskju għandhom jiġu ddivulgati bħala ammont pożittiv u tnaqqis fl-ammonti ta’ skoperturi ponderati għar-riskju għandhom jiġu ddivulgati bħala ammont negattiv.</w:t>
            </w:r>
          </w:p>
        </w:tc>
      </w:tr>
      <w:tr w:rsidR="00087388" w:rsidRPr="00F1728C" w14:paraId="24D67283" w14:textId="77777777" w:rsidTr="00725D4D">
        <w:trPr>
          <w:trHeight w:val="316"/>
        </w:trPr>
        <w:tc>
          <w:tcPr>
            <w:tcW w:w="1413" w:type="dxa"/>
          </w:tcPr>
          <w:p w14:paraId="44240AAE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654" w:type="dxa"/>
          </w:tcPr>
          <w:p w14:paraId="150AE3DE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Metodoloġija u politika (+/-)</w:t>
            </w:r>
          </w:p>
          <w:p w14:paraId="2B9722BD" w14:textId="5686BD98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Tibdil fl-ammont tal-iskopertura ponderat għar-riskju bejn it-tmiem tal-perjodu ta’ divulgazzjoni preċedenti u t-tmiem tal-perjodu ta’ divulgazzjoni kurrenti, minħabba l-metodoloġija u l-politika, jiġifieri tibdiliet minħabba tibdiliet metodoloġiċi fil-kalkoli mmotivati minn tibdiliet fil-politika regolatorja, inklużi kemm reviżjonijiet f’regolamenti eżistenti kif ukoll f’regolamenti ġodda, esklużi tibdiliet fil-mudelli, li huma inklużi fir-ringiela 4 ta’ dan il-mudell.</w:t>
            </w:r>
          </w:p>
          <w:p w14:paraId="559030D9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Żidiet fl-ammonti tal-iskopertura ponderati għar-riskju għandhom jiġu ddivulgati bħala ammont pożittiv u tnaqqis fl-ammonti ta’ skoperturi ponderati għar-riskju għandhom jiġu ddivulgati bħala ammont negattiv.</w:t>
            </w:r>
          </w:p>
        </w:tc>
      </w:tr>
      <w:tr w:rsidR="00087388" w:rsidRPr="00F1728C" w14:paraId="51E21477" w14:textId="77777777" w:rsidTr="00725D4D">
        <w:trPr>
          <w:trHeight w:val="316"/>
        </w:trPr>
        <w:tc>
          <w:tcPr>
            <w:tcW w:w="1413" w:type="dxa"/>
          </w:tcPr>
          <w:p w14:paraId="29B4EA11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654" w:type="dxa"/>
          </w:tcPr>
          <w:p w14:paraId="3E99C6D0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Akkwiżizzjonijiet u disponimenti (+/-)</w:t>
            </w:r>
          </w:p>
          <w:p w14:paraId="0B857E34" w14:textId="5C56D004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Tibdil fl-ammont tal-iskopertura ponderat għar-riskju bejn it-tmiem tal-perjodu ta’ divulgazzjoni preċedenti u t-tmiem tal-perjodu ta’ divulgazzjoni kurrenti, minħabba akkwiżizzjonijiet u disponimenti, jiġifieri tibdiliet fid-daqsijiet tal-kotba dovuti għal akkwiżizzjonijiet u/jew għal disponimenti.</w:t>
            </w:r>
          </w:p>
          <w:p w14:paraId="660182EF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Żidiet fl-ammonti tal-iskopertura ponderati għar-riskju għandhom jiġu ddivulgati bħala ammont pożittiv u tnaqqis fl-ammonti ta’ skoperturi ponderati għar-riskju għandhom jiġu ddivulgati bħala ammont negattiv.</w:t>
            </w:r>
          </w:p>
        </w:tc>
      </w:tr>
      <w:tr w:rsidR="00087388" w:rsidRPr="00F1728C" w14:paraId="6913EE24" w14:textId="77777777" w:rsidTr="00725D4D">
        <w:trPr>
          <w:trHeight w:val="316"/>
        </w:trPr>
        <w:tc>
          <w:tcPr>
            <w:tcW w:w="1413" w:type="dxa"/>
          </w:tcPr>
          <w:p w14:paraId="75697EEC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654" w:type="dxa"/>
          </w:tcPr>
          <w:p w14:paraId="5714E8D3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Ċaqliq fil-munita barranija (+/-)</w:t>
            </w:r>
          </w:p>
          <w:p w14:paraId="67D51F33" w14:textId="75113496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Tibdil fl-ammont tal-iskopertura ponderat għar-riskju bejn it-tmiem tal-perjodu ta’ divulgazzjoni preċedenti u t-tmiem tal-perjodu ta’ divulgazzjoni kurrenti, minħabba ċaqliq fil-munita barranija, jiġifieri tibdiliet li jirriżultaw minn ċaqliq fil-qlib tal-valuta barranija.</w:t>
            </w:r>
          </w:p>
          <w:p w14:paraId="5F610B2C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Żidiet fl-ammonti tal-iskopertura ponderati għar-riskju għandhom jiġu ddivulgati bħala ammont pożittiv u tnaqqis fl-ammonti ta’ skoperturi ponderati għar-riskju għandhom jiġu ddivulgati bħala ammont negattiv.</w:t>
            </w:r>
          </w:p>
        </w:tc>
      </w:tr>
      <w:tr w:rsidR="00087388" w:rsidRPr="00F1728C" w14:paraId="5FF1230F" w14:textId="77777777" w:rsidTr="00725D4D">
        <w:trPr>
          <w:trHeight w:val="316"/>
        </w:trPr>
        <w:tc>
          <w:tcPr>
            <w:tcW w:w="1413" w:type="dxa"/>
          </w:tcPr>
          <w:p w14:paraId="44B0A208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7654" w:type="dxa"/>
          </w:tcPr>
          <w:p w14:paraId="10E83E94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Oħrajn (+/-)</w:t>
            </w:r>
          </w:p>
          <w:p w14:paraId="5C061979" w14:textId="5E9D30DB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Tibdil fl-ammont tal-iskopertura ponderat għar-riskju bejn it-tmiem tal-perjodu ta’ divulgazzjoni preċedenti u t-tmiem tal-perjodu ta’ divulgazzjoni kurrenti, minħabba fatturi oħrajn.</w:t>
            </w:r>
          </w:p>
          <w:p w14:paraId="34BDA16D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il-kategorija għandha tintuża sabiex tkopri tibdiliet li ma jistgħux jiġu attribwiti għal xi kategorija oħra.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jiddeskrivu wkoll kwalunkwe fattur ewlieni materjali ieħor ta’ ċaqliq ta’ ammonti ponderati għar-riskju matul il-perjodu ta’ divulgazzjoni inkluż f’din ir-ringiela fin-narrattiva li takkumpanja dan il-mudell.</w:t>
            </w:r>
          </w:p>
          <w:p w14:paraId="745C38A5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Żidiet fl-ammonti tal-iskopertura ponderati għar-riskju għandhom jiġu ddivulgati bħala ammont pożittiv u tnaqqis fl-ammonti ta’ skoperturi ponderati għar-riskju għandhom jiġu ddivulgati bħala ammont negattiv.</w:t>
            </w:r>
          </w:p>
        </w:tc>
      </w:tr>
      <w:tr w:rsidR="00087388" w:rsidRPr="00F1728C" w14:paraId="11D0A84D" w14:textId="77777777" w:rsidTr="00725D4D">
        <w:trPr>
          <w:trHeight w:val="316"/>
        </w:trPr>
        <w:tc>
          <w:tcPr>
            <w:tcW w:w="1413" w:type="dxa"/>
          </w:tcPr>
          <w:p w14:paraId="089009E4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654" w:type="dxa"/>
          </w:tcPr>
          <w:p w14:paraId="119A2FF3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tal-iskopertura ponderat għar-riskju fi tmiem il-perjodu ta’ divulgazzjoni</w:t>
            </w:r>
          </w:p>
        </w:tc>
      </w:tr>
    </w:tbl>
    <w:p w14:paraId="3FE9F23F" w14:textId="77777777" w:rsidR="00087388" w:rsidRPr="00F1728C" w:rsidRDefault="00087388" w:rsidP="00087388">
      <w:pPr>
        <w:spacing w:after="120"/>
        <w:rPr>
          <w:rFonts w:ascii="Times New Roman" w:hAnsi="Times New Roman" w:cs="Times New Roman"/>
          <w:sz w:val="24"/>
        </w:rPr>
      </w:pPr>
    </w:p>
    <w:p w14:paraId="7B31A0E0" w14:textId="77777777" w:rsidR="00087388" w:rsidRPr="00F1728C" w:rsidRDefault="00087388" w:rsidP="00087388">
      <w:pPr>
        <w:spacing w:after="120"/>
        <w:rPr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CR9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ab/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- Approċċ IRB – Ittestjar retrospettiv tal-PD għal kull klassi tal-iskoperturi.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Mudell fiss.</w:t>
      </w:r>
    </w:p>
    <w:p w14:paraId="2ACD97A2" w14:textId="0561FA92" w:rsidR="00087388" w:rsidRPr="00F1728C" w:rsidRDefault="00087388" w:rsidP="11F50173">
      <w:pPr>
        <w:pStyle w:val="ListParagraph"/>
        <w:numPr>
          <w:ilvl w:val="0"/>
          <w:numId w:val="7"/>
        </w:numPr>
        <w:spacing w:after="120"/>
        <w:ind w:left="714" w:hanging="357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fl-Artikolu 452(h) tar-Regolament (UE) 575/2013 billi jsegwu l-istruzzjonijiet ipprovduti hawn taħt f’dan l-Anness sabiex jimlew il-mudell EU CR9 li huwa ppreżentat fl-Anness XXI tas-soluzzjonijiet tal-IT tal-EBA.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Meta istituzzjoni tagħmel użu kemm mill-approċċ F-IRB kif ukoll mill-approċċ A-IRB, hija għandha tiddivulga żewġ settijiet separati ta’ mudelli, wieħed għall-F-IRB u l-ieħor għall-A-IRB, b’mudell wieħed għal kull klassi ta’ skoperturi f’kull sett.</w:t>
      </w:r>
      <w:r>
        <w:rPr>
          <w:sz w:val="24"/>
          <w:rFonts w:ascii="Times New Roman" w:hAnsi="Times New Roman"/>
        </w:rPr>
        <w:t xml:space="preserve"> </w:t>
      </w:r>
    </w:p>
    <w:p w14:paraId="5F352546" w14:textId="77777777" w:rsidR="00087388" w:rsidRPr="00F1728C" w:rsidRDefault="00087388" w:rsidP="003B7D6C">
      <w:pPr>
        <w:pStyle w:val="ListParagraph"/>
        <w:numPr>
          <w:ilvl w:val="0"/>
          <w:numId w:val="7"/>
        </w:numPr>
        <w:spacing w:after="120"/>
        <w:ind w:left="714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 għandha tikkunsidra l-mudelli użati f’kull klassi tal-iskoperturi u għandha tispjega l-perċentwal tal-ammont tal-iskopertura ponderat għar-riskju tal-klassi tal-iskoperturi rilevanti kopert mill-mudelli li għalihom jiġu ddivulgati r-riżultati tal-ittestjar retrospettiv hawn.</w:t>
      </w:r>
    </w:p>
    <w:p w14:paraId="2E6B6B1C" w14:textId="77777777" w:rsidR="00087388" w:rsidRPr="00F1728C" w:rsidRDefault="00087388" w:rsidP="003B7D6C">
      <w:pPr>
        <w:pStyle w:val="ListParagraph"/>
        <w:numPr>
          <w:ilvl w:val="0"/>
          <w:numId w:val="7"/>
        </w:numPr>
        <w:spacing w:after="120"/>
        <w:ind w:left="714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jispjegaw, fin-narrattiva li takkumpanja, in-numru totali ta’ obbliganti b’kuntratti ta’ terminu qasir fid-data tad-divulgazzjoni, filwaqt li jindikaw liema klassijiet tal-iskoperturi għandhom numru akbar ta’ obbliganti kuntrattwali ta’ terminu qasir.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Kuntratti ta’ terminu qasir jirreferu għal kuntratti li l-maturità residwa tagħhom hija ta’ anqas minn 12-il xahar.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L-istituzzjonijiet għandhom jispjegaw ukoll jekk hemmx perjodi li jikkoinċidu fil-kalkolu tar-rati medji tal-PD fit-tul.</w:t>
      </w:r>
    </w:p>
    <w:p w14:paraId="244DFC0D" w14:textId="4C96D846" w:rsidR="00087388" w:rsidRPr="00F1728C" w:rsidRDefault="00087388" w:rsidP="63E31B68">
      <w:pPr>
        <w:pStyle w:val="ListParagraph"/>
        <w:numPr>
          <w:ilvl w:val="0"/>
          <w:numId w:val="7"/>
        </w:numPr>
        <w:spacing w:after="120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Dan il-mudell jeskludi l-iskoperturi għar-riskju ta’ kreditu tal-kontroparti (CCR) (il-Kapitolu 6 tat-Titolu II tal-Parti Tlieta tar-Regolament (UE) 575/2013), il-pożizzjonijiet tat-titolizzazzjoni, assi oħrajn b’obbligi mhux ta’ kreditu u l-iskoperturi tal-ekwità.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87388" w:rsidRPr="00F1728C" w14:paraId="36AEAFE1" w14:textId="77777777" w:rsidTr="11F50173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80DC00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Referenza tal-kolonna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DD63D9" w14:textId="77777777" w:rsidR="00087388" w:rsidRPr="00F1728C" w:rsidRDefault="00087388" w:rsidP="00725D4D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087388" w:rsidRPr="00F1728C" w14:paraId="3B7C1677" w14:textId="77777777" w:rsidTr="11F50173">
        <w:trPr>
          <w:trHeight w:val="351"/>
        </w:trPr>
        <w:tc>
          <w:tcPr>
            <w:tcW w:w="1413" w:type="dxa"/>
            <w:vMerge/>
          </w:tcPr>
          <w:p w14:paraId="1F72F646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8922914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087388" w:rsidRPr="00F1728C" w14:paraId="2516DD80" w14:textId="77777777" w:rsidTr="11F50173">
        <w:trPr>
          <w:trHeight w:val="841"/>
        </w:trPr>
        <w:tc>
          <w:tcPr>
            <w:tcW w:w="1413" w:type="dxa"/>
          </w:tcPr>
          <w:p w14:paraId="2C96E729" w14:textId="77777777" w:rsidR="00087388" w:rsidRPr="000A6489" w:rsidRDefault="00087388" w:rsidP="00725D4D">
            <w:pPr>
              <w:pStyle w:val="Applicationdirecte"/>
              <w:spacing w:before="0"/>
            </w:pPr>
            <w:r>
              <w:t xml:space="preserve">a (A-IRB)</w:t>
            </w:r>
          </w:p>
        </w:tc>
        <w:tc>
          <w:tcPr>
            <w:tcW w:w="7626" w:type="dxa"/>
          </w:tcPr>
          <w:p w14:paraId="24AC189A" w14:textId="77777777" w:rsidR="00087388" w:rsidRPr="00F1728C" w:rsidRDefault="00087388" w:rsidP="00725D4D">
            <w:pPr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Klassijiet tal-iskoperturi</w:t>
            </w:r>
          </w:p>
          <w:p w14:paraId="08CE6F91" w14:textId="43839CE4" w:rsidR="00CB5E48" w:rsidRPr="00F1728C" w:rsidRDefault="00087388" w:rsidP="000A6489">
            <w:pPr>
              <w:spacing w:after="120"/>
            </w:pPr>
            <w:r>
              <w:rPr>
                <w:sz w:val="24"/>
                <w:rFonts w:ascii="Times New Roman" w:hAnsi="Times New Roman"/>
              </w:rPr>
              <w:t xml:space="preserve">Għal kull klassi tal-iskoperturi elenkata fl-Artikolu 147(2) tar-Regolament (UE) Nru 575/2013, l-istituzzjonijiet għandhom jiddikjaraw mudell separat, b’diżaggregazzjoni ulterjuri għall-klassijiet tal-iskoperturi li ġejjin: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0D6AF46" w14:textId="77777777" w:rsidR="00CB5E48" w:rsidRPr="00F1728C" w:rsidRDefault="00CB5E48" w:rsidP="00CB5E48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fil-klassi tal-iskoperturi “skoperturi għal impriżi”, diżaggregazzjoni f’konformità mal-punt (c), l-Artikolu 147(2), is-subpunt (i), (ii) u (iii).</w:t>
            </w:r>
          </w:p>
          <w:p w14:paraId="3497FEF0" w14:textId="5A779F58" w:rsidR="00087388" w:rsidRPr="000A6489" w:rsidRDefault="001505CE" w:rsidP="000A6489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- fil-klassi tal-iskoperturi “skoperturi fil-livell tal-konsumatur”, diżaggregazzjoni f’konformità mal-punt (d) tal-Artikolu 147(2), is-subpunt (i), (ii), (iii) u (iv).</w:t>
            </w:r>
          </w:p>
        </w:tc>
      </w:tr>
      <w:tr w:rsidR="00087388" w:rsidRPr="00F1728C" w14:paraId="2396F8AA" w14:textId="77777777" w:rsidTr="11F50173">
        <w:trPr>
          <w:trHeight w:val="841"/>
        </w:trPr>
        <w:tc>
          <w:tcPr>
            <w:tcW w:w="1413" w:type="dxa"/>
          </w:tcPr>
          <w:p w14:paraId="4237E745" w14:textId="77777777" w:rsidR="00087388" w:rsidRPr="00F1728C" w:rsidRDefault="00087388" w:rsidP="00725D4D">
            <w:pPr>
              <w:pStyle w:val="Applicationdirecte"/>
              <w:spacing w:before="0"/>
            </w:pPr>
            <w:r>
              <w:t xml:space="preserve">a (F-IRB)</w:t>
            </w:r>
          </w:p>
        </w:tc>
        <w:tc>
          <w:tcPr>
            <w:tcW w:w="7626" w:type="dxa"/>
          </w:tcPr>
          <w:p w14:paraId="7E69C8DB" w14:textId="77777777" w:rsidR="00087388" w:rsidRPr="00F1728C" w:rsidRDefault="00087388" w:rsidP="00725D4D">
            <w:pPr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Klassijiet tal-iskoperturi</w:t>
            </w:r>
          </w:p>
          <w:p w14:paraId="74D84A0D" w14:textId="41E7D05F" w:rsidR="00087388" w:rsidRPr="00F1728C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kull klassi tal-iskoperturi elenkata fl-Artikolu 147(2) tar-Regolament (UE) Nru 575/2013, l-istituzzjonijiet għandhom jiddikjaraw mudell separat, b’diżaggregazzjoni ulterjuri għall-klassijiet tal-iskoperturi li ġejjin:</w:t>
            </w:r>
          </w:p>
          <w:p w14:paraId="2AD4AA46" w14:textId="1AA94ABB" w:rsidR="00CB5E48" w:rsidRPr="00F1728C" w:rsidRDefault="00CB5E48" w:rsidP="00CB5E48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fil-klassi tal-iskoperturi “skoperturi għal impriżi”, diżaggregazzjoni f’konformità mal-punt (c), l-Artikolu 147(2), is-subpunt (i), (ii) u (iii).</w:t>
            </w:r>
          </w:p>
          <w:p w14:paraId="01792FD8" w14:textId="4F8E6E73" w:rsidR="00087388" w:rsidRPr="000A6489" w:rsidRDefault="00087388" w:rsidP="00725D4D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388" w:rsidRPr="00F1728C" w14:paraId="378B22BB" w14:textId="77777777" w:rsidTr="11F50173">
        <w:trPr>
          <w:trHeight w:val="841"/>
        </w:trPr>
        <w:tc>
          <w:tcPr>
            <w:tcW w:w="1413" w:type="dxa"/>
          </w:tcPr>
          <w:p w14:paraId="305C6D05" w14:textId="77777777" w:rsidR="00087388" w:rsidRPr="00F1728C" w:rsidRDefault="00087388" w:rsidP="00725D4D">
            <w:pPr>
              <w:pStyle w:val="Applicationdirecte"/>
              <w:spacing w:before="0"/>
            </w:pPr>
            <w:r>
              <w:t xml:space="preserve"> </w:t>
            </w:r>
            <w:r>
              <w:t xml:space="preserve">b</w:t>
            </w:r>
          </w:p>
        </w:tc>
        <w:tc>
          <w:tcPr>
            <w:tcW w:w="7626" w:type="dxa"/>
          </w:tcPr>
          <w:p w14:paraId="0D2F2153" w14:textId="77777777" w:rsidR="00087388" w:rsidRPr="00F1728C" w:rsidRDefault="00087388" w:rsidP="00725D4D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Firxa tal-PD</w:t>
            </w:r>
          </w:p>
          <w:p w14:paraId="1AEE4784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hija medda fissa tal-PDs li ma għandhiex tinbidel.</w:t>
            </w:r>
          </w:p>
          <w:p w14:paraId="5C4179D2" w14:textId="77777777" w:rsidR="00087388" w:rsidRPr="00F1728C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għandhom jiġu allokati għal medda xierqa tal-medda fissa ta’ PDs ibbażata fuq il-PD stmat fil-bidu tal-perjodu ta’ divulgazzjoni għal kull obbligant assenjat għal din il-klassi tal-iskoperturi (mingħajr ma jitqies l-ebda effett ta’ sostituzzjoni minħabba s-CRM).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  <w:r>
              <w:rPr>
                <w:sz w:val="24"/>
                <w:rFonts w:ascii="Times New Roman" w:hAnsi="Times New Roman"/>
              </w:rPr>
              <w:t xml:space="preserve">L-iskoperturi inadempjenti kollha għandhom jiġu inklużi fit-taqsima li tirrappreżenta PD ta’ 100 %.</w:t>
            </w:r>
          </w:p>
        </w:tc>
      </w:tr>
      <w:tr w:rsidR="00087388" w:rsidRPr="00F1728C" w14:paraId="2DDDAD83" w14:textId="77777777" w:rsidTr="11F50173">
        <w:trPr>
          <w:trHeight w:val="554"/>
        </w:trPr>
        <w:tc>
          <w:tcPr>
            <w:tcW w:w="1413" w:type="dxa"/>
          </w:tcPr>
          <w:p w14:paraId="214A12E9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c, d</w:t>
            </w:r>
          </w:p>
        </w:tc>
        <w:tc>
          <w:tcPr>
            <w:tcW w:w="7626" w:type="dxa"/>
          </w:tcPr>
          <w:p w14:paraId="11C6CB32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ta’ obbliganti fi tmiem is-sena ta’ qabel</w:t>
            </w:r>
          </w:p>
          <w:p w14:paraId="2FC0CC71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iż-żewġ settijiet ta’ informazzjoni li ġejjin: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37D986F" w14:textId="77777777" w:rsidR="00087388" w:rsidRPr="00F1728C" w:rsidRDefault="00087388" w:rsidP="000A648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/>
              <w:ind w:left="598" w:hanging="598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in-numru ta’ obbliganti fi tmiem is-sena preċedenti (il-kolonna C ta’ dan il-mudell);</w:t>
            </w:r>
          </w:p>
          <w:p w14:paraId="7A6561ED" w14:textId="77777777" w:rsidR="00087388" w:rsidRPr="00F1728C" w:rsidRDefault="00087388" w:rsidP="000A6489">
            <w:pPr>
              <w:pStyle w:val="ListParagraph"/>
              <w:autoSpaceDE w:val="0"/>
              <w:autoSpaceDN w:val="0"/>
              <w:adjustRightInd w:val="0"/>
              <w:spacing w:after="120"/>
              <w:ind w:left="598"/>
              <w:jc w:val="both"/>
              <w:rPr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Numru ta’ obbliganti fi tmiem is-sena soġġetti għad-divulgazzjoni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C3FAF78" w14:textId="77777777" w:rsidR="00087388" w:rsidRPr="00F1728C" w:rsidRDefault="00087388" w:rsidP="000A6489">
            <w:pPr>
              <w:pStyle w:val="ListParagraph"/>
              <w:autoSpaceDE w:val="0"/>
              <w:autoSpaceDN w:val="0"/>
              <w:adjustRightInd w:val="0"/>
              <w:spacing w:after="120"/>
              <w:ind w:left="598"/>
              <w:jc w:val="both"/>
              <w:rPr>
                <w:sz w:val="24"/>
                <w:szCs w:val="24"/>
                <w:rFonts w:ascii="Times New Roman" w:eastAsiaTheme="minorEastAsia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Fiż-żewġ każijiet, l-obbliganti kollha li jġorru obbligu ta’ kreditu fil-mument rilevanti għandhom jiġu inklużi.</w:t>
            </w:r>
          </w:p>
          <w:p w14:paraId="34B48B79" w14:textId="77777777" w:rsidR="00087388" w:rsidRPr="00F1728C" w:rsidRDefault="00087388" w:rsidP="000A6489">
            <w:pPr>
              <w:pStyle w:val="ListParagraph"/>
              <w:autoSpaceDE w:val="0"/>
              <w:autoSpaceDN w:val="0"/>
              <w:adjustRightInd w:val="0"/>
              <w:spacing w:after="120"/>
              <w:ind w:left="598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in-numru ta’ entitajiet ġuridiċi jew ta’ debituri allokati għal kull bucket tal-medda fissa ta’ PDs sa tmiem is-sena ta’ qabel, li ġew ikklassifikati separatament, irrispettivament min-numru ta’ self jew ta’ skoperturi differenti mogħtija.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CF8FD57" w14:textId="6C7FD8DF" w:rsidR="00087388" w:rsidRPr="00F1728C" w:rsidRDefault="00087388" w:rsidP="000A6489">
            <w:pPr>
              <w:pStyle w:val="ListParagraph"/>
              <w:autoSpaceDE w:val="0"/>
              <w:autoSpaceDN w:val="0"/>
              <w:adjustRightInd w:val="0"/>
              <w:spacing w:after="120"/>
              <w:ind w:left="598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Il-kondebituri għandhom jiġu trattati l-istess bħal għall-fini tal-kalibrar tal-PD.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skoperturi differenti għall-istess debitur ikunu klassifikati separatament, dawn għandhom jingħaddu separatament.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Tali sitwazzjoni tista’ sseħħ fil-klassi tal-iskoperturi fil-livell tal-konsumatur, meta d-definizzjoni ta’ inadempjenza tiġi applikata fil-livell ta’ faċilità ta’ kreditu individwali f’konformità mal-aħħar sentenza tal-Artikolu 178(1)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Tali sitwazzjoni tista’ sseħħ ukoll jekk skoperturi separati għall-istess debitur jiġu assenjati fi gradi differenti ta’ debituri f’konformità mat-tieni sentenza tal-Artikolu 172(1)(e) tar-Regolament (UE) 575/2013 fi klassijiet tal-iskoperturi oħrajn.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F6ED66A" w14:textId="6F0CE9DE" w:rsidR="001505CE" w:rsidRPr="00F1728C" w:rsidRDefault="00087388" w:rsidP="000A6489">
            <w:pPr>
              <w:pStyle w:val="ListParagraph"/>
              <w:numPr>
                <w:ilvl w:val="0"/>
                <w:numId w:val="4"/>
              </w:numPr>
              <w:spacing w:after="120"/>
              <w:ind w:left="598" w:hanging="598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li minnhom l-għadd ta’ debituri li jsiru inadempjenti matul is-sena qabel id-data tad-divulgazzjoni (il-kolonna d ta’ dan il-mudell).</w:t>
            </w:r>
          </w:p>
          <w:p w14:paraId="42A4D76F" w14:textId="2BBF5C6D" w:rsidR="00087388" w:rsidRPr="000A6489" w:rsidRDefault="00087388" w:rsidP="000A6489">
            <w:pPr>
              <w:pStyle w:val="ListParagraph"/>
              <w:spacing w:after="120"/>
              <w:ind w:left="598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għandu jkun subsett tal-kolonna C ta’ dan il-mudell u jirrappreżenta n-numru ta’ obbliganti li jkunu saru inadempjenti matul is-sena.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L-inadempjenzi għandhom jiġu determinati f’konformità mal-Artikolu 178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Kull obbligant inadempjenti għandu jingħadd darba biss fin-numeratur u fid-denominatur tal-kalkolu tar-rata ta’ inadempjenza ta’ sena, anki jekk l-obbligant ikun sar inadempjenti aktar minn darba matul il-perjodu rilevanti ta’ sena.</w:t>
            </w:r>
          </w:p>
        </w:tc>
      </w:tr>
      <w:tr w:rsidR="00087388" w:rsidRPr="00F1728C" w14:paraId="677F40C0" w14:textId="77777777" w:rsidTr="11F50173">
        <w:trPr>
          <w:trHeight w:val="316"/>
        </w:trPr>
        <w:tc>
          <w:tcPr>
            <w:tcW w:w="1413" w:type="dxa"/>
          </w:tcPr>
          <w:p w14:paraId="6D57B0F0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26" w:type="dxa"/>
          </w:tcPr>
          <w:p w14:paraId="585D55D1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Rata medja osservata ta’ inadempjenza</w:t>
            </w:r>
          </w:p>
          <w:p w14:paraId="342F1D67" w14:textId="30705C72" w:rsidR="00087388" w:rsidRPr="00F1728C" w:rsidRDefault="00087388" w:rsidP="11F5017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Il-medja aritmetika tar-rati ta’ inadempjenza ta’ sena kif iddefiniti fl-Artikolu 4(1), il-punt (78) tar-Regolament (UE) Nru 575/2013, osservata fis-sett tad-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disponibbli.</w:t>
            </w:r>
          </w:p>
          <w:p w14:paraId="4FD8B958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jikkalkolaw rati ta’ inadempjenza ta’ sena, l-istituzzjonijiet għandhom jiżguraw dawn it-tnejn li ġejjin:</w:t>
            </w:r>
          </w:p>
          <w:p w14:paraId="4172021F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(a) li d-denominatur jikkonsisti fin-numru ta’ debituri mhux inadempjenti bi kwalunkwe obbligu ta’ kreditu osservat fil-bidu tal-perjodu ta’ osservazzjoni ta’ sena (il-bidu tal-perjodu ta’ divulgazzjoni preċedenti, jiġifieri l-bidu tas-sena qabel id-data ta’ referenza tad-divulgazzjoni);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f’dan il-kuntest, obbligazzjoni ta’ kreditu tirreferi għat-tnejn li ġejjin: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(i) kwalunkwe entrata fil-karta bilanċjali, inkluż kwalunkwe ammont ta’ kapital, ta’ mgħax u ta’ tariffi;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(ii) kwalunkwe entrata li ma tidhirx fil-karta bilanċjali, inklużi garanziji maħruġa mill-istituzzjoni bħala garanti.</w:t>
            </w:r>
          </w:p>
          <w:p w14:paraId="4D080CCD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(b) li n-numeratur jinkludi dawk id-debituri kollha kkunsidrati fid-denominatur li kellhom tal-anqas event ta’ inadempjenza wieħed matul il-perjodu ta’ osservazzjoni ta’ sena (sena qabel id-data ta’ referenza tad-divulgazzjoni).</w:t>
            </w:r>
          </w:p>
          <w:p w14:paraId="44140519" w14:textId="77777777" w:rsidR="00087388" w:rsidRPr="00F1728C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jagħżlu approċċ xieraq bejn approċċ ibbażat fuq perjodi ta’ żmien ta’ sena li huma koinċidenti u approċċ ibbażat fuq perjodi ta’ żmien ta’ sena li mhumiex koinċidenti, sabiex jikkalkolaw ir-rata medja osservata ta’ inadempjenza.</w:t>
            </w:r>
          </w:p>
        </w:tc>
      </w:tr>
      <w:tr w:rsidR="00087388" w:rsidRPr="00F1728C" w14:paraId="1417BA0F" w14:textId="77777777" w:rsidTr="11F50173">
        <w:trPr>
          <w:trHeight w:val="316"/>
        </w:trPr>
        <w:tc>
          <w:tcPr>
            <w:tcW w:w="1413" w:type="dxa"/>
          </w:tcPr>
          <w:p w14:paraId="41B9DDB7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626" w:type="dxa"/>
          </w:tcPr>
          <w:p w14:paraId="537B3C8C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PD medju ponderat skont l-iskopertura (%)</w:t>
            </w:r>
          </w:p>
          <w:p w14:paraId="5F0530EE" w14:textId="3A59E6A5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Il-PD medju ponderat skont l-iskopertura (%) bħal fil-kolonna f tal-mudell EU CR6;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għall-iskoperturi kollha inklużi f’kull bucket tal-medda fissa ta’ PDs, l-istima tal-PD medju ta’ kull debitur, ponderata skont il-valur tal-iskopertura wara s-CCF u s-CRM kif indikat fil-kolonna e tal-Mudell EU CR6.</w:t>
            </w:r>
          </w:p>
        </w:tc>
      </w:tr>
      <w:tr w:rsidR="00087388" w:rsidRPr="00F1728C" w14:paraId="6ADAC8CF" w14:textId="77777777" w:rsidTr="11F50173">
        <w:trPr>
          <w:trHeight w:val="316"/>
        </w:trPr>
        <w:tc>
          <w:tcPr>
            <w:tcW w:w="1413" w:type="dxa"/>
          </w:tcPr>
          <w:p w14:paraId="0CC8436E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626" w:type="dxa"/>
          </w:tcPr>
          <w:p w14:paraId="601A7E32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PD medju fid-data tad-divulgazzjoni (%)</w:t>
            </w:r>
          </w:p>
          <w:p w14:paraId="5B9AD608" w14:textId="75E362E9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Il-medja aritmetika tal-PD fil-bidu tal-perjodu ta’ divulgazzjoni tad-debituri li jaqgħu fil-bucket tal-medda fissa tal-PDs u magħduda f’d (medja ponderata skont in-numru ta’ debituri).</w:t>
            </w:r>
          </w:p>
        </w:tc>
      </w:tr>
      <w:tr w:rsidR="00087388" w:rsidRPr="00F1728C" w14:paraId="7D0D4738" w14:textId="77777777" w:rsidTr="11F50173">
        <w:trPr>
          <w:trHeight w:val="316"/>
        </w:trPr>
        <w:tc>
          <w:tcPr>
            <w:tcW w:w="1413" w:type="dxa"/>
          </w:tcPr>
          <w:p w14:paraId="7FCD0B2E" w14:textId="77777777" w:rsidR="00087388" w:rsidRPr="00F1728C" w:rsidRDefault="00087388" w:rsidP="00725D4D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</w:t>
            </w:r>
          </w:p>
        </w:tc>
        <w:tc>
          <w:tcPr>
            <w:tcW w:w="7626" w:type="dxa"/>
          </w:tcPr>
          <w:p w14:paraId="295C6402" w14:textId="77777777" w:rsidR="00087388" w:rsidRPr="00F1728C" w:rsidRDefault="00087388" w:rsidP="00725D4D">
            <w:pPr>
              <w:spacing w:after="120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Rata ta’ inadempjenza annwali storika medja (%)</w:t>
            </w:r>
          </w:p>
          <w:p w14:paraId="399DE4C9" w14:textId="7DA98262" w:rsidR="00087388" w:rsidRPr="00F1728C" w:rsidRDefault="00087388" w:rsidP="00725D4D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Il-medja aritmetika tar-rata ta’ inadempjenza annwali ta’ mill-inqas l-aktar 5 snin riċenti (debituri fil-bidu ta’ kull sena li jsiru inadempjenti matul dik is-sena/in-numru totali ta’ debituri fil-bidu tas-sena).</w:t>
            </w:r>
          </w:p>
          <w:p w14:paraId="19B9AA5D" w14:textId="28091B16" w:rsidR="00087388" w:rsidRPr="00F1728C" w:rsidRDefault="00087388" w:rsidP="00725D4D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tista’ tuża perjodu storiku itwal li jkun konsistenti mal-prattiki attwali ta’ ġestjoni tar-riskju tal-istituzzjoni.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l-istituzzjoni tuża perjodu storiku itwal, għandha tispjega u tiċċara dan fin-narrattiva li takkumpanja l-mudell.</w:t>
            </w:r>
          </w:p>
        </w:tc>
      </w:tr>
    </w:tbl>
    <w:p w14:paraId="61CDCEAD" w14:textId="77777777" w:rsidR="00087388" w:rsidRPr="00F1728C" w:rsidRDefault="00087388" w:rsidP="00087388">
      <w:pPr>
        <w:spacing w:after="120"/>
        <w:rPr>
          <w:rFonts w:ascii="Times New Roman" w:hAnsi="Times New Roman" w:cs="Times New Roman"/>
          <w:sz w:val="24"/>
        </w:rPr>
      </w:pPr>
    </w:p>
    <w:p w14:paraId="6BB9E253" w14:textId="77777777" w:rsidR="00087388" w:rsidRPr="00F1728C" w:rsidRDefault="00087388" w:rsidP="00087388">
      <w:pPr>
        <w:spacing w:after="120"/>
        <w:rPr>
          <w:rFonts w:ascii="Times New Roman" w:hAnsi="Times New Roman" w:cs="Times New Roman"/>
          <w:sz w:val="24"/>
        </w:rPr>
      </w:pPr>
    </w:p>
    <w:p w14:paraId="212C2C1E" w14:textId="4AFD01E6" w:rsidR="00087388" w:rsidRPr="00F1728C" w:rsidRDefault="00087388" w:rsidP="11F50173">
      <w:pPr>
        <w:spacing w:after="120"/>
        <w:rPr>
          <w:b/>
          <w:bCs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CR9.1 – Approċċ IRB– Ittestjar retrospettiv tal-PD għal kull klassi tal-iskoperturi (għall-istimi tal-PD biss f’konformità mal-punt (f) tal-Artikolu 180(1) CRR)</w:t>
      </w:r>
    </w:p>
    <w:p w14:paraId="23DE523C" w14:textId="77777777" w:rsidR="00087388" w:rsidRPr="00F1728C" w:rsidRDefault="00087388" w:rsidP="00087388">
      <w:pPr>
        <w:spacing w:after="120"/>
        <w:rPr>
          <w:rFonts w:ascii="Times New Roman" w:hAnsi="Times New Roman" w:cs="Times New Roman"/>
          <w:sz w:val="24"/>
        </w:rPr>
      </w:pPr>
    </w:p>
    <w:p w14:paraId="36D4065A" w14:textId="78237898" w:rsidR="00087388" w:rsidRPr="00F1728C" w:rsidRDefault="00087388" w:rsidP="11F50173">
      <w:pPr>
        <w:pStyle w:val="ListParagraph"/>
        <w:numPr>
          <w:ilvl w:val="0"/>
          <w:numId w:val="7"/>
        </w:numPr>
        <w:spacing w:after="120"/>
        <w:ind w:left="714" w:hanging="357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Minbarra l-Mudell EU CR9, l-istituzzjonijiet għandhom jiddikjaraw informazzjoni fil-Mudell EU CR9.1 fil-każ meta japplikaw l-Artikolu 180(1), il-punt (f) tar-Regolament (UE) 575/2013 għall-istima tal-PD u biss għall-istimi tal-PD f’konformità mal-istess Artikolu.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L-istruzzjonijiet huma l-istess bħal fil-Mudell EU CR9, bl-eċċezzjonijiet li ġejjin:</w:t>
      </w:r>
    </w:p>
    <w:p w14:paraId="6A14E435" w14:textId="77777777" w:rsidR="00087388" w:rsidRPr="00F1728C" w:rsidRDefault="00087388" w:rsidP="000A6489">
      <w:pPr>
        <w:pStyle w:val="ListParagraph"/>
        <w:numPr>
          <w:ilvl w:val="1"/>
          <w:numId w:val="7"/>
        </w:numPr>
        <w:spacing w:after="120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Fil-kolonna b ta’ dan il-mudell, l-istituzzjonijiet għandhom jiddivulgaw il-meded tal-PD f’konformità mal-gradi interni tagħhom li jimmappjaw għall-iskala użata mill-ECAI esterna, minflok medda esterna fissa tal-PD;</w:t>
      </w:r>
    </w:p>
    <w:p w14:paraId="281A45A2" w14:textId="3F3B919E" w:rsidR="00087388" w:rsidRPr="00F1728C" w:rsidRDefault="00087388" w:rsidP="000A6489">
      <w:pPr>
        <w:pStyle w:val="ListParagraph"/>
        <w:numPr>
          <w:ilvl w:val="1"/>
          <w:numId w:val="7"/>
        </w:numPr>
        <w:spacing w:after="120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jiddikjaraw kolonna waħda għal kull ECAI kkunsidrata skont l-Artikolu 180(1) tar-Regolament (UE) Nru 575/2013.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F’dawn il-kolonni, l-istituzzjonijiet għandhom jinkludu l-klassifikazzjoni esterna li magħha huma korrispondenti l-meded interni tagħhom tal-PD.</w:t>
      </w:r>
      <w:r>
        <w:rPr>
          <w:rFonts w:ascii="Times New Roman" w:hAnsi="Times New Roman"/>
        </w:rPr>
        <w:tab/>
      </w:r>
    </w:p>
    <w:p w14:paraId="52E56223" w14:textId="77777777" w:rsidR="00087388" w:rsidRPr="000866EF" w:rsidRDefault="00087388" w:rsidP="000A6489">
      <w:pPr>
        <w:spacing w:after="120"/>
        <w:jc w:val="both"/>
        <w:rPr>
          <w:rFonts w:ascii="Times New Roman" w:hAnsi="Times New Roman" w:cs="Times New Roman"/>
          <w:sz w:val="24"/>
        </w:rPr>
      </w:pPr>
    </w:p>
    <w:p w14:paraId="07547A01" w14:textId="77777777" w:rsidR="00993FC2" w:rsidRPr="000866EF" w:rsidRDefault="00993FC2">
      <w:pPr>
        <w:rPr>
          <w:rFonts w:ascii="Times New Roman" w:hAnsi="Times New Roman" w:cs="Times New Roman"/>
        </w:rPr>
      </w:pPr>
    </w:p>
    <w:sectPr w:rsidR="00993FC2" w:rsidRPr="000866EF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C087B" w14:textId="77777777" w:rsidR="00035F15" w:rsidRDefault="00035F15" w:rsidP="00087388">
      <w:r>
        <w:separator/>
      </w:r>
    </w:p>
  </w:endnote>
  <w:endnote w:type="continuationSeparator" w:id="0">
    <w:p w14:paraId="2701890D" w14:textId="77777777" w:rsidR="00035F15" w:rsidRDefault="00035F15" w:rsidP="00087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32517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1FDAD2" w14:textId="77777777" w:rsidR="00725D4D" w:rsidRDefault="00725D4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5E48">
          <w:t>12</w:t>
        </w:r>
        <w:r>
          <w:fldChar w:fldCharType="end"/>
        </w:r>
      </w:p>
    </w:sdtContent>
  </w:sdt>
  <w:p w14:paraId="6537F28F" w14:textId="77777777" w:rsidR="00725D4D" w:rsidRDefault="00725D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1FFF5" w14:textId="77777777" w:rsidR="00035F15" w:rsidRDefault="00035F15" w:rsidP="00087388">
      <w:r>
        <w:separator/>
      </w:r>
    </w:p>
  </w:footnote>
  <w:footnote w:type="continuationSeparator" w:id="0">
    <w:p w14:paraId="38A059CD" w14:textId="77777777" w:rsidR="00035F15" w:rsidRDefault="00035F15" w:rsidP="00087388">
      <w:r>
        <w:continuationSeparator/>
      </w:r>
    </w:p>
  </w:footnote>
  <w:footnote w:id="1">
    <w:p w14:paraId="3798489D" w14:textId="36389973" w:rsidR="00725D4D" w:rsidRPr="00222AAB" w:rsidRDefault="00725D4D" w:rsidP="0008738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(UE) 575/2013 tal-Parlament Ewropew u tal-Kunsill tas-26 ta’ Ġunju 2013 dwar ir-rekwiżiti prudenzjali għall-istituzzjonijiet ta’ kreditu u d-ditti tal-investiment u li jemenda r-Regolament (UE) Nru 648/2012, kif emendat bir-Regolament (UE) 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ĠU L 176, 27.6.2013, p.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Ir-Regolament - UE - 2024/1623 - MT - EUR-Lex (europa.eu)</w:t>
        </w:r>
      </w:hyperlink>
      <w:r>
        <w:t xml:space="preserve">).</w:t>
      </w:r>
    </w:p>
  </w:footnote>
  <w:footnote w:id="2">
    <w:p w14:paraId="015156CF" w14:textId="77777777" w:rsidR="00725D4D" w:rsidRPr="00222AAB" w:rsidRDefault="00725D4D" w:rsidP="0008738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DELEGAT TAL-KUMMISSJONI (UE) Nru 183/2014 tal-20 ta’ Diċembru 2013 li jissupplimenta r-Regolament (UE) Nru 575/2013 tal-Parlament Ewropew u tal-Kunsill dwar ir-rekwiżiti prudenzjali għall-istituzzjonijiet ta’ kreditu u d-ditti tal-investiment, fir-rigward ta’ standards tekniċi regolatorji biex jiġi speċifikat il-kalkolu tal-aġġustamenti għar-riskju ta’ kreditu speċifiċi u ġenerali (ĠU L 57, 27.2.2014, p. 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5D23" w14:textId="015013B9" w:rsidR="00725D4D" w:rsidRDefault="00AC467D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781149F0" wp14:editId="4D335EC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5" name="Text Box 5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06BA07" w14:textId="3A1B87BE" w:rsidR="00AC467D" w:rsidRPr="000A6489" w:rsidRDefault="00AC467D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81149F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alt="Title:  - Description: Użu Regolari tal-EBA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106BA07" w14:textId="3A1B87BE" w:rsidR="00AC467D" w:rsidRPr="000A6489" w:rsidRDefault="00AC467D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F9E56" w14:textId="422A70D1" w:rsidR="00725D4D" w:rsidRDefault="00AC467D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5A3D7B59" wp14:editId="7136E008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6" name="Text Box 6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D9497A" w14:textId="16E4C4AF" w:rsidR="00AC467D" w:rsidRPr="000A6489" w:rsidRDefault="00AC467D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A3D7B5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alt="Title:  - Description: Użu Regolari tal-EBA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5CD9497A" w14:textId="16E4C4AF" w:rsidR="00AC467D" w:rsidRPr="000A6489" w:rsidRDefault="00AC467D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29E8" w14:textId="790BC35E" w:rsidR="00725D4D" w:rsidRDefault="00AC467D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5352EC3A" wp14:editId="695AACA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4" name="Text Box 4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32262D" w14:textId="67EF7B50" w:rsidR="00AC467D" w:rsidRPr="000A6489" w:rsidRDefault="00AC467D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352EC3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alt="Title:  - Description: Użu Regolari tal-EBA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5D32262D" w14:textId="67EF7B50" w:rsidR="00AC467D" w:rsidRPr="000A6489" w:rsidRDefault="00AC467D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416A"/>
    <w:multiLevelType w:val="hybridMultilevel"/>
    <w:tmpl w:val="750E144E"/>
    <w:lvl w:ilvl="0" w:tplc="D5B046CC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74E21"/>
    <w:multiLevelType w:val="hybridMultilevel"/>
    <w:tmpl w:val="16844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01E9F"/>
    <w:multiLevelType w:val="hybridMultilevel"/>
    <w:tmpl w:val="9F8896A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C3FF8"/>
    <w:multiLevelType w:val="hybridMultilevel"/>
    <w:tmpl w:val="168440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DD727D"/>
    <w:multiLevelType w:val="hybridMultilevel"/>
    <w:tmpl w:val="A352F802"/>
    <w:lvl w:ilvl="0" w:tplc="42DA02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1B56EB"/>
    <w:multiLevelType w:val="hybridMultilevel"/>
    <w:tmpl w:val="84B82DAE"/>
    <w:lvl w:ilvl="0" w:tplc="58B80B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6937967">
    <w:abstractNumId w:val="4"/>
  </w:num>
  <w:num w:numId="2" w16cid:durableId="1864708907">
    <w:abstractNumId w:val="1"/>
  </w:num>
  <w:num w:numId="3" w16cid:durableId="952058232">
    <w:abstractNumId w:val="6"/>
  </w:num>
  <w:num w:numId="4" w16cid:durableId="1799913301">
    <w:abstractNumId w:val="5"/>
  </w:num>
  <w:num w:numId="5" w16cid:durableId="1907107170">
    <w:abstractNumId w:val="0"/>
  </w:num>
  <w:num w:numId="6" w16cid:durableId="1180508280">
    <w:abstractNumId w:val="2"/>
  </w:num>
  <w:num w:numId="7" w16cid:durableId="10250553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07E95"/>
    <w:rsid w:val="000216B0"/>
    <w:rsid w:val="000264F8"/>
    <w:rsid w:val="00035F15"/>
    <w:rsid w:val="00041B15"/>
    <w:rsid w:val="00046915"/>
    <w:rsid w:val="00073D5C"/>
    <w:rsid w:val="00082617"/>
    <w:rsid w:val="000866EF"/>
    <w:rsid w:val="00087388"/>
    <w:rsid w:val="000A6489"/>
    <w:rsid w:val="000D5E29"/>
    <w:rsid w:val="00105ED8"/>
    <w:rsid w:val="00121ACC"/>
    <w:rsid w:val="001505CE"/>
    <w:rsid w:val="00170359"/>
    <w:rsid w:val="00173E93"/>
    <w:rsid w:val="001903B7"/>
    <w:rsid w:val="00191A3A"/>
    <w:rsid w:val="001C2C33"/>
    <w:rsid w:val="001E1AE0"/>
    <w:rsid w:val="001F0F62"/>
    <w:rsid w:val="00211D86"/>
    <w:rsid w:val="00213305"/>
    <w:rsid w:val="002827AE"/>
    <w:rsid w:val="002947D0"/>
    <w:rsid w:val="002C7F1A"/>
    <w:rsid w:val="002D32E2"/>
    <w:rsid w:val="002F5D79"/>
    <w:rsid w:val="00323F0F"/>
    <w:rsid w:val="00324DA2"/>
    <w:rsid w:val="00334489"/>
    <w:rsid w:val="00340D58"/>
    <w:rsid w:val="00344A92"/>
    <w:rsid w:val="003461F9"/>
    <w:rsid w:val="00396912"/>
    <w:rsid w:val="003B7D6C"/>
    <w:rsid w:val="003C0B15"/>
    <w:rsid w:val="003D041E"/>
    <w:rsid w:val="003D3003"/>
    <w:rsid w:val="003D3A7A"/>
    <w:rsid w:val="004077C4"/>
    <w:rsid w:val="0041521E"/>
    <w:rsid w:val="0045375A"/>
    <w:rsid w:val="00457546"/>
    <w:rsid w:val="00460EC5"/>
    <w:rsid w:val="00465A3E"/>
    <w:rsid w:val="00466600"/>
    <w:rsid w:val="004A4BAF"/>
    <w:rsid w:val="004B6843"/>
    <w:rsid w:val="004C0BB2"/>
    <w:rsid w:val="004E2633"/>
    <w:rsid w:val="00504A90"/>
    <w:rsid w:val="005906DA"/>
    <w:rsid w:val="005A25BA"/>
    <w:rsid w:val="005A7F65"/>
    <w:rsid w:val="005B3DED"/>
    <w:rsid w:val="005C42F4"/>
    <w:rsid w:val="006570F0"/>
    <w:rsid w:val="006624F7"/>
    <w:rsid w:val="00671381"/>
    <w:rsid w:val="00681803"/>
    <w:rsid w:val="006A55A0"/>
    <w:rsid w:val="006C6639"/>
    <w:rsid w:val="006F5EDB"/>
    <w:rsid w:val="0070051C"/>
    <w:rsid w:val="007025DE"/>
    <w:rsid w:val="007028BF"/>
    <w:rsid w:val="00725D4D"/>
    <w:rsid w:val="007727B8"/>
    <w:rsid w:val="00772834"/>
    <w:rsid w:val="00773162"/>
    <w:rsid w:val="00781C99"/>
    <w:rsid w:val="0079524B"/>
    <w:rsid w:val="00815EA9"/>
    <w:rsid w:val="00830513"/>
    <w:rsid w:val="008309A6"/>
    <w:rsid w:val="008435EF"/>
    <w:rsid w:val="0086499D"/>
    <w:rsid w:val="00877F46"/>
    <w:rsid w:val="00883E52"/>
    <w:rsid w:val="008972DE"/>
    <w:rsid w:val="008B0E01"/>
    <w:rsid w:val="008F68A5"/>
    <w:rsid w:val="00907E95"/>
    <w:rsid w:val="009248C4"/>
    <w:rsid w:val="00942C4C"/>
    <w:rsid w:val="009610E4"/>
    <w:rsid w:val="00993FC2"/>
    <w:rsid w:val="009A30F2"/>
    <w:rsid w:val="009C2B0F"/>
    <w:rsid w:val="00A11C69"/>
    <w:rsid w:val="00A44186"/>
    <w:rsid w:val="00A70408"/>
    <w:rsid w:val="00A75907"/>
    <w:rsid w:val="00AA3ADE"/>
    <w:rsid w:val="00AC467D"/>
    <w:rsid w:val="00AC695F"/>
    <w:rsid w:val="00AD39F9"/>
    <w:rsid w:val="00AE716E"/>
    <w:rsid w:val="00AF31ED"/>
    <w:rsid w:val="00B0207B"/>
    <w:rsid w:val="00B04B66"/>
    <w:rsid w:val="00B21689"/>
    <w:rsid w:val="00B77F1A"/>
    <w:rsid w:val="00B91174"/>
    <w:rsid w:val="00BA4DB9"/>
    <w:rsid w:val="00BC16FE"/>
    <w:rsid w:val="00BD2207"/>
    <w:rsid w:val="00BE3252"/>
    <w:rsid w:val="00BE7E3C"/>
    <w:rsid w:val="00C51804"/>
    <w:rsid w:val="00C601AF"/>
    <w:rsid w:val="00C96694"/>
    <w:rsid w:val="00CB5E48"/>
    <w:rsid w:val="00CF0490"/>
    <w:rsid w:val="00CF530D"/>
    <w:rsid w:val="00D133BE"/>
    <w:rsid w:val="00D1583E"/>
    <w:rsid w:val="00D453C7"/>
    <w:rsid w:val="00D67408"/>
    <w:rsid w:val="00D8212C"/>
    <w:rsid w:val="00D9503E"/>
    <w:rsid w:val="00DA7593"/>
    <w:rsid w:val="00DF2BFC"/>
    <w:rsid w:val="00E42A78"/>
    <w:rsid w:val="00E60EAB"/>
    <w:rsid w:val="00E643F5"/>
    <w:rsid w:val="00E65AFD"/>
    <w:rsid w:val="00E91213"/>
    <w:rsid w:val="00EA36B5"/>
    <w:rsid w:val="00EE4075"/>
    <w:rsid w:val="00EF5AE5"/>
    <w:rsid w:val="00F1728C"/>
    <w:rsid w:val="00F17498"/>
    <w:rsid w:val="00F34968"/>
    <w:rsid w:val="00F611FA"/>
    <w:rsid w:val="00F61C5E"/>
    <w:rsid w:val="00FA32EC"/>
    <w:rsid w:val="00FB2317"/>
    <w:rsid w:val="00FB4943"/>
    <w:rsid w:val="00FB7E66"/>
    <w:rsid w:val="00FD4C27"/>
    <w:rsid w:val="00FF6446"/>
    <w:rsid w:val="01E07012"/>
    <w:rsid w:val="01E22573"/>
    <w:rsid w:val="039D9E2F"/>
    <w:rsid w:val="0409142A"/>
    <w:rsid w:val="048F7B4D"/>
    <w:rsid w:val="04EF5B76"/>
    <w:rsid w:val="056350A1"/>
    <w:rsid w:val="05B5D563"/>
    <w:rsid w:val="05F88996"/>
    <w:rsid w:val="060B7D3D"/>
    <w:rsid w:val="062B4BAE"/>
    <w:rsid w:val="06ADA2FA"/>
    <w:rsid w:val="06E41ABE"/>
    <w:rsid w:val="07244706"/>
    <w:rsid w:val="074E3790"/>
    <w:rsid w:val="07C0A35D"/>
    <w:rsid w:val="07C71C0F"/>
    <w:rsid w:val="07DB32AB"/>
    <w:rsid w:val="087C5245"/>
    <w:rsid w:val="08D19949"/>
    <w:rsid w:val="0A691290"/>
    <w:rsid w:val="0A8E6DFA"/>
    <w:rsid w:val="0ABC4DFB"/>
    <w:rsid w:val="0ADD8936"/>
    <w:rsid w:val="0AE25B11"/>
    <w:rsid w:val="0B99AB12"/>
    <w:rsid w:val="0C1A63C2"/>
    <w:rsid w:val="0D097E21"/>
    <w:rsid w:val="0D7527C8"/>
    <w:rsid w:val="0E1421B1"/>
    <w:rsid w:val="0E3B3111"/>
    <w:rsid w:val="0F30C380"/>
    <w:rsid w:val="0F50BC7C"/>
    <w:rsid w:val="0F62C19C"/>
    <w:rsid w:val="0F84696C"/>
    <w:rsid w:val="0F9A0CFF"/>
    <w:rsid w:val="0FA455F3"/>
    <w:rsid w:val="0FE668BB"/>
    <w:rsid w:val="11662E4E"/>
    <w:rsid w:val="1184944D"/>
    <w:rsid w:val="11893323"/>
    <w:rsid w:val="11E6B68F"/>
    <w:rsid w:val="11F50173"/>
    <w:rsid w:val="1304E120"/>
    <w:rsid w:val="13C002D5"/>
    <w:rsid w:val="13C4C52A"/>
    <w:rsid w:val="1410CA7F"/>
    <w:rsid w:val="1479651A"/>
    <w:rsid w:val="14D6B8AA"/>
    <w:rsid w:val="153DCBCA"/>
    <w:rsid w:val="157A8ADA"/>
    <w:rsid w:val="15ABDE9F"/>
    <w:rsid w:val="17AC3257"/>
    <w:rsid w:val="17FFBDB4"/>
    <w:rsid w:val="18A5F5DC"/>
    <w:rsid w:val="193972B6"/>
    <w:rsid w:val="196BDD92"/>
    <w:rsid w:val="1AF7C2A5"/>
    <w:rsid w:val="1BE64092"/>
    <w:rsid w:val="1C557E1F"/>
    <w:rsid w:val="1C9D58EC"/>
    <w:rsid w:val="1CE3E29F"/>
    <w:rsid w:val="1D300C07"/>
    <w:rsid w:val="1D6594FD"/>
    <w:rsid w:val="1D8265C9"/>
    <w:rsid w:val="1D85DE87"/>
    <w:rsid w:val="1E7720FF"/>
    <w:rsid w:val="1EA0CFDA"/>
    <w:rsid w:val="1F40E170"/>
    <w:rsid w:val="1F4C85CD"/>
    <w:rsid w:val="1F819E39"/>
    <w:rsid w:val="1F82FB53"/>
    <w:rsid w:val="1FAA6F07"/>
    <w:rsid w:val="1FEDE3F1"/>
    <w:rsid w:val="1FFE3DD3"/>
    <w:rsid w:val="2009D430"/>
    <w:rsid w:val="204AC18A"/>
    <w:rsid w:val="211D6E9A"/>
    <w:rsid w:val="21417640"/>
    <w:rsid w:val="214DE7D0"/>
    <w:rsid w:val="22C2FE35"/>
    <w:rsid w:val="236939EF"/>
    <w:rsid w:val="23E8FC2D"/>
    <w:rsid w:val="24974B0C"/>
    <w:rsid w:val="2535CE4A"/>
    <w:rsid w:val="257D351A"/>
    <w:rsid w:val="25E0A215"/>
    <w:rsid w:val="261723E8"/>
    <w:rsid w:val="26569B1D"/>
    <w:rsid w:val="26ECBAF7"/>
    <w:rsid w:val="2757CF03"/>
    <w:rsid w:val="2757FABC"/>
    <w:rsid w:val="277F0E61"/>
    <w:rsid w:val="27E51FAC"/>
    <w:rsid w:val="28CF3790"/>
    <w:rsid w:val="29A898CF"/>
    <w:rsid w:val="29B8A8F6"/>
    <w:rsid w:val="29F58C32"/>
    <w:rsid w:val="2B446930"/>
    <w:rsid w:val="2D625EBB"/>
    <w:rsid w:val="2DD39342"/>
    <w:rsid w:val="2E0074F8"/>
    <w:rsid w:val="2E9BB13E"/>
    <w:rsid w:val="2ECFE832"/>
    <w:rsid w:val="2F5427E3"/>
    <w:rsid w:val="2F7E26C6"/>
    <w:rsid w:val="2FAF3E27"/>
    <w:rsid w:val="2FF41FCE"/>
    <w:rsid w:val="300258E8"/>
    <w:rsid w:val="3017DA53"/>
    <w:rsid w:val="30C14FDF"/>
    <w:rsid w:val="3192D10B"/>
    <w:rsid w:val="31B42647"/>
    <w:rsid w:val="320ABE27"/>
    <w:rsid w:val="32891B46"/>
    <w:rsid w:val="32B88E85"/>
    <w:rsid w:val="32D7504B"/>
    <w:rsid w:val="334A0E0A"/>
    <w:rsid w:val="33B04F4B"/>
    <w:rsid w:val="34EB4B76"/>
    <w:rsid w:val="3555CB60"/>
    <w:rsid w:val="362FF260"/>
    <w:rsid w:val="37105C64"/>
    <w:rsid w:val="37AAC16E"/>
    <w:rsid w:val="381D7F2D"/>
    <w:rsid w:val="38224CDE"/>
    <w:rsid w:val="38DF346D"/>
    <w:rsid w:val="3AE78C00"/>
    <w:rsid w:val="3C235715"/>
    <w:rsid w:val="3C7CCCCB"/>
    <w:rsid w:val="3D4AE653"/>
    <w:rsid w:val="3E6C2267"/>
    <w:rsid w:val="3E6E3418"/>
    <w:rsid w:val="41344B90"/>
    <w:rsid w:val="416211ED"/>
    <w:rsid w:val="41D1BC04"/>
    <w:rsid w:val="4292A978"/>
    <w:rsid w:val="42C490E3"/>
    <w:rsid w:val="42E06FA9"/>
    <w:rsid w:val="436D8C65"/>
    <w:rsid w:val="43BF1931"/>
    <w:rsid w:val="43F9BA51"/>
    <w:rsid w:val="45049459"/>
    <w:rsid w:val="45667E6E"/>
    <w:rsid w:val="459E52A8"/>
    <w:rsid w:val="45B4541F"/>
    <w:rsid w:val="4620C78F"/>
    <w:rsid w:val="4632B3EA"/>
    <w:rsid w:val="467F71EB"/>
    <w:rsid w:val="468E2F7C"/>
    <w:rsid w:val="46A52D27"/>
    <w:rsid w:val="46B55BA9"/>
    <w:rsid w:val="470430CD"/>
    <w:rsid w:val="48055C6A"/>
    <w:rsid w:val="48260BBB"/>
    <w:rsid w:val="4892AD13"/>
    <w:rsid w:val="48B117E9"/>
    <w:rsid w:val="48B680CC"/>
    <w:rsid w:val="490767EF"/>
    <w:rsid w:val="49D760DE"/>
    <w:rsid w:val="4A2D40E2"/>
    <w:rsid w:val="4A73DF7B"/>
    <w:rsid w:val="4B004263"/>
    <w:rsid w:val="4BEAE52E"/>
    <w:rsid w:val="4C831B84"/>
    <w:rsid w:val="4CFC165E"/>
    <w:rsid w:val="4CFF8588"/>
    <w:rsid w:val="4D757E90"/>
    <w:rsid w:val="4D7D683A"/>
    <w:rsid w:val="4E1EEBE5"/>
    <w:rsid w:val="4E37D5A2"/>
    <w:rsid w:val="4F06522B"/>
    <w:rsid w:val="5023F59C"/>
    <w:rsid w:val="503556C3"/>
    <w:rsid w:val="5039F599"/>
    <w:rsid w:val="5080E030"/>
    <w:rsid w:val="510857A2"/>
    <w:rsid w:val="519ED1A5"/>
    <w:rsid w:val="51BA451F"/>
    <w:rsid w:val="528E3ED4"/>
    <w:rsid w:val="531DB6C9"/>
    <w:rsid w:val="534D232A"/>
    <w:rsid w:val="538234C5"/>
    <w:rsid w:val="53DC14F4"/>
    <w:rsid w:val="53E0B5EA"/>
    <w:rsid w:val="54BC71CC"/>
    <w:rsid w:val="55681416"/>
    <w:rsid w:val="57B8EDA8"/>
    <w:rsid w:val="5869864C"/>
    <w:rsid w:val="588C0880"/>
    <w:rsid w:val="590D3733"/>
    <w:rsid w:val="595736E5"/>
    <w:rsid w:val="5A1A0155"/>
    <w:rsid w:val="5A503884"/>
    <w:rsid w:val="5A6CEFB3"/>
    <w:rsid w:val="5A844CD2"/>
    <w:rsid w:val="5B43E540"/>
    <w:rsid w:val="5B7599B7"/>
    <w:rsid w:val="5C74AED3"/>
    <w:rsid w:val="5C8F896D"/>
    <w:rsid w:val="5CA24DE0"/>
    <w:rsid w:val="5DF16AFE"/>
    <w:rsid w:val="5E12F922"/>
    <w:rsid w:val="5E7B57EC"/>
    <w:rsid w:val="5ED85F16"/>
    <w:rsid w:val="5EF43ED2"/>
    <w:rsid w:val="5F23DBB4"/>
    <w:rsid w:val="605D45A1"/>
    <w:rsid w:val="605F258B"/>
    <w:rsid w:val="60A2E74A"/>
    <w:rsid w:val="60FDE7BB"/>
    <w:rsid w:val="62A910F6"/>
    <w:rsid w:val="634CAC52"/>
    <w:rsid w:val="63E31B68"/>
    <w:rsid w:val="63FAEF59"/>
    <w:rsid w:val="64580162"/>
    <w:rsid w:val="64D519C4"/>
    <w:rsid w:val="6530B6C4"/>
    <w:rsid w:val="668A04DD"/>
    <w:rsid w:val="66A0597D"/>
    <w:rsid w:val="66EF7868"/>
    <w:rsid w:val="6798A7E0"/>
    <w:rsid w:val="67BC7593"/>
    <w:rsid w:val="684F2F29"/>
    <w:rsid w:val="68685786"/>
    <w:rsid w:val="69076E25"/>
    <w:rsid w:val="694273F8"/>
    <w:rsid w:val="694C49CE"/>
    <w:rsid w:val="69CE0321"/>
    <w:rsid w:val="69DADBB3"/>
    <w:rsid w:val="69F9DE0A"/>
    <w:rsid w:val="6AE3B013"/>
    <w:rsid w:val="6B177AA6"/>
    <w:rsid w:val="6B8E7939"/>
    <w:rsid w:val="6C5609F9"/>
    <w:rsid w:val="6CC9BCD8"/>
    <w:rsid w:val="6CFFA6B5"/>
    <w:rsid w:val="6E81BF1D"/>
    <w:rsid w:val="6EBE70AD"/>
    <w:rsid w:val="6F1A509C"/>
    <w:rsid w:val="718D11A1"/>
    <w:rsid w:val="725D067B"/>
    <w:rsid w:val="7384B789"/>
    <w:rsid w:val="740CC0CE"/>
    <w:rsid w:val="750DF733"/>
    <w:rsid w:val="75447717"/>
    <w:rsid w:val="75755B71"/>
    <w:rsid w:val="75A11F99"/>
    <w:rsid w:val="761527E3"/>
    <w:rsid w:val="76827537"/>
    <w:rsid w:val="77BD4585"/>
    <w:rsid w:val="780ED489"/>
    <w:rsid w:val="78EA7AB4"/>
    <w:rsid w:val="78FE0620"/>
    <w:rsid w:val="79D1170E"/>
    <w:rsid w:val="7A47563F"/>
    <w:rsid w:val="7A6EC9F3"/>
    <w:rsid w:val="7A8ACEDB"/>
    <w:rsid w:val="7B9C4976"/>
    <w:rsid w:val="7B9F617E"/>
    <w:rsid w:val="7BE9416F"/>
    <w:rsid w:val="7C297BB8"/>
    <w:rsid w:val="7C864A0F"/>
    <w:rsid w:val="7CE98FDB"/>
    <w:rsid w:val="7D4DAAEF"/>
    <w:rsid w:val="7E30684A"/>
    <w:rsid w:val="7E7B1D6B"/>
    <w:rsid w:val="7E9EF865"/>
    <w:rsid w:val="7F92479E"/>
    <w:rsid w:val="7FEC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858F2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7388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Professional"/>
    <w:uiPriority w:val="59"/>
    <w:rsid w:val="00087388"/>
    <w:rPr>
      <w:rFonts w:eastAsiaTheme="minorEastAsia"/>
      <w:sz w:val="20"/>
      <w:szCs w:val="20"/>
      <w:lang w:val="mt-MT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paragraph" w:styleId="FootnoteText">
    <w:name w:val="footnote text"/>
    <w:basedOn w:val="Normal"/>
    <w:link w:val="FootnoteTextChar"/>
    <w:autoRedefine/>
    <w:qFormat/>
    <w:rsid w:val="00087388"/>
    <w:pPr>
      <w:spacing w:before="80" w:line="200" w:lineRule="exact"/>
      <w:ind w:left="567" w:hanging="567"/>
      <w:jc w:val="both"/>
    </w:pPr>
    <w:rPr>
      <w:sz w:val="18"/>
      <w:szCs w:val="18"/>
      <w:lang w:val="mt-MT"/>
    </w:rPr>
  </w:style>
  <w:style w:type="character" w:customStyle="1" w:styleId="FootnoteTextChar">
    <w:name w:val="Footnote Text Char"/>
    <w:basedOn w:val="DefaultParagraphFont"/>
    <w:link w:val="FootnoteText"/>
    <w:rsid w:val="00087388"/>
    <w:rPr>
      <w:rFonts w:eastAsiaTheme="minorEastAsia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087388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087388"/>
    <w:rPr>
      <w:color w:val="0563C1" w:themeColor="hyperlink"/>
      <w:u w:val="single"/>
    </w:rPr>
  </w:style>
  <w:style w:type="paragraph" w:customStyle="1" w:styleId="Default">
    <w:name w:val="Default"/>
    <w:rsid w:val="0008738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nnexetitre">
    <w:name w:val="Annexe titre"/>
    <w:basedOn w:val="Normal"/>
    <w:next w:val="Normal"/>
    <w:rsid w:val="00087388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087388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087388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087388"/>
    <w:pPr>
      <w:ind w:left="720"/>
    </w:pPr>
    <w:rPr>
      <w:rFonts w:ascii="Calibri" w:eastAsia="Calibri" w:hAnsi="Calibri" w:cs="Times New Roman"/>
      <w:szCs w:val="22"/>
    </w:rPr>
  </w:style>
  <w:style w:type="character" w:customStyle="1" w:styleId="InstructionsTabelleText">
    <w:name w:val="Instructions Tabelle Text"/>
    <w:rsid w:val="00087388"/>
    <w:rPr>
      <w:rFonts w:ascii="Verdana" w:hAnsi="Verdana" w:cs="Times New Roman"/>
      <w:sz w:val="20"/>
    </w:rPr>
  </w:style>
  <w:style w:type="table" w:styleId="TableProfessional">
    <w:name w:val="Table Professional"/>
    <w:basedOn w:val="TableNormal"/>
    <w:uiPriority w:val="99"/>
    <w:semiHidden/>
    <w:unhideWhenUsed/>
    <w:rsid w:val="00087388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link w:val="HeaderChar"/>
    <w:uiPriority w:val="99"/>
    <w:unhideWhenUsed/>
    <w:rsid w:val="000873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388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08738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388"/>
    <w:rPr>
      <w:rFonts w:eastAsiaTheme="minorEastAsi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4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490"/>
    <w:rPr>
      <w:rFonts w:ascii="Segoe UI" w:eastAsiaTheme="minorEastAsia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04B66"/>
    <w:pPr>
      <w:spacing w:after="0" w:line="240" w:lineRule="auto"/>
    </w:pPr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A32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32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32E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2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2EC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7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?uri=OJ:L_202401623" TargetMode="External"/><Relationship Id="rId1" Type="http://schemas.openxmlformats.org/officeDocument/2006/relationships/hyperlink" Target="https://eur-lex.europa.eu/legal-content/M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B095B-32C4-4F4D-8FDF-073014710A42}"/>
</file>

<file path=customXml/itemProps2.xml><?xml version="1.0" encoding="utf-8"?>
<ds:datastoreItem xmlns:ds="http://schemas.openxmlformats.org/officeDocument/2006/customXml" ds:itemID="{CDE6CE82-8FB0-4CD1-856B-A94818FD9B7C}"/>
</file>

<file path=customXml/itemProps3.xml><?xml version="1.0" encoding="utf-8"?>
<ds:datastoreItem xmlns:ds="http://schemas.openxmlformats.org/officeDocument/2006/customXml" ds:itemID="{761EE4B4-5198-4EA0-A5CE-927BF14CB765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6874</Words>
  <Characters>36709</Characters>
  <Application>Microsoft Office Word</Application>
  <DocSecurity>0</DocSecurity>
  <Lines>874</Lines>
  <Paragraphs>403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2024-06-06T15:28:00Z</dcterms:created>
  <dcterms:modified xsi:type="dcterms:W3CDTF">2024-09-26T14:28:00Z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2024-09-26T14:28:30Z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2c9b9833-01c6-4425-8ef5-d73c6efc2636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