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Metadata/LabelInfo.xml" ContentType="application/vnd.ms-office.classificationlabel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C7FB24" w14:textId="0CE5A89A" w:rsidR="0074740A" w:rsidRPr="00232C88" w:rsidRDefault="00C31378" w:rsidP="001F0077">
      <w:pPr>
        <w:pStyle w:val="Annexetitre"/>
        <w:ind w:left="2880" w:firstLine="720"/>
        <w:jc w:val="left"/>
      </w:pPr>
      <w:bookmarkStart w:id="0" w:name="_Toc298787969"/>
      <w:bookmarkStart w:id="1" w:name="_Toc298788158"/>
      <w:bookmarkStart w:id="2" w:name="_Toc298788641"/>
      <w:bookmarkStart w:id="3" w:name="_Toc305686691"/>
      <w:bookmarkStart w:id="4" w:name="_Toc306350093"/>
      <w:bookmarkStart w:id="5" w:name="_Toc306350113"/>
      <w:bookmarkStart w:id="6" w:name="_Toc331517265"/>
      <w:bookmarkStart w:id="7" w:name="_Toc245891774"/>
      <w:bookmarkStart w:id="8" w:name="_Toc238803087"/>
      <w:bookmarkStart w:id="9" w:name="_Toc238803888"/>
      <w:r>
        <w:t xml:space="preserve">BILAGA II</w:t>
      </w:r>
    </w:p>
    <w:p w14:paraId="2C20FD69" w14:textId="77777777" w:rsidR="00B13F6E" w:rsidRPr="00232C88" w:rsidRDefault="00B13F6E" w:rsidP="00B13F6E">
      <w:pPr>
        <w:rPr>
          <w:rFonts w:ascii="Times New Roman" w:hAnsi="Times New Roman" w:cs="Times New Roman"/>
        </w:rPr>
      </w:pPr>
    </w:p>
    <w:p w14:paraId="03FA508D" w14:textId="43AA388F" w:rsidR="00C31378" w:rsidRPr="00232C88" w:rsidRDefault="00C31378" w:rsidP="004077B1">
      <w:pPr>
        <w:pStyle w:val="Annexetitre"/>
        <w:ind w:firstLine="720"/>
      </w:pPr>
      <w:r>
        <w:t xml:space="preserve">Instruktioner för översiktliga mallar för offentliggörande</w:t>
      </w:r>
    </w:p>
    <w:p w14:paraId="161E3440" w14:textId="7BE8C9A0" w:rsidR="00662487" w:rsidRPr="00232C88" w:rsidRDefault="007F5865" w:rsidP="00662487">
      <w:pPr>
        <w:pStyle w:val="Titlelevel2"/>
        <w:spacing w:before="120" w:after="120"/>
        <w:rPr>
          <w:color w:val="auto"/>
          <w:sz w:val="24"/>
          <w:rFonts w:ascii="Times New Roman" w:hAnsi="Times New Roman" w:cs="Times New Roman"/>
        </w:rPr>
      </w:pPr>
      <w:r>
        <w:rPr>
          <w:color w:val="auto"/>
          <w:sz w:val="24"/>
          <w:b/>
          <w:rFonts w:ascii="Times New Roman" w:hAnsi="Times New Roman"/>
        </w:rPr>
        <w:t xml:space="preserve">Mall EU OV1 – Översikt över totala riskvägda exponeringsbelopp.</w:t>
      </w:r>
      <w:r>
        <w:rPr>
          <w:color w:val="auto"/>
          <w:sz w:val="24"/>
          <w:b/>
          <w:rFonts w:ascii="Times New Roman" w:hAnsi="Times New Roman"/>
        </w:rPr>
        <w:t xml:space="preserve"> </w:t>
      </w:r>
      <w:r>
        <w:rPr>
          <w:color w:val="auto"/>
          <w:sz w:val="24"/>
          <w:rFonts w:ascii="Times New Roman" w:hAnsi="Times New Roman"/>
        </w:rPr>
        <w:t xml:space="preserve">Fast format.</w:t>
      </w:r>
    </w:p>
    <w:p w14:paraId="1FC729B5" w14:textId="1B5E08A3" w:rsidR="007E14C6" w:rsidRPr="00232C88" w:rsidRDefault="00501BEB" w:rsidP="00F96224">
      <w:pPr>
        <w:pStyle w:val="Titlelevel2"/>
        <w:numPr>
          <w:ilvl w:val="0"/>
          <w:numId w:val="14"/>
        </w:numPr>
        <w:spacing w:before="120" w:after="120"/>
        <w:ind w:left="426"/>
        <w:jc w:val="both"/>
        <w:rPr>
          <w:bCs w:val="0"/>
          <w:color w:val="auto"/>
          <w:sz w:val="24"/>
          <w:rFonts w:ascii="Times New Roman" w:eastAsiaTheme="minorEastAsia" w:hAnsi="Times New Roman" w:cs="Times New Roman"/>
        </w:rPr>
      </w:pPr>
      <w:r>
        <w:rPr>
          <w:color w:val="auto"/>
          <w:sz w:val="24"/>
          <w:rFonts w:ascii="Times New Roman" w:hAnsi="Times New Roman"/>
        </w:rPr>
        <w:t xml:space="preserve">Instituten ska följa de instruktioner som anges nedan för att fylla i mall EU OV1, vilken återfinns i bilaga I till EBA:s it-lösningar, vid tillämpning av artikel 438 d i förordning (EU) nr 575/2013</w:t>
      </w:r>
      <w:r w:rsidR="006C0184" w:rsidRPr="00232C88">
        <w:rPr>
          <w:rStyle w:val="FootnoteReference"/>
          <w:rFonts w:ascii="Times New Roman" w:eastAsiaTheme="minorEastAsia" w:hAnsi="Times New Roman" w:cs="Times New Roman"/>
          <w:bCs w:val="0"/>
          <w:color w:val="auto"/>
          <w:lang w:val="en-GB"/>
        </w:rPr>
        <w:footnoteReference w:id="2"/>
      </w:r>
      <w:r>
        <w:rPr>
          <w:color w:val="auto"/>
          <w:sz w:val="24"/>
          <w:rFonts w:ascii="Times New Roman" w:hAnsi="Times New Roman"/>
        </w:rPr>
        <w:t xml:space="preserve"> (</w:t>
      </w:r>
      <w:r>
        <w:rPr>
          <w:color w:val="auto"/>
          <w:sz w:val="24"/>
          <w:i/>
          <w:iCs/>
          <w:rFonts w:ascii="Times New Roman" w:hAnsi="Times New Roman"/>
        </w:rPr>
        <w:t xml:space="preserve">kapitalkravsförordningen</w:t>
      </w:r>
      <w:r>
        <w:rPr>
          <w:color w:val="auto"/>
          <w:sz w:val="24"/>
          <w:rFonts w:ascii="Times New Roman" w:hAnsi="Times New Roman"/>
        </w:rPr>
        <w:t xml:space="preserve">).</w:t>
      </w:r>
    </w:p>
    <w:p w14:paraId="790FD83C" w14:textId="45C15C09" w:rsidR="00C31378" w:rsidRPr="00232C88" w:rsidRDefault="00720050" w:rsidP="00AD7048">
      <w:pPr>
        <w:pStyle w:val="Titlelevel2"/>
        <w:numPr>
          <w:ilvl w:val="0"/>
          <w:numId w:val="14"/>
        </w:numPr>
        <w:spacing w:before="120" w:after="120"/>
        <w:ind w:left="426"/>
        <w:jc w:val="both"/>
        <w:rPr>
          <w:color w:val="auto"/>
          <w:sz w:val="24"/>
          <w:rFonts w:ascii="Times New Roman" w:hAnsi="Times New Roman" w:cs="Times New Roman"/>
        </w:rPr>
      </w:pPr>
      <w:r>
        <w:rPr>
          <w:color w:val="auto"/>
          <w:sz w:val="24"/>
          <w:rFonts w:ascii="Times New Roman" w:hAnsi="Times New Roman"/>
        </w:rPr>
        <w:t xml:space="preserve">I den beskrivning som medföljer mallen ska instituten, i relevanta fall, förklara effekten på beräkningen av kapitalbas och riskvägt exponeringsbelopp som följer av att kapitalgolv tillämpas och att poster inte dras av från kapitalbasen.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1384"/>
        <w:gridCol w:w="7655"/>
      </w:tblGrid>
      <w:tr w:rsidR="00232C88" w:rsidRPr="00232C88" w14:paraId="1DE5ECE7" w14:textId="77777777" w:rsidTr="4D769726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FE777A5" w14:textId="77777777" w:rsidR="007F5865" w:rsidRPr="00232C88" w:rsidRDefault="007F5865" w:rsidP="00F3523C">
            <w:pPr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Rättsliga hänvisningar och instruktioner</w:t>
            </w:r>
          </w:p>
        </w:tc>
      </w:tr>
      <w:tr w:rsidR="00232C88" w:rsidRPr="00232C88" w14:paraId="602AE0E8" w14:textId="77777777" w:rsidTr="4D769726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18BE2C6B" w14:textId="77777777" w:rsidR="007F5865" w:rsidRPr="00232C88" w:rsidRDefault="007F5865" w:rsidP="00F3523C">
            <w:pPr>
              <w:autoSpaceDE w:val="0"/>
              <w:autoSpaceDN w:val="0"/>
              <w:adjustRightInd w:val="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Kolumn nr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52BAB7D2" w14:textId="77777777" w:rsidR="007F5865" w:rsidRPr="00232C88" w:rsidRDefault="007F5865" w:rsidP="00F3523C">
            <w:pPr>
              <w:autoSpaceDE w:val="0"/>
              <w:autoSpaceDN w:val="0"/>
              <w:adjustRightInd w:val="0"/>
              <w:rPr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Förklaring</w:t>
            </w:r>
          </w:p>
        </w:tc>
      </w:tr>
      <w:tr w:rsidR="00232C88" w:rsidRPr="00232C88" w14:paraId="7E4C270D" w14:textId="77777777" w:rsidTr="4D769726">
        <w:trPr>
          <w:trHeight w:val="680"/>
        </w:trPr>
        <w:tc>
          <w:tcPr>
            <w:tcW w:w="1384" w:type="dxa"/>
          </w:tcPr>
          <w:p w14:paraId="68031A84" w14:textId="77777777" w:rsidR="007F5865" w:rsidRPr="00232C88" w:rsidRDefault="007F5865" w:rsidP="007F5865">
            <w:pPr>
              <w:pStyle w:val="Applicationdirecte"/>
              <w:spacing w:before="60"/>
              <w:jc w:val="center"/>
            </w:pPr>
            <w:r>
              <w:t xml:space="preserve">a</w:t>
            </w:r>
          </w:p>
        </w:tc>
        <w:tc>
          <w:tcPr>
            <w:tcW w:w="7655" w:type="dxa"/>
            <w:vAlign w:val="center"/>
          </w:tcPr>
          <w:p w14:paraId="5A1D2BEB" w14:textId="501B155B" w:rsidR="00677CC7" w:rsidRPr="00232C88" w:rsidRDefault="00476E72" w:rsidP="00785478">
            <w:pPr>
              <w:spacing w:before="60"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Totalt riskvägt exponeringsbelopp (TREA)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</w:p>
          <w:p w14:paraId="2C2ABAC7" w14:textId="79B1D280" w:rsidR="007F5865" w:rsidRPr="00232C88" w:rsidRDefault="00476E72" w:rsidP="00476E72">
            <w:pPr>
              <w:spacing w:before="6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Totalt riskvägt exponeringsbelopp beräknat i enlighet med artikel 92.4 i förordning (EU) nr 575/2013 för raderna 1–28, artikel 92.3 i den förordningen för rad 29 samt artiklarna 95, 96 och 98 i förordning (EU) nr 575/2013.</w:t>
            </w:r>
          </w:p>
        </w:tc>
      </w:tr>
      <w:tr w:rsidR="00232C88" w:rsidRPr="00232C88" w14:paraId="51DC6C96" w14:textId="77777777" w:rsidTr="4D769726">
        <w:trPr>
          <w:trHeight w:val="323"/>
        </w:trPr>
        <w:tc>
          <w:tcPr>
            <w:tcW w:w="1384" w:type="dxa"/>
          </w:tcPr>
          <w:p w14:paraId="4A8317DB" w14:textId="77777777" w:rsidR="00720050" w:rsidRPr="00232C88" w:rsidRDefault="00720050" w:rsidP="00B2180A">
            <w:pPr>
              <w:pStyle w:val="Applicationdirecte"/>
              <w:spacing w:before="60"/>
              <w:jc w:val="center"/>
            </w:pPr>
            <w:r>
              <w:t xml:space="preserve">b</w:t>
            </w:r>
          </w:p>
        </w:tc>
        <w:tc>
          <w:tcPr>
            <w:tcW w:w="7655" w:type="dxa"/>
          </w:tcPr>
          <w:p w14:paraId="22370966" w14:textId="4C946B1E" w:rsidR="00677CC7" w:rsidRPr="00232C88" w:rsidRDefault="00476E72" w:rsidP="00B2180A">
            <w:pPr>
              <w:spacing w:before="60"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Totalt riskvägt exponeringsbelopp (T-1)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</w:p>
          <w:p w14:paraId="3470438E" w14:textId="65A77898" w:rsidR="00720050" w:rsidRPr="00232C88" w:rsidRDefault="00476E72" w:rsidP="00B74E92">
            <w:pPr>
              <w:spacing w:before="60"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Totalt riskvägt exponeringsbelopp såsom det offentliggjorts för den föregående offentliggörandeperioden.</w:t>
            </w:r>
          </w:p>
        </w:tc>
      </w:tr>
      <w:tr w:rsidR="00232C88" w:rsidRPr="00232C88" w14:paraId="0EA18E63" w14:textId="77777777" w:rsidTr="4D769726">
        <w:trPr>
          <w:trHeight w:val="323"/>
        </w:trPr>
        <w:tc>
          <w:tcPr>
            <w:tcW w:w="1384" w:type="dxa"/>
          </w:tcPr>
          <w:p w14:paraId="103E93B5" w14:textId="77777777" w:rsidR="007F5865" w:rsidRPr="00232C88" w:rsidRDefault="00720050" w:rsidP="00720050">
            <w:pPr>
              <w:pStyle w:val="Applicationdirecte"/>
              <w:spacing w:before="60"/>
              <w:jc w:val="center"/>
            </w:pPr>
            <w:r>
              <w:t xml:space="preserve">c</w:t>
            </w:r>
          </w:p>
        </w:tc>
        <w:tc>
          <w:tcPr>
            <w:tcW w:w="7655" w:type="dxa"/>
          </w:tcPr>
          <w:p w14:paraId="4BB538BB" w14:textId="77777777" w:rsidR="007F5865" w:rsidRPr="00232C88" w:rsidRDefault="00720050" w:rsidP="004606A7">
            <w:pPr>
              <w:spacing w:before="60"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Totala kapitalbaskrav</w:t>
            </w:r>
          </w:p>
          <w:p w14:paraId="024E3DB2" w14:textId="6D4564E6" w:rsidR="00720050" w:rsidRPr="00232C88" w:rsidRDefault="00720050" w:rsidP="004606A7">
            <w:pPr>
              <w:spacing w:before="60"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Kapitalbaskrav motsvarande det totala riskvägda exponeringsbeloppet för de olika riskkategorierna</w:t>
            </w:r>
          </w:p>
        </w:tc>
      </w:tr>
      <w:tr w:rsidR="00232C88" w:rsidRPr="00232C88" w14:paraId="4205D97D" w14:textId="77777777" w:rsidTr="4D769726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E032B3" w14:textId="77777777" w:rsidR="001A0C8D" w:rsidRPr="00232C88" w:rsidRDefault="001A0C8D" w:rsidP="00810F8E">
            <w:pPr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Rättsliga hänvisningar och instruktioner</w:t>
            </w:r>
          </w:p>
        </w:tc>
      </w:tr>
      <w:tr w:rsidR="00232C88" w:rsidRPr="00232C88" w14:paraId="2490D509" w14:textId="77777777" w:rsidTr="4D769726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75756FCA" w14:textId="77777777" w:rsidR="001A0C8D" w:rsidRPr="00232C88" w:rsidRDefault="001A0C8D" w:rsidP="00810F8E">
            <w:pPr>
              <w:autoSpaceDE w:val="0"/>
              <w:autoSpaceDN w:val="0"/>
              <w:adjustRightInd w:val="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Rad nr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354EA15A" w14:textId="77777777" w:rsidR="001A0C8D" w:rsidRPr="00232C88" w:rsidRDefault="001A0C8D" w:rsidP="00810F8E">
            <w:pPr>
              <w:autoSpaceDE w:val="0"/>
              <w:autoSpaceDN w:val="0"/>
              <w:adjustRightInd w:val="0"/>
              <w:rPr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Förklaring</w:t>
            </w:r>
          </w:p>
        </w:tc>
      </w:tr>
      <w:tr w:rsidR="00232C88" w:rsidRPr="00232C88" w14:paraId="51DDF3ED" w14:textId="77777777" w:rsidTr="4D769726">
        <w:trPr>
          <w:trHeight w:val="680"/>
        </w:trPr>
        <w:tc>
          <w:tcPr>
            <w:tcW w:w="1384" w:type="dxa"/>
          </w:tcPr>
          <w:p w14:paraId="63497DDA" w14:textId="77777777" w:rsidR="001A0C8D" w:rsidRPr="00232C88" w:rsidRDefault="001A0C8D" w:rsidP="00260404">
            <w:pPr>
              <w:pStyle w:val="Applicationdirecte"/>
              <w:spacing w:before="60"/>
              <w:jc w:val="center"/>
            </w:pPr>
            <w:r>
              <w:t xml:space="preserve">1</w:t>
            </w:r>
          </w:p>
        </w:tc>
        <w:tc>
          <w:tcPr>
            <w:tcW w:w="7655" w:type="dxa"/>
            <w:vAlign w:val="center"/>
          </w:tcPr>
          <w:p w14:paraId="156E0E42" w14:textId="77777777" w:rsidR="004606A7" w:rsidRPr="00232C88" w:rsidRDefault="004606A7" w:rsidP="00260404">
            <w:pPr>
              <w:spacing w:before="60"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Kreditrisk (exklusive motpartskreditrisk)</w:t>
            </w:r>
          </w:p>
          <w:p w14:paraId="3A25A955" w14:textId="4673C726" w:rsidR="001A0C8D" w:rsidRPr="00232C88" w:rsidRDefault="000A4A93" w:rsidP="00A25707">
            <w:pPr>
              <w:spacing w:before="6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Riskvägda exponeringsbelopp och kapitalbaskrav beräknade i enlighet med del tre avdelning II kapitlen 1–4 i förordning (EU) nr 575/2013 och med artikel 379 i den förordningen.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Riskvägda exponeringsbelopp för motpartsrisk (förordning (EU) nr 575/2013) och för värdepapperiseringsexponeringar utanför handelslagret undantas och offentliggörs på raderna 6 och 16 i denna mall.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Instituten ska, i det belopp som offentliggörs i denna rad, inkludera riskvägda exponeringsbelopp och kapitalbaskrav för risken för transaktioner utan samtidig prestation beräknade i enlighet med artikel 379 i förordning (EU) nr 575/2013.</w:t>
            </w:r>
          </w:p>
        </w:tc>
      </w:tr>
      <w:tr w:rsidR="00232C88" w:rsidRPr="00232C88" w14:paraId="287E598B" w14:textId="77777777" w:rsidTr="4D769726">
        <w:trPr>
          <w:trHeight w:val="680"/>
        </w:trPr>
        <w:tc>
          <w:tcPr>
            <w:tcW w:w="1384" w:type="dxa"/>
          </w:tcPr>
          <w:p w14:paraId="4AE3A0F7" w14:textId="77777777" w:rsidR="004A5BCD" w:rsidRPr="00232C88" w:rsidRDefault="004A5BCD" w:rsidP="00260404">
            <w:pPr>
              <w:pStyle w:val="Applicationdirecte"/>
              <w:spacing w:before="60"/>
              <w:jc w:val="center"/>
            </w:pPr>
            <w:r>
              <w:t xml:space="preserve">2</w:t>
            </w:r>
          </w:p>
        </w:tc>
        <w:tc>
          <w:tcPr>
            <w:tcW w:w="7655" w:type="dxa"/>
          </w:tcPr>
          <w:p w14:paraId="19A303B7" w14:textId="77777777" w:rsidR="008B269B" w:rsidRPr="00232C88" w:rsidRDefault="008B269B" w:rsidP="008B269B">
            <w:pPr>
              <w:spacing w:before="60"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Kreditrisk (exklusive motpartskreditrisk) – Varav schablonmetoden</w:t>
            </w:r>
          </w:p>
          <w:p w14:paraId="1DD2511C" w14:textId="7328A2B3" w:rsidR="004A5BCD" w:rsidRPr="00232C88" w:rsidRDefault="009A4635" w:rsidP="0097538A">
            <w:pPr>
              <w:spacing w:before="60"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Riskvägda exponeringsbelopp och kapitalbaskrav beräknade i enlighet med schablonmetoden för kreditrisk (del tre avdelning II kapitel 2 i förordning (EU) nr 575/2013 och artikel 379 i den förordningen).</w:t>
            </w:r>
          </w:p>
        </w:tc>
      </w:tr>
      <w:tr w:rsidR="00232C88" w:rsidRPr="00232C88" w14:paraId="1C43F82C" w14:textId="77777777" w:rsidTr="4D769726">
        <w:trPr>
          <w:trHeight w:val="436"/>
        </w:trPr>
        <w:tc>
          <w:tcPr>
            <w:tcW w:w="1384" w:type="dxa"/>
          </w:tcPr>
          <w:p w14:paraId="123DF015" w14:textId="77777777" w:rsidR="008B269B" w:rsidRPr="00232C88" w:rsidRDefault="008B269B" w:rsidP="008B269B">
            <w:pPr>
              <w:pStyle w:val="Applicationdirecte"/>
              <w:spacing w:before="60"/>
              <w:jc w:val="center"/>
            </w:pPr>
            <w:r>
              <w:t xml:space="preserve">3</w:t>
            </w:r>
          </w:p>
        </w:tc>
        <w:tc>
          <w:tcPr>
            <w:tcW w:w="7655" w:type="dxa"/>
          </w:tcPr>
          <w:p w14:paraId="6D300D26" w14:textId="2612B8E7" w:rsidR="008B269B" w:rsidRPr="00232C88" w:rsidRDefault="008B269B" w:rsidP="008B269B">
            <w:pPr>
              <w:spacing w:before="60"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Kreditrisk (exklusive motpartskreditrisk) – Varav den grundläggande internmetoden (F-IRB)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</w:p>
          <w:p w14:paraId="67755B7F" w14:textId="6B3A98C3" w:rsidR="008B269B" w:rsidRPr="00232C88" w:rsidRDefault="009A4635" w:rsidP="4D769726">
            <w:pPr>
              <w:spacing w:before="60"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Riskvägda exponeringsbelopp och kapitalbaskrav beräknade i enlighet med den grundläggande internmetoden för kreditrisk (del tre avdelning II kapitel 3 i förordning (EU) nr 575/2013), bortsett från de riskvägda exponeringsbelopp som offentliggörs i rad 4 för exponeringar som utgör specialutlåning som omfattas av klassificeringsmetoden och i rad EU 4a för aktier inom ramen för den förenklade riskviktmetoden, och inklusive de riskvägda exponeringsbelopp och kapitalbaskrav som beräknats i enlighet med artikel 379 i den förordningen.</w:t>
            </w:r>
          </w:p>
        </w:tc>
      </w:tr>
      <w:tr w:rsidR="00232C88" w:rsidRPr="00232C88" w14:paraId="12544419" w14:textId="77777777" w:rsidTr="4D769726">
        <w:trPr>
          <w:trHeight w:val="557"/>
        </w:trPr>
        <w:tc>
          <w:tcPr>
            <w:tcW w:w="1384" w:type="dxa"/>
            <w:vAlign w:val="center"/>
          </w:tcPr>
          <w:p w14:paraId="76946C13" w14:textId="77777777" w:rsidR="00FA1376" w:rsidRPr="00232C88" w:rsidRDefault="00460FF6" w:rsidP="00FA1376">
            <w:pPr>
              <w:pStyle w:val="Applicationdirecte"/>
              <w:spacing w:before="60"/>
              <w:jc w:val="center"/>
            </w:pPr>
            <w:r>
              <w:t xml:space="preserve">4</w:t>
            </w:r>
          </w:p>
        </w:tc>
        <w:tc>
          <w:tcPr>
            <w:tcW w:w="7655" w:type="dxa"/>
          </w:tcPr>
          <w:p w14:paraId="370308AB" w14:textId="0FFC281F" w:rsidR="00FA1376" w:rsidRPr="00232C88" w:rsidRDefault="00FA1376" w:rsidP="00FA1376">
            <w:pPr>
              <w:spacing w:before="60"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Kreditrisk (exklusive motpartskreditrisk) – Varav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klassificeringsmetoden</w:t>
            </w:r>
          </w:p>
          <w:p w14:paraId="0A705407" w14:textId="42036DAC" w:rsidR="00FA1376" w:rsidRPr="00232C88" w:rsidRDefault="009A4635" w:rsidP="0077689B">
            <w:pPr>
              <w:spacing w:before="6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Riskvägda exponeringsbelopp och kapitalbaskrav för exponeringar som utgör specialutlåning som omfattas av klassificeringsmetoden beräknade i enlighet med artikel 153.5 i förordning (EU) nr 575/2013.</w:t>
            </w:r>
          </w:p>
        </w:tc>
      </w:tr>
      <w:tr w:rsidR="00232C88" w:rsidRPr="00232C88" w14:paraId="003EB127" w14:textId="77777777" w:rsidTr="4D769726">
        <w:trPr>
          <w:trHeight w:val="557"/>
        </w:trPr>
        <w:tc>
          <w:tcPr>
            <w:tcW w:w="1384" w:type="dxa"/>
            <w:vAlign w:val="center"/>
          </w:tcPr>
          <w:p w14:paraId="45C5255C" w14:textId="77777777" w:rsidR="00FA1376" w:rsidRPr="00232C88" w:rsidRDefault="00FA1376" w:rsidP="00FA1376">
            <w:pPr>
              <w:pStyle w:val="Applicationdirecte"/>
              <w:spacing w:before="60"/>
              <w:jc w:val="center"/>
            </w:pPr>
            <w:r>
              <w:t xml:space="preserve">EU 4a</w:t>
            </w:r>
          </w:p>
        </w:tc>
        <w:tc>
          <w:tcPr>
            <w:tcW w:w="7655" w:type="dxa"/>
          </w:tcPr>
          <w:p w14:paraId="37370FB1" w14:textId="77777777" w:rsidR="00FA1376" w:rsidRPr="00232C88" w:rsidRDefault="00FA1376" w:rsidP="00FA1376">
            <w:pPr>
              <w:spacing w:before="60"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Kreditrisk (exklusive motpartskreditrisk) – Varav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aktier inom ramen för den förenklade riskviktmetoden</w:t>
            </w:r>
          </w:p>
          <w:p w14:paraId="5661C7E6" w14:textId="45F15349" w:rsidR="00FA1376" w:rsidRPr="00232C88" w:rsidRDefault="009A4635" w:rsidP="0077689B">
            <w:pPr>
              <w:spacing w:before="60"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Riskvägda exponeringsbelopp och kapitalbaskrav för exponeringar mot aktier om övergångsbestämmelserna i artikel 495.1 b i förordning (EU) nr 575/2013 är tillämpliga.</w:t>
            </w:r>
          </w:p>
        </w:tc>
      </w:tr>
      <w:tr w:rsidR="00232C88" w:rsidRPr="00232C88" w14:paraId="69AF17D3" w14:textId="77777777" w:rsidTr="4D769726">
        <w:trPr>
          <w:trHeight w:val="557"/>
        </w:trPr>
        <w:tc>
          <w:tcPr>
            <w:tcW w:w="1384" w:type="dxa"/>
            <w:vAlign w:val="center"/>
          </w:tcPr>
          <w:p w14:paraId="001EDC8B" w14:textId="77777777" w:rsidR="00460FF6" w:rsidRPr="00232C88" w:rsidRDefault="00460FF6" w:rsidP="00B2180A">
            <w:pPr>
              <w:pStyle w:val="Applicationdirecte"/>
              <w:spacing w:before="60"/>
              <w:jc w:val="center"/>
            </w:pPr>
            <w:r>
              <w:t xml:space="preserve">5</w:t>
            </w:r>
          </w:p>
        </w:tc>
        <w:tc>
          <w:tcPr>
            <w:tcW w:w="7655" w:type="dxa"/>
          </w:tcPr>
          <w:p w14:paraId="3AFF7CE4" w14:textId="27FE8FDF" w:rsidR="00460FF6" w:rsidRPr="00232C88" w:rsidRDefault="00460FF6" w:rsidP="00B2180A">
            <w:pPr>
              <w:spacing w:before="60"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Kreditrisk (exklusive motpartskreditrisk) – Varav den avancerade internmetoden (A-IRB)</w:t>
            </w:r>
          </w:p>
          <w:p w14:paraId="7667081C" w14:textId="5A6E8BF3" w:rsidR="00460FF6" w:rsidRPr="00232C88" w:rsidRDefault="00460FF6" w:rsidP="4D769726">
            <w:pPr>
              <w:spacing w:before="60"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Riskvägda exponeringsbelopp och kapitalbaskrav beräknade i enlighet med den avancerade internmetoden för kreditrisk (del tre avdelning II kapitel 3 i förordning (EU) nr 575/2013), bortsett från de riskvägda exponeringsbelopp som offentliggörs i rad 4 för exponeringar som utgör specialutlåning som omfattas av klassificeringsmetoden och i rad EU 4a för aktier inom ramen för den förenklade riskviktmetoden, och inklusive de riskvägda exponeringsbelopp och kapitalbaskrav som beräknats i enlighet med artikel 379 i den förordningen.</w:t>
            </w:r>
          </w:p>
        </w:tc>
      </w:tr>
      <w:tr w:rsidR="00232C88" w:rsidRPr="00232C88" w14:paraId="79D52CCD" w14:textId="77777777" w:rsidTr="4D769726">
        <w:trPr>
          <w:trHeight w:val="557"/>
        </w:trPr>
        <w:tc>
          <w:tcPr>
            <w:tcW w:w="1384" w:type="dxa"/>
            <w:vAlign w:val="center"/>
          </w:tcPr>
          <w:p w14:paraId="7D31EB04" w14:textId="77777777" w:rsidR="00FA1376" w:rsidRPr="00232C88" w:rsidRDefault="004D588F" w:rsidP="004D588F">
            <w:pPr>
              <w:pStyle w:val="Applicationdirecte"/>
              <w:spacing w:before="60"/>
              <w:jc w:val="center"/>
            </w:pPr>
            <w:r>
              <w:t xml:space="preserve">6</w:t>
            </w:r>
          </w:p>
        </w:tc>
        <w:tc>
          <w:tcPr>
            <w:tcW w:w="7655" w:type="dxa"/>
          </w:tcPr>
          <w:p w14:paraId="7F11F1D5" w14:textId="77777777" w:rsidR="00FA1376" w:rsidRPr="00232C88" w:rsidRDefault="00FA1376" w:rsidP="00FA1376">
            <w:pPr>
              <w:spacing w:before="60"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Motpartskreditrisk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</w:p>
          <w:p w14:paraId="6E778278" w14:textId="12E427A1" w:rsidR="00FA1376" w:rsidRPr="00232C88" w:rsidRDefault="009A4635" w:rsidP="4D769726">
            <w:pPr>
              <w:spacing w:before="60"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Riskvägda exponeringsbelopp och kapitalbaskrav beräknade i enlighet med del tre avdelning II kapitel 6 i förordning (EU) nr 575/2013 för motpartskreditrisk.</w:t>
            </w:r>
          </w:p>
        </w:tc>
      </w:tr>
      <w:tr w:rsidR="00232C88" w:rsidRPr="00232C88" w14:paraId="75B82B0F" w14:textId="77777777" w:rsidTr="4D769726">
        <w:trPr>
          <w:trHeight w:val="557"/>
        </w:trPr>
        <w:tc>
          <w:tcPr>
            <w:tcW w:w="1384" w:type="dxa"/>
            <w:vAlign w:val="center"/>
          </w:tcPr>
          <w:p w14:paraId="0224B461" w14:textId="77777777" w:rsidR="00FA1376" w:rsidRPr="00232C88" w:rsidRDefault="004D588F" w:rsidP="00FA1376">
            <w:pPr>
              <w:pStyle w:val="Applicationdirecte"/>
              <w:spacing w:before="60"/>
              <w:jc w:val="center"/>
            </w:pPr>
            <w:r>
              <w:t xml:space="preserve">7</w:t>
            </w:r>
          </w:p>
        </w:tc>
        <w:tc>
          <w:tcPr>
            <w:tcW w:w="7655" w:type="dxa"/>
          </w:tcPr>
          <w:p w14:paraId="5528A31C" w14:textId="62213072" w:rsidR="00FA1376" w:rsidRPr="00232C88" w:rsidRDefault="00FA1376" w:rsidP="00FA1376">
            <w:pPr>
              <w:spacing w:before="60"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Motpartskreditrisk – Varav schablonmetoden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</w:p>
          <w:p w14:paraId="13065A05" w14:textId="21562698" w:rsidR="00FA1376" w:rsidRPr="00232C88" w:rsidRDefault="009A4635" w:rsidP="4D769726">
            <w:pPr>
              <w:spacing w:before="6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De riskvägda exponeringsbelopp och kapitalbaskrav som beräknats i enlighet med del tre avdelning II kapitel 6 avsnitt 3 i förordning (EU) nr 575/2013.</w:t>
            </w:r>
          </w:p>
        </w:tc>
      </w:tr>
      <w:tr w:rsidR="00232C88" w:rsidRPr="00232C88" w14:paraId="16331F3C" w14:textId="77777777" w:rsidTr="4D769726">
        <w:trPr>
          <w:trHeight w:val="557"/>
        </w:trPr>
        <w:tc>
          <w:tcPr>
            <w:tcW w:w="1384" w:type="dxa"/>
            <w:vAlign w:val="center"/>
          </w:tcPr>
          <w:p w14:paraId="3558D5F6" w14:textId="77777777" w:rsidR="00FA1376" w:rsidRPr="00232C88" w:rsidRDefault="004D588F" w:rsidP="00FA1376">
            <w:pPr>
              <w:pStyle w:val="Applicationdirecte"/>
              <w:spacing w:before="60"/>
              <w:jc w:val="center"/>
            </w:pPr>
            <w:r>
              <w:t xml:space="preserve">8</w:t>
            </w:r>
          </w:p>
        </w:tc>
        <w:tc>
          <w:tcPr>
            <w:tcW w:w="7655" w:type="dxa"/>
          </w:tcPr>
          <w:p w14:paraId="2C150D6B" w14:textId="77777777" w:rsidR="00FA1376" w:rsidRPr="00232C88" w:rsidRDefault="00FA1376" w:rsidP="00FA1376">
            <w:pPr>
              <w:spacing w:before="60"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Motpartskreditrisk – Varav metoden med interna modeller (IMM)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</w:p>
          <w:p w14:paraId="3EB08D8D" w14:textId="01135F8D" w:rsidR="00FA1376" w:rsidRPr="00232C88" w:rsidRDefault="009A4635" w:rsidP="002635C4">
            <w:pPr>
              <w:spacing w:before="6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Riskvägda exponeringsbelopp och kapitalbaskrav beräknade i enlighet med artikel 283 i förordning (EU) nr 575/2013.</w:t>
            </w:r>
          </w:p>
        </w:tc>
      </w:tr>
      <w:tr w:rsidR="00232C88" w:rsidRPr="00232C88" w14:paraId="58D7FF91" w14:textId="77777777" w:rsidTr="4D769726">
        <w:trPr>
          <w:trHeight w:val="557"/>
        </w:trPr>
        <w:tc>
          <w:tcPr>
            <w:tcW w:w="1384" w:type="dxa"/>
          </w:tcPr>
          <w:p w14:paraId="4241FF70" w14:textId="77777777" w:rsidR="004D588F" w:rsidRPr="00232C88" w:rsidRDefault="004D588F" w:rsidP="004D588F">
            <w:pPr>
              <w:pStyle w:val="Applicationdirecte"/>
              <w:spacing w:before="60"/>
              <w:jc w:val="center"/>
            </w:pPr>
            <w:r>
              <w:t xml:space="preserve">EU 8a</w:t>
            </w:r>
          </w:p>
        </w:tc>
        <w:tc>
          <w:tcPr>
            <w:tcW w:w="7655" w:type="dxa"/>
          </w:tcPr>
          <w:p w14:paraId="78F13FD4" w14:textId="77777777" w:rsidR="004D588F" w:rsidRPr="00232C88" w:rsidRDefault="004D588F" w:rsidP="004D588F">
            <w:pPr>
              <w:spacing w:before="60"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Motpartskreditrisk – Varav exponeringar mot en central motpart</w:t>
            </w:r>
          </w:p>
          <w:p w14:paraId="316A5F55" w14:textId="5F455EE4" w:rsidR="00194611" w:rsidRPr="00232C88" w:rsidRDefault="004D588F" w:rsidP="4D769726">
            <w:pPr>
              <w:spacing w:before="6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De riskvägda exponeringsbelopp och kapitalbaskrav som beräknats i enlighet med del tre avdelning II kapitel 6 avsnitt 9 i förordning (EU) nr 575/2013.</w:t>
            </w:r>
          </w:p>
        </w:tc>
      </w:tr>
      <w:tr w:rsidR="00232C88" w:rsidRPr="00232C88" w14:paraId="25F8E9B4" w14:textId="77777777" w:rsidTr="4D769726">
        <w:trPr>
          <w:trHeight w:val="557"/>
        </w:trPr>
        <w:tc>
          <w:tcPr>
            <w:tcW w:w="1384" w:type="dxa"/>
          </w:tcPr>
          <w:p w14:paraId="4FF5AE00" w14:textId="77777777" w:rsidR="004D588F" w:rsidRPr="00232C88" w:rsidRDefault="004D588F" w:rsidP="004D588F">
            <w:pPr>
              <w:pStyle w:val="Applicationdirecte"/>
              <w:spacing w:before="60"/>
              <w:jc w:val="center"/>
            </w:pPr>
            <w:r>
              <w:t xml:space="preserve">9</w:t>
            </w:r>
          </w:p>
        </w:tc>
        <w:tc>
          <w:tcPr>
            <w:tcW w:w="7655" w:type="dxa"/>
          </w:tcPr>
          <w:p w14:paraId="1F211550" w14:textId="77777777" w:rsidR="004D588F" w:rsidRPr="00232C88" w:rsidRDefault="004D588F" w:rsidP="004D588F">
            <w:pPr>
              <w:spacing w:before="60"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Motpartskreditrisk – Varav andra motpartskreditrisker</w:t>
            </w:r>
          </w:p>
          <w:p w14:paraId="533B5356" w14:textId="2A949FC3" w:rsidR="004D588F" w:rsidRPr="00232C88" w:rsidRDefault="48604EBF" w:rsidP="7A5B4152">
            <w:pPr>
              <w:spacing w:before="6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Riskvägda exponeringsbelopp och kapitalbaskrav för motpartskreditrisk som inte offentliggörs under raderna 7, 8 och EU 8a.</w:t>
            </w:r>
          </w:p>
        </w:tc>
      </w:tr>
      <w:tr w:rsidR="00232C88" w:rsidRPr="00232C88" w14:paraId="76E49737" w14:textId="77777777" w:rsidTr="4D769726">
        <w:trPr>
          <w:trHeight w:val="557"/>
        </w:trPr>
        <w:tc>
          <w:tcPr>
            <w:tcW w:w="1384" w:type="dxa"/>
          </w:tcPr>
          <w:p w14:paraId="592A619A" w14:textId="77777777" w:rsidR="004D588F" w:rsidRPr="00232C88" w:rsidRDefault="004D588F" w:rsidP="004D588F">
            <w:pPr>
              <w:pStyle w:val="Applicationdirecte"/>
              <w:spacing w:before="60"/>
              <w:jc w:val="center"/>
            </w:pPr>
            <w:r>
              <w:t xml:space="preserve">10</w:t>
            </w:r>
          </w:p>
        </w:tc>
        <w:tc>
          <w:tcPr>
            <w:tcW w:w="7655" w:type="dxa"/>
          </w:tcPr>
          <w:p w14:paraId="6FBF49C6" w14:textId="22C1CF03" w:rsidR="004D588F" w:rsidRPr="00232C88" w:rsidRDefault="6B84787B" w:rsidP="7A5B4152">
            <w:pPr>
              <w:spacing w:before="60" w:after="120" w:line="259" w:lineRule="auto"/>
              <w:jc w:val="both"/>
              <w:rPr>
                <w:b/>
                <w:bCs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Kreditvärdighetsjusteringsrisk</w:t>
            </w:r>
          </w:p>
          <w:p w14:paraId="49EF2829" w14:textId="6B25E794" w:rsidR="004D588F" w:rsidRPr="00232C88" w:rsidRDefault="7031397C" w:rsidP="4D769726">
            <w:pPr>
              <w:spacing w:before="60" w:after="120" w:line="259" w:lineRule="auto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De riskvägda exponeringsbelopp och kapitalbaskrav som beräknats i enlighet med del tre avdelning VI i förordning (EU) nr 575/2013.</w:t>
            </w:r>
          </w:p>
        </w:tc>
      </w:tr>
      <w:tr w:rsidR="00232C88" w:rsidRPr="00232C88" w14:paraId="1A547643" w14:textId="77777777" w:rsidTr="4D769726">
        <w:trPr>
          <w:trHeight w:val="557"/>
        </w:trPr>
        <w:tc>
          <w:tcPr>
            <w:tcW w:w="1384" w:type="dxa"/>
          </w:tcPr>
          <w:p w14:paraId="3C94C191" w14:textId="4A298BE2" w:rsidR="6B84787B" w:rsidRPr="00232C88" w:rsidRDefault="6B84787B" w:rsidP="00254EDB">
            <w:pPr>
              <w:pStyle w:val="Applicationdirecte"/>
              <w:spacing w:before="60" w:line="259" w:lineRule="auto"/>
              <w:jc w:val="center"/>
            </w:pPr>
            <w:r>
              <w:t xml:space="preserve">EU 10a</w:t>
            </w:r>
          </w:p>
        </w:tc>
        <w:tc>
          <w:tcPr>
            <w:tcW w:w="7655" w:type="dxa"/>
          </w:tcPr>
          <w:p w14:paraId="6CC156C7" w14:textId="4E5A33FC" w:rsidR="6B84787B" w:rsidRPr="00232C88" w:rsidRDefault="6B84787B" w:rsidP="00254EDB">
            <w:pPr>
              <w:spacing w:before="60" w:after="120" w:line="259" w:lineRule="auto"/>
              <w:jc w:val="both"/>
              <w:rPr>
                <w:b/>
                <w:bCs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Kreditvärdighetsjusteringsrisk – Varav schablonmetoden</w:t>
            </w:r>
          </w:p>
          <w:p w14:paraId="1299BEF8" w14:textId="002F7166" w:rsidR="15A479FF" w:rsidRPr="00232C88" w:rsidRDefault="15A479FF" w:rsidP="00254EDB">
            <w:pPr>
              <w:spacing w:before="60" w:after="120" w:line="259" w:lineRule="auto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Riskvägda exponeringsbelopp och kapitalbaskrav beräknade i enlighet med artikel 383 i förordning (EU) nr 575/2013.</w:t>
            </w:r>
          </w:p>
        </w:tc>
      </w:tr>
      <w:tr w:rsidR="00232C88" w:rsidRPr="00232C88" w14:paraId="02EE7C20" w14:textId="77777777" w:rsidTr="4D769726">
        <w:trPr>
          <w:trHeight w:val="557"/>
        </w:trPr>
        <w:tc>
          <w:tcPr>
            <w:tcW w:w="1384" w:type="dxa"/>
          </w:tcPr>
          <w:p w14:paraId="18681198" w14:textId="4CC5C33F" w:rsidR="6B84787B" w:rsidRPr="00232C88" w:rsidRDefault="6B84787B" w:rsidP="00254EDB">
            <w:pPr>
              <w:pStyle w:val="Applicationdirecte"/>
              <w:spacing w:before="60" w:line="259" w:lineRule="auto"/>
              <w:jc w:val="center"/>
            </w:pPr>
            <w:r>
              <w:t xml:space="preserve">EU 10b</w:t>
            </w:r>
          </w:p>
        </w:tc>
        <w:tc>
          <w:tcPr>
            <w:tcW w:w="7655" w:type="dxa"/>
          </w:tcPr>
          <w:p w14:paraId="1888B262" w14:textId="387A46E5" w:rsidR="2B63221F" w:rsidRPr="00232C88" w:rsidRDefault="2B63221F" w:rsidP="00254EDB">
            <w:pPr>
              <w:spacing w:line="259" w:lineRule="auto"/>
              <w:rPr>
                <w:b/>
                <w:bCs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Kreditvärdighetsjusteringsrisk – Varav den grundläggande metoden (den fullständiga och den reducerade)</w:t>
            </w:r>
          </w:p>
          <w:p w14:paraId="08A9D4FC" w14:textId="371DF839" w:rsidR="5E3E7C8C" w:rsidRPr="00232C88" w:rsidRDefault="5E3E7C8C" w:rsidP="00254EDB">
            <w:pPr>
              <w:spacing w:before="60" w:after="120" w:line="259" w:lineRule="auto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Riskvägda exponeringsbelopp och kapitalbaskrav beräknade i enlighet med artikel 384 i förordning (EU) nr 575/2013.</w:t>
            </w:r>
          </w:p>
        </w:tc>
      </w:tr>
      <w:tr w:rsidR="00232C88" w:rsidRPr="00232C88" w14:paraId="2C8F98A0" w14:textId="77777777" w:rsidTr="4D769726">
        <w:trPr>
          <w:trHeight w:val="557"/>
        </w:trPr>
        <w:tc>
          <w:tcPr>
            <w:tcW w:w="1384" w:type="dxa"/>
          </w:tcPr>
          <w:p w14:paraId="763506ED" w14:textId="63E42586" w:rsidR="6B84787B" w:rsidRPr="00232C88" w:rsidRDefault="6B84787B" w:rsidP="00254EDB">
            <w:pPr>
              <w:pStyle w:val="Applicationdirecte"/>
              <w:spacing w:before="60" w:line="259" w:lineRule="auto"/>
              <w:jc w:val="center"/>
            </w:pPr>
            <w:r>
              <w:t xml:space="preserve">EU 10c</w:t>
            </w:r>
          </w:p>
        </w:tc>
        <w:tc>
          <w:tcPr>
            <w:tcW w:w="7655" w:type="dxa"/>
          </w:tcPr>
          <w:p w14:paraId="1606F92D" w14:textId="3DD380FC" w:rsidR="3812DD51" w:rsidRPr="00232C88" w:rsidRDefault="3812DD51" w:rsidP="00254EDB">
            <w:pPr>
              <w:spacing w:line="259" w:lineRule="auto"/>
              <w:rPr>
                <w:b/>
                <w:bCs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Kreditvärdighetsjusteringsrisk – Varav den förenklade metoden</w:t>
            </w:r>
          </w:p>
          <w:p w14:paraId="07A5F206" w14:textId="5A791739" w:rsidR="27833950" w:rsidRPr="00232C88" w:rsidRDefault="27833950" w:rsidP="00254EDB">
            <w:pPr>
              <w:spacing w:before="60" w:after="120" w:line="259" w:lineRule="auto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Riskvägda exponeringsbelopp och kapitalbaskrav beräknade i enlighet med artikel 385 i förordning (EU) nr 575/2013.</w:t>
            </w:r>
          </w:p>
        </w:tc>
      </w:tr>
      <w:tr w:rsidR="00232C88" w:rsidRPr="00232C88" w14:paraId="6475699F" w14:textId="77777777" w:rsidTr="00D44788">
        <w:trPr>
          <w:trHeight w:val="557"/>
        </w:trPr>
        <w:tc>
          <w:tcPr>
            <w:tcW w:w="1384" w:type="dxa"/>
            <w:shd w:val="clear" w:color="auto" w:fill="BFBFBF" w:themeFill="background1" w:themeFillShade="BF"/>
          </w:tcPr>
          <w:p w14:paraId="3A8A0F85" w14:textId="77777777" w:rsidR="004D588F" w:rsidRPr="00232C88" w:rsidRDefault="004D588F" w:rsidP="004D588F">
            <w:pPr>
              <w:pStyle w:val="Applicationdirecte"/>
              <w:spacing w:before="60"/>
              <w:jc w:val="center"/>
            </w:pPr>
            <w:r>
              <w:t xml:space="preserve">11</w:t>
            </w:r>
          </w:p>
        </w:tc>
        <w:tc>
          <w:tcPr>
            <w:tcW w:w="7655" w:type="dxa"/>
            <w:shd w:val="clear" w:color="auto" w:fill="BFBFBF" w:themeFill="background1" w:themeFillShade="BF"/>
          </w:tcPr>
          <w:p w14:paraId="5D822294" w14:textId="1188E96F" w:rsidR="004D588F" w:rsidRPr="00232C88" w:rsidRDefault="00476E72" w:rsidP="00CE6D3F">
            <w:pPr>
              <w:spacing w:before="6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Ej tillämpligt</w:t>
            </w:r>
          </w:p>
        </w:tc>
      </w:tr>
      <w:tr w:rsidR="00232C88" w:rsidRPr="00232C88" w14:paraId="185FC154" w14:textId="77777777" w:rsidTr="00D44788">
        <w:trPr>
          <w:trHeight w:val="557"/>
        </w:trPr>
        <w:tc>
          <w:tcPr>
            <w:tcW w:w="1384" w:type="dxa"/>
            <w:shd w:val="clear" w:color="auto" w:fill="BFBFBF" w:themeFill="background1" w:themeFillShade="BF"/>
          </w:tcPr>
          <w:p w14:paraId="0761DB25" w14:textId="77777777" w:rsidR="004D588F" w:rsidRPr="00232C88" w:rsidRDefault="004D588F" w:rsidP="004D588F">
            <w:pPr>
              <w:pStyle w:val="Applicationdirecte"/>
              <w:spacing w:before="60"/>
              <w:jc w:val="center"/>
            </w:pPr>
            <w:r>
              <w:t xml:space="preserve">12</w:t>
            </w:r>
          </w:p>
        </w:tc>
        <w:tc>
          <w:tcPr>
            <w:tcW w:w="7655" w:type="dxa"/>
            <w:shd w:val="clear" w:color="auto" w:fill="BFBFBF" w:themeFill="background1" w:themeFillShade="BF"/>
          </w:tcPr>
          <w:p w14:paraId="5020E0E0" w14:textId="0575BF04" w:rsidR="004D588F" w:rsidRPr="00232C88" w:rsidRDefault="00476E72" w:rsidP="004D588F">
            <w:pPr>
              <w:spacing w:before="6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Ej tillämpligt</w:t>
            </w:r>
          </w:p>
        </w:tc>
      </w:tr>
      <w:tr w:rsidR="00232C88" w:rsidRPr="00232C88" w14:paraId="05CAD0EA" w14:textId="77777777" w:rsidTr="00D44788">
        <w:trPr>
          <w:trHeight w:val="557"/>
        </w:trPr>
        <w:tc>
          <w:tcPr>
            <w:tcW w:w="1384" w:type="dxa"/>
            <w:shd w:val="clear" w:color="auto" w:fill="BFBFBF" w:themeFill="background1" w:themeFillShade="BF"/>
          </w:tcPr>
          <w:p w14:paraId="2C885FBA" w14:textId="77777777" w:rsidR="00476E72" w:rsidRPr="00232C88" w:rsidRDefault="00476E72" w:rsidP="00476E72">
            <w:pPr>
              <w:pStyle w:val="Applicationdirecte"/>
              <w:spacing w:before="60"/>
              <w:jc w:val="center"/>
            </w:pPr>
            <w:r>
              <w:t xml:space="preserve">13</w:t>
            </w:r>
          </w:p>
        </w:tc>
        <w:tc>
          <w:tcPr>
            <w:tcW w:w="7655" w:type="dxa"/>
            <w:shd w:val="clear" w:color="auto" w:fill="BFBFBF" w:themeFill="background1" w:themeFillShade="BF"/>
          </w:tcPr>
          <w:p w14:paraId="06CD1C7E" w14:textId="6F75CEAB" w:rsidR="00476E72" w:rsidRPr="00232C88" w:rsidRDefault="00476E72" w:rsidP="00476E72">
            <w:pPr>
              <w:spacing w:before="6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Ej tillämpligt</w:t>
            </w:r>
          </w:p>
        </w:tc>
      </w:tr>
      <w:tr w:rsidR="00232C88" w:rsidRPr="00232C88" w14:paraId="532A7C3A" w14:textId="77777777" w:rsidTr="00D44788">
        <w:trPr>
          <w:trHeight w:val="557"/>
        </w:trPr>
        <w:tc>
          <w:tcPr>
            <w:tcW w:w="1384" w:type="dxa"/>
            <w:shd w:val="clear" w:color="auto" w:fill="BFBFBF" w:themeFill="background1" w:themeFillShade="BF"/>
          </w:tcPr>
          <w:p w14:paraId="50BD4AE4" w14:textId="77777777" w:rsidR="00476E72" w:rsidRPr="00232C88" w:rsidRDefault="00476E72" w:rsidP="00476E72">
            <w:pPr>
              <w:pStyle w:val="Applicationdirecte"/>
              <w:spacing w:before="60"/>
              <w:jc w:val="center"/>
            </w:pPr>
            <w:r>
              <w:t xml:space="preserve">14</w:t>
            </w:r>
          </w:p>
        </w:tc>
        <w:tc>
          <w:tcPr>
            <w:tcW w:w="7655" w:type="dxa"/>
            <w:shd w:val="clear" w:color="auto" w:fill="BFBFBF" w:themeFill="background1" w:themeFillShade="BF"/>
          </w:tcPr>
          <w:p w14:paraId="08EEFB47" w14:textId="4D34AB73" w:rsidR="00476E72" w:rsidRPr="00232C88" w:rsidRDefault="00476E72" w:rsidP="00476E72">
            <w:pPr>
              <w:spacing w:before="6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Ej tillämpligt</w:t>
            </w:r>
          </w:p>
        </w:tc>
      </w:tr>
      <w:tr w:rsidR="00232C88" w:rsidRPr="00232C88" w14:paraId="0D00F496" w14:textId="77777777" w:rsidTr="4D769726">
        <w:trPr>
          <w:trHeight w:val="557"/>
        </w:trPr>
        <w:tc>
          <w:tcPr>
            <w:tcW w:w="1384" w:type="dxa"/>
            <w:vAlign w:val="center"/>
          </w:tcPr>
          <w:p w14:paraId="1FECA812" w14:textId="77777777" w:rsidR="00FA1376" w:rsidRPr="00232C88" w:rsidRDefault="00FA1376" w:rsidP="004D588F">
            <w:pPr>
              <w:pStyle w:val="Applicationdirecte"/>
              <w:spacing w:before="60"/>
              <w:jc w:val="center"/>
            </w:pPr>
            <w:r>
              <w:t xml:space="preserve">15</w:t>
            </w:r>
          </w:p>
        </w:tc>
        <w:tc>
          <w:tcPr>
            <w:tcW w:w="7655" w:type="dxa"/>
          </w:tcPr>
          <w:p w14:paraId="54F87CB3" w14:textId="77777777" w:rsidR="00FA1376" w:rsidRPr="00232C88" w:rsidRDefault="00FA1376" w:rsidP="00FA1376">
            <w:pPr>
              <w:spacing w:before="60"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Avvecklingsrisk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</w:p>
          <w:p w14:paraId="5BD4C7C7" w14:textId="245CE380" w:rsidR="00FA1376" w:rsidRPr="00232C88" w:rsidRDefault="76C231EB" w:rsidP="7A5B4152">
            <w:pPr>
              <w:spacing w:before="6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Riskvägda exponeringsbelopp och kapitalbaskrav beräknade för avvecklings- eller leveransrisk i enlighet med artikel 378 i förordning (EU) nr 575/2013.</w:t>
            </w:r>
          </w:p>
        </w:tc>
      </w:tr>
      <w:tr w:rsidR="00232C88" w:rsidRPr="00232C88" w14:paraId="657304C7" w14:textId="77777777" w:rsidTr="4D769726">
        <w:trPr>
          <w:trHeight w:val="557"/>
        </w:trPr>
        <w:tc>
          <w:tcPr>
            <w:tcW w:w="1384" w:type="dxa"/>
            <w:vAlign w:val="center"/>
          </w:tcPr>
          <w:p w14:paraId="78B3E96B" w14:textId="77777777" w:rsidR="00FA1376" w:rsidRPr="00232C88" w:rsidRDefault="00FA1376" w:rsidP="00FA1376">
            <w:pPr>
              <w:pStyle w:val="Applicationdirecte"/>
              <w:spacing w:before="60"/>
              <w:jc w:val="center"/>
            </w:pPr>
            <w:r>
              <w:t xml:space="preserve">16</w:t>
            </w:r>
          </w:p>
        </w:tc>
        <w:tc>
          <w:tcPr>
            <w:tcW w:w="7655" w:type="dxa"/>
          </w:tcPr>
          <w:p w14:paraId="290EA04A" w14:textId="77777777" w:rsidR="00FA1376" w:rsidRPr="00232C88" w:rsidRDefault="00FA1376" w:rsidP="00FA1376">
            <w:pPr>
              <w:spacing w:before="60"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Värdepapperiseringsexponeringar utanför handelslagret (efter tillämpning av taket)</w:t>
            </w:r>
          </w:p>
          <w:p w14:paraId="3127F872" w14:textId="727CB966" w:rsidR="00FA1376" w:rsidRPr="00232C88" w:rsidRDefault="009A4635" w:rsidP="4D769726">
            <w:pPr>
              <w:spacing w:before="6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De riskvägda exponeringsbelopp och kapitalbaskrav som beräknats i enlighet med del tre avdelning II kapitel 5 i förordning (EU) nr 575/2013.</w:t>
            </w:r>
          </w:p>
        </w:tc>
      </w:tr>
      <w:tr w:rsidR="00232C88" w:rsidRPr="00232C88" w14:paraId="010C9E97" w14:textId="77777777" w:rsidTr="4D769726">
        <w:trPr>
          <w:trHeight w:val="557"/>
        </w:trPr>
        <w:tc>
          <w:tcPr>
            <w:tcW w:w="1384" w:type="dxa"/>
            <w:vAlign w:val="center"/>
          </w:tcPr>
          <w:p w14:paraId="088B3E8E" w14:textId="77777777" w:rsidR="00FA1376" w:rsidRPr="00232C88" w:rsidRDefault="00FA1376" w:rsidP="00FA1376">
            <w:pPr>
              <w:pStyle w:val="Applicationdirecte"/>
              <w:spacing w:before="60"/>
              <w:jc w:val="center"/>
            </w:pPr>
            <w:r>
              <w:t xml:space="preserve">17</w:t>
            </w:r>
          </w:p>
        </w:tc>
        <w:tc>
          <w:tcPr>
            <w:tcW w:w="7655" w:type="dxa"/>
          </w:tcPr>
          <w:p w14:paraId="60EB9584" w14:textId="77777777" w:rsidR="00FA1376" w:rsidRPr="00232C88" w:rsidRDefault="00FA1376" w:rsidP="00FA1376">
            <w:pPr>
              <w:spacing w:before="60"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Värdepapperisering – Varav den interna kreditvärderingsmetoden (SEC-IRBA)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</w:p>
          <w:p w14:paraId="48D3D12E" w14:textId="321099B2" w:rsidR="00FA1376" w:rsidRPr="00232C88" w:rsidRDefault="009A4635" w:rsidP="0097538A">
            <w:pPr>
              <w:spacing w:before="6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Riskvägda exponeringsbelopp och kapitalbaskrav beräknade i enlighet med den interna kreditvärderingsmetoden (SEC-IRBA), använd i enlighet med den rangordning av metoder som fastställs i artikel 254 i förordning (EU) nr 575/2013.</w:t>
            </w:r>
          </w:p>
        </w:tc>
      </w:tr>
      <w:tr w:rsidR="00232C88" w:rsidRPr="00232C88" w14:paraId="0BD85931" w14:textId="77777777" w:rsidTr="4D769726">
        <w:trPr>
          <w:trHeight w:val="557"/>
        </w:trPr>
        <w:tc>
          <w:tcPr>
            <w:tcW w:w="1384" w:type="dxa"/>
            <w:vAlign w:val="center"/>
          </w:tcPr>
          <w:p w14:paraId="5C2CC844" w14:textId="77777777" w:rsidR="004D588F" w:rsidRPr="00232C88" w:rsidRDefault="004D588F" w:rsidP="00B2180A">
            <w:pPr>
              <w:pStyle w:val="Applicationdirecte"/>
              <w:spacing w:before="60"/>
              <w:jc w:val="center"/>
            </w:pPr>
            <w:r>
              <w:t xml:space="preserve">18</w:t>
            </w:r>
          </w:p>
        </w:tc>
        <w:tc>
          <w:tcPr>
            <w:tcW w:w="7655" w:type="dxa"/>
          </w:tcPr>
          <w:p w14:paraId="3D0BC87F" w14:textId="77777777" w:rsidR="004D588F" w:rsidRPr="00232C88" w:rsidRDefault="004D588F" w:rsidP="00B2180A">
            <w:pPr>
              <w:spacing w:before="60"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Värdepapperisering – Varav den externa kreditvärderingsmetoden (SEC-ERBA) (inklusive internbedömningsmetoden, IAA-metoden)</w:t>
            </w:r>
          </w:p>
          <w:p w14:paraId="081795BE" w14:textId="41E5125D" w:rsidR="004D588F" w:rsidRPr="00232C88" w:rsidRDefault="004D588F" w:rsidP="0077689B">
            <w:pPr>
              <w:spacing w:before="6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Riskvägda exponeringsbelopp och kapitalbaskrav beräknade i enlighet med den externa kreditvärderingsmetoden (SEC-ERBA) (inklusive IAA-metoden), använd i enlighet med den rangordning av metoder som fastställs i artikel 254 i förordning (EU) nr 575/2013.</w:t>
            </w:r>
          </w:p>
        </w:tc>
      </w:tr>
      <w:tr w:rsidR="00232C88" w:rsidRPr="00232C88" w14:paraId="4D1D51C3" w14:textId="77777777" w:rsidTr="4D769726">
        <w:trPr>
          <w:trHeight w:val="557"/>
        </w:trPr>
        <w:tc>
          <w:tcPr>
            <w:tcW w:w="1384" w:type="dxa"/>
            <w:vAlign w:val="center"/>
          </w:tcPr>
          <w:p w14:paraId="05E26500" w14:textId="77777777" w:rsidR="00FA1376" w:rsidRPr="00232C88" w:rsidRDefault="00FA1376" w:rsidP="00FA1376">
            <w:pPr>
              <w:pStyle w:val="Applicationdirecte"/>
              <w:spacing w:before="60"/>
              <w:jc w:val="center"/>
            </w:pPr>
            <w:r>
              <w:t xml:space="preserve">19</w:t>
            </w:r>
          </w:p>
        </w:tc>
        <w:tc>
          <w:tcPr>
            <w:tcW w:w="7655" w:type="dxa"/>
          </w:tcPr>
          <w:p w14:paraId="59496D51" w14:textId="77777777" w:rsidR="00FA1376" w:rsidRPr="00232C88" w:rsidRDefault="00FA1376" w:rsidP="00FA1376">
            <w:pPr>
              <w:spacing w:before="60"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Värdepapperisering – Varav schablonmetoden (SEC-SA)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</w:p>
          <w:p w14:paraId="70F39EBB" w14:textId="0BFE4551" w:rsidR="00FA1376" w:rsidRPr="00232C88" w:rsidRDefault="009A4635" w:rsidP="0077689B">
            <w:pPr>
              <w:spacing w:before="6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Riskvägda exponeringsbelopp och kapitalbaskrav beräknade i enlighet med schablonmetoden SEC-SA, använd i enlighet med den rangordning av metoder som fastställs i artikel 254 i förordning (EU) nr 575/2013.</w:t>
            </w:r>
          </w:p>
        </w:tc>
      </w:tr>
      <w:tr w:rsidR="00232C88" w:rsidRPr="00232C88" w14:paraId="2FE59A55" w14:textId="77777777" w:rsidTr="4D769726">
        <w:trPr>
          <w:trHeight w:val="557"/>
        </w:trPr>
        <w:tc>
          <w:tcPr>
            <w:tcW w:w="1384" w:type="dxa"/>
            <w:vAlign w:val="center"/>
          </w:tcPr>
          <w:p w14:paraId="78D679FB" w14:textId="77777777" w:rsidR="00FA1376" w:rsidRPr="00232C88" w:rsidRDefault="004D588F" w:rsidP="00FA1376">
            <w:pPr>
              <w:pStyle w:val="Applicationdirecte"/>
              <w:spacing w:before="60"/>
              <w:jc w:val="center"/>
            </w:pPr>
            <w:r>
              <w:t xml:space="preserve">EU 19a</w:t>
            </w:r>
          </w:p>
        </w:tc>
        <w:tc>
          <w:tcPr>
            <w:tcW w:w="7655" w:type="dxa"/>
          </w:tcPr>
          <w:p w14:paraId="571291B6" w14:textId="4C543ECF" w:rsidR="00FA1376" w:rsidRPr="00232C88" w:rsidRDefault="00FA1376" w:rsidP="00FA1376">
            <w:pPr>
              <w:spacing w:before="60"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Värdepapperisering – Varav 1 250 % / avdrag</w:t>
            </w:r>
          </w:p>
          <w:p w14:paraId="7E6CD2F2" w14:textId="35E17A23" w:rsidR="00FA1376" w:rsidRPr="00232C88" w:rsidRDefault="009A4635" w:rsidP="0077689B">
            <w:pPr>
              <w:spacing w:before="6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Riskvägda exponeringsbelopp och kapitalbaskrav för värdepapperiseringsexponeringar utanför handelslagret med riskvikt på 1 250 % eller som dragits av från kapitalbasen i enlighet med del tre avdelning II kapitel 5 i förordning (EU) nr 575/2013.</w:t>
            </w:r>
          </w:p>
        </w:tc>
      </w:tr>
      <w:tr w:rsidR="00232C88" w:rsidRPr="00232C88" w14:paraId="78AD28BD" w14:textId="77777777" w:rsidTr="4D769726">
        <w:trPr>
          <w:trHeight w:val="557"/>
        </w:trPr>
        <w:tc>
          <w:tcPr>
            <w:tcW w:w="1384" w:type="dxa"/>
          </w:tcPr>
          <w:p w14:paraId="165E71A5" w14:textId="77777777" w:rsidR="004D588F" w:rsidRPr="00232C88" w:rsidRDefault="004D588F" w:rsidP="004D588F">
            <w:pPr>
              <w:pStyle w:val="Applicationdirecte"/>
              <w:spacing w:before="60"/>
              <w:jc w:val="center"/>
            </w:pPr>
            <w:r>
              <w:t xml:space="preserve">20</w:t>
            </w:r>
          </w:p>
        </w:tc>
        <w:tc>
          <w:tcPr>
            <w:tcW w:w="7655" w:type="dxa"/>
          </w:tcPr>
          <w:p w14:paraId="403A7459" w14:textId="77777777" w:rsidR="004D588F" w:rsidRPr="00232C88" w:rsidRDefault="004D588F" w:rsidP="004D588F">
            <w:pPr>
              <w:spacing w:before="60"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Positionsrisk, valutarisk och råvarurisk (marknadsrisk)</w:t>
            </w:r>
          </w:p>
          <w:p w14:paraId="1D8E5705" w14:textId="261762C3" w:rsidR="001F53F8" w:rsidRPr="00232C88" w:rsidRDefault="004D588F" w:rsidP="4D769726">
            <w:pPr>
              <w:spacing w:before="6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De riskvägda exponeringsbelopp och kapitalbaskrav som beräknats i enlighet med del tre avdelning IV i förordning (EU) nr 575/2013.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  <w:tr w:rsidR="00232C88" w:rsidRPr="00232C88" w14:paraId="4F4C8A13" w14:textId="77777777" w:rsidTr="00232C88">
        <w:trPr>
          <w:trHeight w:val="557"/>
        </w:trPr>
        <w:tc>
          <w:tcPr>
            <w:tcW w:w="1384" w:type="dxa"/>
          </w:tcPr>
          <w:p w14:paraId="2600D745" w14:textId="73C8EE70" w:rsidR="004D588F" w:rsidRPr="00232C88" w:rsidRDefault="48604EBF" w:rsidP="004D588F">
            <w:pPr>
              <w:pStyle w:val="Applicationdirecte"/>
              <w:spacing w:before="60"/>
              <w:jc w:val="center"/>
            </w:pPr>
            <w:r>
              <w:t xml:space="preserve">21</w:t>
            </w:r>
          </w:p>
        </w:tc>
        <w:tc>
          <w:tcPr>
            <w:tcW w:w="7655" w:type="dxa"/>
            <w:shd w:val="clear" w:color="auto" w:fill="auto"/>
          </w:tcPr>
          <w:p w14:paraId="094F283E" w14:textId="6A34A8B5" w:rsidR="004D588F" w:rsidRPr="00232C88" w:rsidRDefault="48604EBF" w:rsidP="7A5B4152">
            <w:pPr>
              <w:spacing w:before="60" w:after="120"/>
              <w:jc w:val="both"/>
              <w:rPr>
                <w:b/>
                <w:bCs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Marknadsrisk – Varav den alternativa schablonmetoden</w:t>
            </w:r>
          </w:p>
          <w:p w14:paraId="2B391B37" w14:textId="27D482BC" w:rsidR="004D588F" w:rsidRPr="00232C88" w:rsidRDefault="004D588F" w:rsidP="233ACBB4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25FE8E42" w14:textId="0F3ACDAD" w:rsidR="004D588F" w:rsidRPr="00232C88" w:rsidRDefault="65F46E0C" w:rsidP="7A5B4152">
            <w:pPr>
              <w:spacing w:before="6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Riskvägda exponeringsbelopp och kapitalbaskrav beräknade i enlighet med del tre avdelning IV kapitel 1a i förordning (EU) nr 575/2013.</w:t>
            </w:r>
          </w:p>
          <w:p w14:paraId="3CC79283" w14:textId="7D88AFDB" w:rsidR="001F53F8" w:rsidRPr="00232C88" w:rsidRDefault="001F53F8" w:rsidP="7A5B4152">
            <w:pPr>
              <w:spacing w:before="6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Fram till den dag då de alternativa metoder som anges i del tre avdelning IV kapitlen 1a och 1b i förordning (EU) nr 575/2013 börjar tillämpas för att i praktiken beräkna de kapitalbaskrav som avses i artikel 92.4 b i och c och artikel 92.5 b och c i den förordningen är denna rad inte tillämplig.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  <w:tr w:rsidR="00232C88" w:rsidRPr="00232C88" w14:paraId="403B156C" w14:textId="77777777" w:rsidTr="233ACBB4">
        <w:trPr>
          <w:trHeight w:val="557"/>
        </w:trPr>
        <w:tc>
          <w:tcPr>
            <w:tcW w:w="1384" w:type="dxa"/>
          </w:tcPr>
          <w:p w14:paraId="7E3A811B" w14:textId="5AA202B4" w:rsidR="7CB62396" w:rsidRPr="00232C88" w:rsidRDefault="7CB62396" w:rsidP="00AD7048">
            <w:pPr>
              <w:pStyle w:val="Applicationdirecte"/>
              <w:jc w:val="center"/>
            </w:pPr>
            <w:r>
              <w:t xml:space="preserve">EU 21a</w:t>
            </w:r>
          </w:p>
        </w:tc>
        <w:tc>
          <w:tcPr>
            <w:tcW w:w="7655" w:type="dxa"/>
          </w:tcPr>
          <w:p w14:paraId="511B7362" w14:textId="68D54C08" w:rsidR="7CB62396" w:rsidRPr="00232C88" w:rsidRDefault="7CB62396" w:rsidP="233ACBB4">
            <w:pPr>
              <w:jc w:val="both"/>
              <w:rPr>
                <w:b/>
                <w:bCs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Marknadsrisk – Varav den förenklade schablonmetoden</w:t>
            </w:r>
          </w:p>
          <w:p w14:paraId="405FFF8B" w14:textId="77777777" w:rsidR="7CB62396" w:rsidRPr="00232C88" w:rsidRDefault="7CB62396" w:rsidP="233ACBB4">
            <w:pPr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Riskvägda exponeringsbelopp och kapitalbaskrav beräknade i enlighet med artikel 325a i förordning (EU) nr 575/2013.</w:t>
            </w:r>
          </w:p>
          <w:p w14:paraId="65A060B1" w14:textId="77777777" w:rsidR="001F53F8" w:rsidRPr="00232C88" w:rsidRDefault="001F53F8" w:rsidP="233ACBB4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579662F3" w14:textId="66DD24B7" w:rsidR="001F53F8" w:rsidRPr="00232C88" w:rsidRDefault="001F53F8" w:rsidP="233ACBB4">
            <w:pPr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Fram till den dag då de alternativa metoder som anges i del tre avdelning IV kapitlen 1a och 1b i förordning (EU) nr 575/2013 börjar tillämpas för att i praktiken beräkna de kapitalbaskrav som avses i artikel 92.4 b i och c och artikel 92.5 b och c i den förordningen är denna rad inte tillämplig.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  <w:tr w:rsidR="00232C88" w:rsidRPr="00232C88" w14:paraId="7730A887" w14:textId="77777777" w:rsidTr="4D769726">
        <w:trPr>
          <w:trHeight w:val="557"/>
        </w:trPr>
        <w:tc>
          <w:tcPr>
            <w:tcW w:w="1384" w:type="dxa"/>
          </w:tcPr>
          <w:p w14:paraId="4659D69D" w14:textId="77777777" w:rsidR="004D588F" w:rsidRPr="00232C88" w:rsidRDefault="004D588F" w:rsidP="004D588F">
            <w:pPr>
              <w:pStyle w:val="Applicationdirecte"/>
              <w:spacing w:before="60"/>
              <w:jc w:val="center"/>
            </w:pPr>
            <w:r>
              <w:t xml:space="preserve">22</w:t>
            </w:r>
          </w:p>
        </w:tc>
        <w:tc>
          <w:tcPr>
            <w:tcW w:w="7655" w:type="dxa"/>
          </w:tcPr>
          <w:p w14:paraId="7F8B2B75" w14:textId="1EA83C77" w:rsidR="004D588F" w:rsidRPr="00232C88" w:rsidRDefault="48604EBF" w:rsidP="7A5B4152">
            <w:pPr>
              <w:spacing w:before="60" w:after="120"/>
              <w:jc w:val="both"/>
              <w:rPr>
                <w:b/>
                <w:bCs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Marknadsrisk – Varav den alternativa internmodellmetoden</w:t>
            </w:r>
          </w:p>
          <w:p w14:paraId="115A7DEC" w14:textId="013907BE" w:rsidR="004D588F" w:rsidRPr="00232C88" w:rsidRDefault="48604EBF" w:rsidP="4D769726">
            <w:pPr>
              <w:spacing w:before="6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Riskvägda exponeringsbelopp och kapitalbaskrav beräknade i enlighet med del tre avdelning IV kapitel 1b i förordning (EU) nr 575/2013.</w:t>
            </w:r>
          </w:p>
          <w:p w14:paraId="190F3353" w14:textId="2AF57C1F" w:rsidR="001F53F8" w:rsidRPr="00232C88" w:rsidRDefault="001F53F8" w:rsidP="4D769726">
            <w:pPr>
              <w:spacing w:before="6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Fram till den dag då de alternativa metoder som anges i del tre avdelning IV kapitlen 1a och 1b i förordning (EU) nr 575/2013 börjar tillämpas för att i praktiken beräkna de kapitalbaskrav som avses i artikel 92.4 b i och c och artikel 92.5 b och c i den förordningen är denna rad inte tillämplig.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  <w:tr w:rsidR="00232C88" w:rsidRPr="00232C88" w14:paraId="634BA896" w14:textId="77777777" w:rsidTr="4D769726">
        <w:trPr>
          <w:trHeight w:val="557"/>
        </w:trPr>
        <w:tc>
          <w:tcPr>
            <w:tcW w:w="1384" w:type="dxa"/>
            <w:vAlign w:val="center"/>
          </w:tcPr>
          <w:p w14:paraId="20BE37C9" w14:textId="77777777" w:rsidR="00FA1376" w:rsidRPr="00232C88" w:rsidRDefault="004D588F" w:rsidP="00FA1376">
            <w:pPr>
              <w:pStyle w:val="Applicationdirecte"/>
              <w:spacing w:before="60"/>
              <w:jc w:val="center"/>
            </w:pPr>
            <w:r>
              <w:t xml:space="preserve">EU 22a</w:t>
            </w:r>
          </w:p>
        </w:tc>
        <w:tc>
          <w:tcPr>
            <w:tcW w:w="7655" w:type="dxa"/>
          </w:tcPr>
          <w:p w14:paraId="3C6ECD7F" w14:textId="77777777" w:rsidR="00FA1376" w:rsidRPr="00232C88" w:rsidRDefault="00FA1376" w:rsidP="00FA1376">
            <w:pPr>
              <w:spacing w:before="60"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Stora exponeringar</w:t>
            </w:r>
          </w:p>
          <w:p w14:paraId="01CE52D0" w14:textId="03EAAB4A" w:rsidR="00FA1376" w:rsidRPr="00232C88" w:rsidRDefault="43EB62D7" w:rsidP="7A5B4152">
            <w:pPr>
              <w:spacing w:before="6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Riskvägda exponeringsbelopp och kapitalbaskrav beräknade i enlighet med artikel 92.4 b ii i förordning (EU) nr 575/2013.</w:t>
            </w:r>
          </w:p>
        </w:tc>
      </w:tr>
      <w:tr w:rsidR="00232C88" w:rsidRPr="00232C88" w14:paraId="7755F368" w14:textId="77777777" w:rsidTr="4D769726">
        <w:trPr>
          <w:trHeight w:val="557"/>
        </w:trPr>
        <w:tc>
          <w:tcPr>
            <w:tcW w:w="1384" w:type="dxa"/>
          </w:tcPr>
          <w:p w14:paraId="4869443B" w14:textId="0E73FF9F" w:rsidR="0BEB4DB1" w:rsidRPr="00232C88" w:rsidRDefault="0BEB4DB1" w:rsidP="00254EDB">
            <w:pPr>
              <w:pStyle w:val="Applicationdirecte"/>
              <w:spacing w:before="60" w:line="259" w:lineRule="auto"/>
              <w:jc w:val="center"/>
            </w:pPr>
            <w:r>
              <w:t xml:space="preserve">23</w:t>
            </w:r>
          </w:p>
        </w:tc>
        <w:tc>
          <w:tcPr>
            <w:tcW w:w="7655" w:type="dxa"/>
          </w:tcPr>
          <w:p w14:paraId="3A8A51A2" w14:textId="77777777" w:rsidR="008D0CBA" w:rsidRDefault="00886EA4" w:rsidP="00310C93">
            <w:pPr>
              <w:spacing w:before="60"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Omklassificeringar mellan ”i handelslagret” och ”utanför handelslagret”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</w:p>
          <w:p w14:paraId="37B20D25" w14:textId="4A79B7BB" w:rsidR="7A5B4152" w:rsidRPr="00232C88" w:rsidRDefault="00310C93" w:rsidP="00310C93">
            <w:pPr>
              <w:spacing w:before="60" w:after="120"/>
              <w:jc w:val="both"/>
              <w:rPr>
                <w:bCs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Riskvägda exponeringsbelopp och kapitalbaskrav beräknade i enlighet med artikel 104a.3.4.6 i förordning (EU) nr 575/2013.</w:t>
            </w:r>
          </w:p>
        </w:tc>
      </w:tr>
      <w:tr w:rsidR="00232C88" w:rsidRPr="00232C88" w14:paraId="4F084615" w14:textId="77777777" w:rsidTr="4D769726">
        <w:trPr>
          <w:trHeight w:val="557"/>
        </w:trPr>
        <w:tc>
          <w:tcPr>
            <w:tcW w:w="1384" w:type="dxa"/>
          </w:tcPr>
          <w:p w14:paraId="688F7715" w14:textId="7983AB02" w:rsidR="004D588F" w:rsidRPr="00232C88" w:rsidRDefault="48604EBF" w:rsidP="004D588F">
            <w:pPr>
              <w:pStyle w:val="Applicationdirecte"/>
              <w:spacing w:before="60"/>
              <w:jc w:val="center"/>
            </w:pPr>
            <w:r>
              <w:t xml:space="preserve">24</w:t>
            </w:r>
          </w:p>
        </w:tc>
        <w:tc>
          <w:tcPr>
            <w:tcW w:w="7655" w:type="dxa"/>
          </w:tcPr>
          <w:p w14:paraId="62D84362" w14:textId="77777777" w:rsidR="00064A87" w:rsidRPr="00232C88" w:rsidRDefault="00064A87" w:rsidP="00064A87">
            <w:pPr>
              <w:spacing w:before="60"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Operativ risk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</w:p>
          <w:p w14:paraId="1D9DEFE1" w14:textId="5CB9F040" w:rsidR="004D588F" w:rsidRPr="00232C88" w:rsidRDefault="1346BE8D" w:rsidP="4D769726">
            <w:pPr>
              <w:spacing w:before="60" w:after="120"/>
              <w:jc w:val="both"/>
              <w:rPr>
                <w:i/>
                <w:iCs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De riskvägda exponeringsbelopp och kapitalbaskrav som beräknats i enlighet med del tre avdelning III i förordning (EU) nr 575/2013.</w:t>
            </w:r>
          </w:p>
        </w:tc>
      </w:tr>
      <w:tr w:rsidR="00232C88" w:rsidRPr="00232C88" w14:paraId="19C94D76" w14:textId="77777777" w:rsidTr="4D769726">
        <w:trPr>
          <w:trHeight w:val="557"/>
        </w:trPr>
        <w:tc>
          <w:tcPr>
            <w:tcW w:w="1384" w:type="dxa"/>
          </w:tcPr>
          <w:p w14:paraId="0A5E81F6" w14:textId="1552A1E9" w:rsidR="00797C68" w:rsidRPr="00232C88" w:rsidRDefault="00797C68" w:rsidP="001C2D18">
            <w:pPr>
              <w:pStyle w:val="Applicationdirecte"/>
              <w:spacing w:before="60"/>
              <w:jc w:val="center"/>
            </w:pPr>
            <w:r>
              <w:t xml:space="preserve">EU 24a</w:t>
            </w:r>
          </w:p>
        </w:tc>
        <w:tc>
          <w:tcPr>
            <w:tcW w:w="7655" w:type="dxa"/>
          </w:tcPr>
          <w:p w14:paraId="13B64018" w14:textId="77777777" w:rsidR="00797C68" w:rsidRPr="00232C88" w:rsidRDefault="00797C68" w:rsidP="001C2D18">
            <w:pPr>
              <w:spacing w:before="60"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Kryptotillgångsexponeringar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</w:p>
          <w:p w14:paraId="66AC7A81" w14:textId="4CE1C0D1" w:rsidR="00797C68" w:rsidRPr="00232C88" w:rsidRDefault="00797C68" w:rsidP="001C2D18">
            <w:pPr>
              <w:spacing w:before="60" w:after="120"/>
              <w:jc w:val="both"/>
              <w:rPr>
                <w:bCs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Riskvägda exponeringsbelopp och kapitalbaskrav beräknade i enlighet med de övergångsbestämmelser om tillsynsbehandling som avses i artikel 501d.2 i förordning (EU) nr 575/2013.</w:t>
            </w:r>
          </w:p>
        </w:tc>
      </w:tr>
      <w:tr w:rsidR="00232C88" w:rsidRPr="00232C88" w14:paraId="76248997" w14:textId="77777777" w:rsidTr="4D769726">
        <w:trPr>
          <w:trHeight w:val="557"/>
        </w:trPr>
        <w:tc>
          <w:tcPr>
            <w:tcW w:w="1384" w:type="dxa"/>
          </w:tcPr>
          <w:p w14:paraId="0E30EA32" w14:textId="31260842" w:rsidR="00355D90" w:rsidRPr="00232C88" w:rsidRDefault="69048C70" w:rsidP="001C2D18">
            <w:pPr>
              <w:pStyle w:val="Applicationdirecte"/>
              <w:spacing w:before="60"/>
              <w:jc w:val="center"/>
            </w:pPr>
            <w:r>
              <w:t xml:space="preserve"> </w:t>
            </w:r>
            <w:r>
              <w:t xml:space="preserve">25</w:t>
            </w:r>
          </w:p>
        </w:tc>
        <w:tc>
          <w:tcPr>
            <w:tcW w:w="7655" w:type="dxa"/>
          </w:tcPr>
          <w:p w14:paraId="46C5B971" w14:textId="03E962D8" w:rsidR="00355D90" w:rsidRPr="00232C88" w:rsidRDefault="00355D90" w:rsidP="001C2D18">
            <w:pPr>
              <w:spacing w:before="60"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Belopp under tröskelvärdena för avdrag (föremål för riskviktning på 250 %)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</w:p>
          <w:p w14:paraId="2A67FBCB" w14:textId="71D73BE9" w:rsidR="00355D90" w:rsidRPr="00232C88" w:rsidRDefault="00355D90" w:rsidP="001C2D18">
            <w:pPr>
              <w:spacing w:before="6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Beloppet ska motsvara summan av beloppen av de poster som är föremål för riskviktning på 250 % enligt artikel 48.4 i förordning (EU) nr 575/2013 efter tillämpning av riskviktningen på 250 %.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Dessa belopp omfattar</w:t>
            </w:r>
          </w:p>
          <w:p w14:paraId="7233691E" w14:textId="63D2831D" w:rsidR="00355D90" w:rsidRPr="00232C88" w:rsidRDefault="00355D90" w:rsidP="00E70D84">
            <w:pPr>
              <w:pStyle w:val="ListParagraph"/>
              <w:numPr>
                <w:ilvl w:val="0"/>
                <w:numId w:val="16"/>
              </w:numPr>
              <w:spacing w:before="60" w:after="120"/>
              <w:jc w:val="both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uppskjutna skattefordringar som är beroende av framtida lönsamhet och som härrör från temporära skillnader, och som tillsammans uppgår till högst 10 % av institutets kärnprimärkapitalposter, beräknade i enlighet med artikel 48.1 a i kapitalkravsförordningen,</w:t>
            </w:r>
          </w:p>
          <w:p w14:paraId="3954A3F4" w14:textId="09EAE9D4" w:rsidR="00355D90" w:rsidRPr="009260D6" w:rsidRDefault="00355D90" w:rsidP="000A2CE0">
            <w:pPr>
              <w:pStyle w:val="ListParagraph"/>
              <w:numPr>
                <w:ilvl w:val="0"/>
                <w:numId w:val="16"/>
              </w:numPr>
              <w:spacing w:before="60" w:after="120"/>
              <w:jc w:val="both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om institutet har väsentliga innehav i en enhet i den finansiella sektorn, institutets direkta, indirekta och syntetiska innehav av kärnprimärkapitalinstrument i dessa enheter som tillsammans uppgår till högst 10 % av institutets kärnprimärkapitalposter, beräknade i enlighet med artikel 48.1 b i kapitalkravsförordningen.</w:t>
            </w:r>
          </w:p>
          <w:p w14:paraId="6B4CA360" w14:textId="138451FC" w:rsidR="00355D90" w:rsidRPr="00232C88" w:rsidRDefault="00355D90" w:rsidP="00544FF5">
            <w:pPr>
              <w:spacing w:before="6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Informationen i denna rad ska endast offentliggöras i upplysningssyfte, eftersom det belopp som ingår här även ingår i rad 1, där instituten ombeds att lämna upplysningar om kreditrisk.</w:t>
            </w:r>
          </w:p>
        </w:tc>
      </w:tr>
      <w:tr w:rsidR="00232C88" w:rsidRPr="00232C88" w14:paraId="7B789CB1" w14:textId="77777777" w:rsidTr="4D769726">
        <w:trPr>
          <w:trHeight w:val="557"/>
        </w:trPr>
        <w:tc>
          <w:tcPr>
            <w:tcW w:w="1384" w:type="dxa"/>
          </w:tcPr>
          <w:p w14:paraId="3A10A9D0" w14:textId="77777777" w:rsidR="00601608" w:rsidRPr="00232C88" w:rsidRDefault="00601608" w:rsidP="00601608">
            <w:pPr>
              <w:pStyle w:val="Applicationdirecte"/>
              <w:spacing w:before="60"/>
              <w:jc w:val="center"/>
            </w:pPr>
            <w:r>
              <w:t xml:space="preserve">26</w:t>
            </w:r>
          </w:p>
        </w:tc>
        <w:tc>
          <w:tcPr>
            <w:tcW w:w="7655" w:type="dxa"/>
          </w:tcPr>
          <w:p w14:paraId="1BEF8E20" w14:textId="773DF94B" w:rsidR="00601608" w:rsidRPr="00232C88" w:rsidRDefault="0F81387E" w:rsidP="7A5B4152">
            <w:pPr>
              <w:spacing w:before="60" w:after="120"/>
              <w:jc w:val="both"/>
              <w:rPr>
                <w:b/>
                <w:bCs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Kapitalgolv tillämpas (%)</w:t>
            </w:r>
          </w:p>
          <w:p w14:paraId="73B26D34" w14:textId="7D1A3BF4" w:rsidR="00601608" w:rsidRPr="00232C88" w:rsidRDefault="157A8E5C" w:rsidP="00254EDB">
            <w:pPr>
              <w:spacing w:before="60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Kapitalgolvet, uttryckt i procent, som tillämpas när institutet</w:t>
            </w:r>
          </w:p>
          <w:p w14:paraId="0351E143" w14:textId="729E0684" w:rsidR="00601608" w:rsidRPr="00232C88" w:rsidRDefault="157A8E5C" w:rsidP="5C82E46C">
            <w:pPr>
              <w:spacing w:before="60"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räknar ut golvjusteringsvärdet på raderna 27 och 28: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faktorn ”x” enligt artikel 92.3 och artikel 465.1 i förordning (EU) nr 575/2013.</w:t>
            </w:r>
          </w:p>
          <w:p w14:paraId="2C4F5B91" w14:textId="6FC0CE3A" w:rsidR="00601608" w:rsidRPr="00232C88" w:rsidRDefault="00D92B8D" w:rsidP="00254EDB">
            <w:pPr>
              <w:spacing w:before="6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Denna rad ska inte tillämpas på institut som omfattas av undantaget i artikel 92.3 andra stycket i förordning (EU) nr 575/2013.</w:t>
            </w:r>
          </w:p>
        </w:tc>
      </w:tr>
      <w:tr w:rsidR="00232C88" w:rsidRPr="00232C88" w14:paraId="48F5EA99" w14:textId="77777777" w:rsidTr="4D769726">
        <w:trPr>
          <w:trHeight w:val="557"/>
        </w:trPr>
        <w:tc>
          <w:tcPr>
            <w:tcW w:w="1384" w:type="dxa"/>
          </w:tcPr>
          <w:p w14:paraId="5D203C64" w14:textId="77777777" w:rsidR="00601608" w:rsidRPr="00232C88" w:rsidRDefault="00601608" w:rsidP="00601608">
            <w:pPr>
              <w:pStyle w:val="Applicationdirecte"/>
              <w:spacing w:before="60"/>
              <w:jc w:val="center"/>
            </w:pPr>
            <w:r>
              <w:t xml:space="preserve">27</w:t>
            </w:r>
          </w:p>
        </w:tc>
        <w:tc>
          <w:tcPr>
            <w:tcW w:w="7655" w:type="dxa"/>
          </w:tcPr>
          <w:p w14:paraId="038223EE" w14:textId="6A6326D3" w:rsidR="00601608" w:rsidRPr="00232C88" w:rsidRDefault="4856FF09" w:rsidP="7A5B4152">
            <w:pPr>
              <w:spacing w:before="60" w:after="120"/>
              <w:jc w:val="both"/>
              <w:rPr>
                <w:b/>
                <w:bCs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Justering av golvet (före tillämpning av övergångstaket)</w:t>
            </w:r>
          </w:p>
          <w:p w14:paraId="771706A8" w14:textId="5435A532" w:rsidR="00601608" w:rsidRPr="00232C88" w:rsidRDefault="00010D29" w:rsidP="7A5B4152">
            <w:pPr>
              <w:spacing w:before="6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För institut som omfattas av kapitalgolvet enligt artikel 92.3 a i förordning (EU) nr 575/2013, ökningen av beloppet för det totala riskvägda exponeringsbeloppet, baserat på det kapitalgolv som tillämpas på rad 26, utan tillämpning av det övergångstak som anges i artikel 465.2 i förordning (EU) nr 575/2013.</w:t>
            </w:r>
          </w:p>
          <w:p w14:paraId="38B9BF8A" w14:textId="52B47A9C" w:rsidR="00D92B8D" w:rsidRPr="00232C88" w:rsidRDefault="00D92B8D" w:rsidP="7A5B4152">
            <w:pPr>
              <w:spacing w:before="6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Denna rad ska inte tillämpas på institut som omfattas av undantaget i artikel 92.3 andra stycket i förordning (EU) nr 575/2013.</w:t>
            </w:r>
          </w:p>
        </w:tc>
      </w:tr>
      <w:tr w:rsidR="00232C88" w:rsidRPr="00232C88" w14:paraId="294AC974" w14:textId="77777777" w:rsidTr="4D769726">
        <w:trPr>
          <w:trHeight w:val="557"/>
        </w:trPr>
        <w:tc>
          <w:tcPr>
            <w:tcW w:w="1384" w:type="dxa"/>
          </w:tcPr>
          <w:p w14:paraId="1D35C4C7" w14:textId="77777777" w:rsidR="00601608" w:rsidRPr="00232C88" w:rsidRDefault="00601608" w:rsidP="00601608">
            <w:pPr>
              <w:pStyle w:val="Applicationdirecte"/>
              <w:spacing w:before="60"/>
              <w:jc w:val="center"/>
            </w:pPr>
            <w:r>
              <w:t xml:space="preserve">28</w:t>
            </w:r>
          </w:p>
        </w:tc>
        <w:tc>
          <w:tcPr>
            <w:tcW w:w="7655" w:type="dxa"/>
          </w:tcPr>
          <w:p w14:paraId="10893528" w14:textId="1056E6F0" w:rsidR="00601608" w:rsidRPr="00232C88" w:rsidRDefault="3853AA5F" w:rsidP="7A5B4152">
            <w:pPr>
              <w:spacing w:before="6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b/>
                <w:rFonts w:ascii="Times New Roman" w:hAnsi="Times New Roman"/>
              </w:rPr>
              <w:t xml:space="preserve">Justering av golvet (efter tillämpning av övergångstaket)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3461108E" w14:textId="499B5D53" w:rsidR="00601608" w:rsidRPr="00232C88" w:rsidRDefault="119238F7" w:rsidP="7A5B4152">
            <w:pPr>
              <w:spacing w:before="6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För institut som omfattas av kapitalgolvet enligt artikel 92.3 a i förordning (EU) nr 575/2013, ökningen av beloppet för det totala riskvägda exponeringsbeloppet, baserat på det kapitalgolv som tillämpas på rad 26, efter tillämpning av det övergångstak som anges i artikel 465.2 i förordning (EU) nr 575/2013.</w:t>
            </w:r>
          </w:p>
          <w:p w14:paraId="32CACDED" w14:textId="70D0901B" w:rsidR="00D92B8D" w:rsidRPr="00232C88" w:rsidRDefault="00D92B8D" w:rsidP="7A5B4152">
            <w:pPr>
              <w:spacing w:before="6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Denna rad ska inte tillämpas på institut som omfattas av undantaget i artikel 92.3 andra stycket i förordning (EU) nr 575/2013.</w:t>
            </w:r>
          </w:p>
        </w:tc>
      </w:tr>
      <w:tr w:rsidR="00FA1376" w:rsidRPr="00232C88" w14:paraId="1FD0EA38" w14:textId="77777777" w:rsidTr="4D769726">
        <w:trPr>
          <w:trHeight w:val="557"/>
        </w:trPr>
        <w:tc>
          <w:tcPr>
            <w:tcW w:w="1384" w:type="dxa"/>
            <w:vAlign w:val="center"/>
          </w:tcPr>
          <w:p w14:paraId="351F1E24" w14:textId="77777777" w:rsidR="00FA1376" w:rsidRPr="00232C88" w:rsidRDefault="00FA1376" w:rsidP="00FA1376">
            <w:pPr>
              <w:pStyle w:val="Applicationdirecte"/>
              <w:spacing w:before="60"/>
              <w:jc w:val="center"/>
            </w:pPr>
            <w:r>
              <w:t xml:space="preserve">29</w:t>
            </w:r>
          </w:p>
        </w:tc>
        <w:tc>
          <w:tcPr>
            <w:tcW w:w="7655" w:type="dxa"/>
          </w:tcPr>
          <w:p w14:paraId="05D40AFF" w14:textId="77777777" w:rsidR="00FA1376" w:rsidRPr="00232C88" w:rsidRDefault="00FA1376" w:rsidP="00FA1376">
            <w:pPr>
              <w:spacing w:before="60"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Totalt</w:t>
            </w:r>
          </w:p>
          <w:p w14:paraId="4DE2E57F" w14:textId="77777777" w:rsidR="008D0CBA" w:rsidRDefault="00FA1376" w:rsidP="00601608">
            <w:pPr>
              <w:spacing w:before="6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Totalt riskvägt exponeringsbelopp beräknat i enlighet med artikel 92.3 och artiklarna 95, 96 och 98 i förordning (EU) nr 575/2013.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32B689CA" w14:textId="0C35490F" w:rsidR="00FA1376" w:rsidRPr="00232C88" w:rsidRDefault="00D072CD" w:rsidP="00601608">
            <w:pPr>
              <w:spacing w:before="6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Denna rad är lika med summan av följande rader: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1, 6, 10, 15, 16, 20, EU 22a, 23, 24, EU 24a, 28.</w:t>
            </w:r>
          </w:p>
        </w:tc>
      </w:tr>
    </w:tbl>
    <w:p w14:paraId="2CB62609" w14:textId="77777777" w:rsidR="00C41C25" w:rsidRPr="00232C88" w:rsidRDefault="00C41C25" w:rsidP="00501CEC">
      <w:pPr>
        <w:pStyle w:val="Titlelevel2"/>
        <w:spacing w:before="120" w:after="120"/>
        <w:rPr>
          <w:rFonts w:ascii="Times New Roman" w:hAnsi="Times New Roman" w:cs="Times New Roman"/>
          <w:b/>
          <w:color w:val="auto"/>
          <w:sz w:val="24"/>
          <w:lang w:val="en-GB"/>
        </w:rPr>
      </w:pPr>
    </w:p>
    <w:p w14:paraId="62DDE9E1" w14:textId="413A13B5" w:rsidR="00501CEC" w:rsidRPr="00232C88" w:rsidRDefault="00BD36EC" w:rsidP="00501CEC">
      <w:pPr>
        <w:pStyle w:val="Titlelevel2"/>
        <w:spacing w:before="120" w:after="120"/>
        <w:rPr>
          <w:color w:val="auto"/>
          <w:sz w:val="24"/>
          <w:rFonts w:ascii="Times New Roman" w:hAnsi="Times New Roman" w:cs="Times New Roman"/>
        </w:rPr>
      </w:pPr>
      <w:r>
        <w:rPr>
          <w:color w:val="auto"/>
          <w:sz w:val="24"/>
          <w:b/>
          <w:rFonts w:ascii="Times New Roman" w:hAnsi="Times New Roman"/>
        </w:rPr>
        <w:t xml:space="preserve">Mall EU KM1 – Mall för nyckeltal.</w:t>
      </w:r>
      <w:r>
        <w:rPr>
          <w:color w:val="auto"/>
          <w:sz w:val="24"/>
          <w:b/>
          <w:rFonts w:ascii="Times New Roman" w:hAnsi="Times New Roman"/>
        </w:rPr>
        <w:t xml:space="preserve"> </w:t>
      </w:r>
      <w:r>
        <w:rPr>
          <w:color w:val="auto"/>
          <w:sz w:val="24"/>
          <w:rFonts w:ascii="Times New Roman" w:hAnsi="Times New Roman"/>
        </w:rPr>
        <w:t xml:space="preserve">Fast format.</w:t>
      </w:r>
    </w:p>
    <w:p w14:paraId="3394DDC1" w14:textId="250762C7" w:rsidR="00A919FB" w:rsidRPr="00232C88" w:rsidRDefault="00C41C25" w:rsidP="00254EDB">
      <w:pPr>
        <w:pStyle w:val="Titlelevel2"/>
        <w:numPr>
          <w:ilvl w:val="0"/>
          <w:numId w:val="14"/>
        </w:numPr>
        <w:spacing w:before="120" w:after="120"/>
        <w:jc w:val="both"/>
        <w:rPr>
          <w:b/>
          <w:color w:val="auto"/>
          <w:sz w:val="24"/>
          <w:rFonts w:ascii="Times New Roman" w:hAnsi="Times New Roman" w:cs="Times New Roman"/>
        </w:rPr>
      </w:pPr>
      <w:r>
        <w:rPr>
          <w:color w:val="auto"/>
          <w:sz w:val="24"/>
          <w:rFonts w:ascii="Times New Roman" w:hAnsi="Times New Roman"/>
        </w:rPr>
        <w:t xml:space="preserve">Instituten ska följa de instruktioner som anges nedan i denna bilaga för att fylla i mall EU KM1, vilken återfinns i bilaga I till EBA:s it-lösningar, vid tillämpning av artikel 447 a–g i förordning (EU) nr 575/2013 och vid tillämpning av artikel 438 b i den förordningen.</w:t>
      </w:r>
      <w:r>
        <w:rPr>
          <w:color w:val="auto"/>
          <w:sz w:val="24"/>
          <w:b/>
          <w:rFonts w:ascii="Times New Roman" w:hAnsi="Times New Roman"/>
        </w:rPr>
        <w:t xml:space="preserve"> </w:t>
      </w:r>
    </w:p>
    <w:p w14:paraId="61B6BC46" w14:textId="4370DEB2" w:rsidR="0CF4BDBF" w:rsidRPr="00232C88" w:rsidRDefault="0CF4BDBF" w:rsidP="0CF4BDBF">
      <w:pPr>
        <w:pStyle w:val="Titlelevel2"/>
        <w:spacing w:before="120" w:after="120" w:line="259" w:lineRule="auto"/>
        <w:ind w:left="720"/>
        <w:jc w:val="both"/>
        <w:rPr>
          <w:rFonts w:ascii="Times New Roman" w:eastAsia="Times New Roman" w:hAnsi="Times New Roman" w:cs="Times New Roman"/>
          <w:bCs w:val="0"/>
          <w:color w:val="auto"/>
          <w:sz w:val="24"/>
          <w:lang w:val="en-GB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232C88" w:rsidRPr="00232C88" w14:paraId="74C38E09" w14:textId="77777777" w:rsidTr="65F04A31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10C025D" w14:textId="77777777" w:rsidR="00A919FB" w:rsidRPr="00232C88" w:rsidRDefault="00A919FB" w:rsidP="00B2180A">
            <w:pPr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Rättsliga hänvisningar och instruktioner</w:t>
            </w:r>
          </w:p>
        </w:tc>
      </w:tr>
      <w:tr w:rsidR="00232C88" w:rsidRPr="00232C88" w14:paraId="00B30D91" w14:textId="77777777" w:rsidTr="65F04A31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0D2CF0F9" w14:textId="77777777" w:rsidR="00A919FB" w:rsidRPr="00232C88" w:rsidRDefault="00A919FB" w:rsidP="00003BF5">
            <w:pPr>
              <w:autoSpaceDE w:val="0"/>
              <w:autoSpaceDN w:val="0"/>
              <w:adjustRightInd w:val="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Kolumn nr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1025441F" w14:textId="77777777" w:rsidR="00A919FB" w:rsidRPr="00232C88" w:rsidRDefault="00A919FB" w:rsidP="00B2180A">
            <w:pPr>
              <w:autoSpaceDE w:val="0"/>
              <w:autoSpaceDN w:val="0"/>
              <w:adjustRightInd w:val="0"/>
              <w:rPr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Förklaring</w:t>
            </w:r>
          </w:p>
        </w:tc>
      </w:tr>
      <w:tr w:rsidR="00232C88" w:rsidRPr="00232C88" w14:paraId="3B18CFED" w14:textId="77777777" w:rsidTr="65F04A31">
        <w:trPr>
          <w:trHeight w:val="680"/>
        </w:trPr>
        <w:tc>
          <w:tcPr>
            <w:tcW w:w="1384" w:type="dxa"/>
          </w:tcPr>
          <w:p w14:paraId="701C1EE8" w14:textId="77777777" w:rsidR="00A919FB" w:rsidRPr="00232C88" w:rsidRDefault="00003BF5" w:rsidP="00B2180A">
            <w:pPr>
              <w:pStyle w:val="Applicationdirecte"/>
              <w:spacing w:before="60"/>
              <w:jc w:val="center"/>
            </w:pPr>
            <w:r>
              <w:t xml:space="preserve">a–e</w:t>
            </w:r>
          </w:p>
        </w:tc>
        <w:tc>
          <w:tcPr>
            <w:tcW w:w="7655" w:type="dxa"/>
            <w:vAlign w:val="center"/>
          </w:tcPr>
          <w:p w14:paraId="01DAA312" w14:textId="53CA3AA7" w:rsidR="00A919FB" w:rsidRPr="00232C88" w:rsidRDefault="00187C4B" w:rsidP="00A919FB">
            <w:pPr>
              <w:spacing w:before="6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Offentliggörandeperioderna T, T-1, T-2, T-3 och T-4 definieras som kvartalsperioder och ska fyllas i beroende på den frekvens som fastställs genom artiklarna 433, 433a, 433b och 433c i förordning (EU) nr 575/2013.</w:t>
            </w:r>
          </w:p>
          <w:p w14:paraId="3BAEA110" w14:textId="7DE115C7" w:rsidR="00A919FB" w:rsidRPr="00232C88" w:rsidRDefault="00A919FB" w:rsidP="00A919FB">
            <w:pPr>
              <w:spacing w:before="6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Institut som offentliggör den information som ingår i denna mall på kvartalsbasis ska lämna uppgifter för perioderna T, T-1, T-2, T-3 och T-4.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Institut som offentliggör den information som ingår i denna mall på halvårsbasis ska lämna uppgifter för perioderna T, T-2 och T-4.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Institut som offentliggör den information som ingår i denna mall på årsbasis ska lämna uppgifter för perioderna T och T-4.</w:t>
            </w:r>
          </w:p>
          <w:p w14:paraId="3565AD25" w14:textId="00DB4F0F" w:rsidR="00A919FB" w:rsidRPr="00232C88" w:rsidRDefault="00A919FB" w:rsidP="00A919FB">
            <w:pPr>
              <w:spacing w:before="6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Instituten ska uppge vilka datum som offentliggörandeperioderna motsvarar.</w:t>
            </w:r>
          </w:p>
          <w:p w14:paraId="18B0361E" w14:textId="77777777" w:rsidR="00A919FB" w:rsidRPr="00232C88" w:rsidRDefault="00A919FB" w:rsidP="00C0296F">
            <w:pPr>
              <w:spacing w:before="6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Uppgifter behöver inte offentliggöras för de föregående perioderna när uppgifter offentliggörs för första gången.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  <w:tr w:rsidR="00232C88" w:rsidRPr="00232C88" w14:paraId="50208CE7" w14:textId="77777777" w:rsidTr="65F04A31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1ED8553" w14:textId="77777777" w:rsidR="00A919FB" w:rsidRPr="00232C88" w:rsidRDefault="00A919FB" w:rsidP="00B2180A">
            <w:pPr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Rättsliga hänvisningar och instruktioner</w:t>
            </w:r>
          </w:p>
        </w:tc>
      </w:tr>
      <w:tr w:rsidR="00232C88" w:rsidRPr="00232C88" w14:paraId="1B35CC72" w14:textId="77777777" w:rsidTr="65F04A31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0BCA6C43" w14:textId="77777777" w:rsidR="00A919FB" w:rsidRPr="00232C88" w:rsidRDefault="00A919FB" w:rsidP="00B2180A">
            <w:pPr>
              <w:autoSpaceDE w:val="0"/>
              <w:autoSpaceDN w:val="0"/>
              <w:adjustRightInd w:val="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Rad nr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6FA800DB" w14:textId="77777777" w:rsidR="00A919FB" w:rsidRPr="00232C88" w:rsidRDefault="00A919FB" w:rsidP="00B2180A">
            <w:pPr>
              <w:autoSpaceDE w:val="0"/>
              <w:autoSpaceDN w:val="0"/>
              <w:adjustRightInd w:val="0"/>
              <w:rPr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Förklaring</w:t>
            </w:r>
          </w:p>
        </w:tc>
      </w:tr>
      <w:tr w:rsidR="00232C88" w:rsidRPr="00232C88" w14:paraId="09F40871" w14:textId="77777777" w:rsidTr="65F04A31">
        <w:trPr>
          <w:trHeight w:val="680"/>
        </w:trPr>
        <w:tc>
          <w:tcPr>
            <w:tcW w:w="1384" w:type="dxa"/>
          </w:tcPr>
          <w:p w14:paraId="79F0E0B1" w14:textId="77777777" w:rsidR="00EC3DC7" w:rsidRPr="00232C88" w:rsidRDefault="00EC3DC7" w:rsidP="00EC3DC7">
            <w:pPr>
              <w:pStyle w:val="Applicationdirecte"/>
              <w:spacing w:before="60"/>
              <w:jc w:val="center"/>
            </w:pPr>
            <w:r>
              <w:t xml:space="preserve">1</w:t>
            </w:r>
          </w:p>
        </w:tc>
        <w:tc>
          <w:tcPr>
            <w:tcW w:w="7655" w:type="dxa"/>
          </w:tcPr>
          <w:p w14:paraId="28E8D7BE" w14:textId="77777777" w:rsidR="00EC3DC7" w:rsidRPr="00232C88" w:rsidRDefault="00EC3DC7" w:rsidP="00EC3DC7">
            <w:pPr>
              <w:spacing w:before="60"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Kärnprimärkapital</w:t>
            </w:r>
          </w:p>
          <w:p w14:paraId="07A96E2A" w14:textId="537329F0" w:rsidR="00EC3DC7" w:rsidRPr="00232C88" w:rsidRDefault="00EC3DC7" w:rsidP="00BD5160">
            <w:pPr>
              <w:spacing w:before="6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Beloppet av kärnprimärkapital ska vara det belopp som offentliggörs av instituten enligt bilaga VII till it-lösningarna (rad 29 i mall EU CC1 Sammansättning av föreskriven kapitalbas).</w:t>
            </w:r>
          </w:p>
        </w:tc>
      </w:tr>
      <w:tr w:rsidR="00232C88" w:rsidRPr="00232C88" w14:paraId="4CB4023A" w14:textId="77777777" w:rsidTr="65F04A31">
        <w:trPr>
          <w:trHeight w:val="436"/>
        </w:trPr>
        <w:tc>
          <w:tcPr>
            <w:tcW w:w="1384" w:type="dxa"/>
          </w:tcPr>
          <w:p w14:paraId="71F49FF4" w14:textId="77777777" w:rsidR="00EC3DC7" w:rsidRPr="00232C88" w:rsidRDefault="00EC3DC7" w:rsidP="00EC3DC7">
            <w:pPr>
              <w:pStyle w:val="Applicationdirecte"/>
              <w:spacing w:before="60"/>
              <w:jc w:val="center"/>
            </w:pPr>
            <w:r>
              <w:t xml:space="preserve">2</w:t>
            </w:r>
          </w:p>
        </w:tc>
        <w:tc>
          <w:tcPr>
            <w:tcW w:w="7655" w:type="dxa"/>
          </w:tcPr>
          <w:p w14:paraId="50A949BA" w14:textId="77777777" w:rsidR="00EC3DC7" w:rsidRPr="00232C88" w:rsidRDefault="00EC3DC7" w:rsidP="00EC3DC7">
            <w:pPr>
              <w:spacing w:before="60"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Primärkapital</w:t>
            </w:r>
          </w:p>
          <w:p w14:paraId="097E489A" w14:textId="1AD80C12" w:rsidR="00EC3DC7" w:rsidRPr="00232C88" w:rsidRDefault="00EC3DC7" w:rsidP="00605635">
            <w:pPr>
              <w:spacing w:before="60"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Beloppet av primärkapital ska vara det belopp som offentliggörs av instituten enligt bilaga VII till EBA:s it-lösningar (rad 45 i mall EU CC1 Sammansättning av föreskriven kapitalbas).</w:t>
            </w:r>
          </w:p>
        </w:tc>
      </w:tr>
      <w:tr w:rsidR="00232C88" w:rsidRPr="00232C88" w14:paraId="67C2637C" w14:textId="77777777" w:rsidTr="65F04A31">
        <w:trPr>
          <w:trHeight w:val="557"/>
        </w:trPr>
        <w:tc>
          <w:tcPr>
            <w:tcW w:w="1384" w:type="dxa"/>
          </w:tcPr>
          <w:p w14:paraId="30C65372" w14:textId="77777777" w:rsidR="00EC3DC7" w:rsidRPr="00232C88" w:rsidRDefault="009D2A94" w:rsidP="00EC3DC7">
            <w:pPr>
              <w:pStyle w:val="Applicationdirecte"/>
              <w:spacing w:before="60"/>
              <w:jc w:val="center"/>
            </w:pPr>
            <w:r>
              <w:t xml:space="preserve">3</w:t>
            </w:r>
          </w:p>
        </w:tc>
        <w:tc>
          <w:tcPr>
            <w:tcW w:w="7655" w:type="dxa"/>
          </w:tcPr>
          <w:p w14:paraId="437C173A" w14:textId="77777777" w:rsidR="009D2A94" w:rsidRPr="00232C88" w:rsidRDefault="009D2A94" w:rsidP="00EC3DC7">
            <w:pPr>
              <w:spacing w:before="60"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Totalt kapital</w:t>
            </w:r>
          </w:p>
          <w:p w14:paraId="0A93EB9C" w14:textId="0DED50A4" w:rsidR="00EC3DC7" w:rsidRPr="00232C88" w:rsidRDefault="00EC3DC7" w:rsidP="00605635">
            <w:pPr>
              <w:spacing w:before="6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Beloppet av totalt kapital ska vara det belopp som offentliggörs av instituten enligt bilaga VII till EBA:s it-lösningar (rad 59 i mall EU CC1 Sammansättning av föreskriven kapitalbas).</w:t>
            </w:r>
          </w:p>
        </w:tc>
      </w:tr>
      <w:tr w:rsidR="00232C88" w:rsidRPr="00232C88" w14:paraId="30D8C6AD" w14:textId="77777777" w:rsidTr="65F04A31">
        <w:trPr>
          <w:trHeight w:val="557"/>
        </w:trPr>
        <w:tc>
          <w:tcPr>
            <w:tcW w:w="1384" w:type="dxa"/>
          </w:tcPr>
          <w:p w14:paraId="276F8582" w14:textId="77777777" w:rsidR="00EC3DC7" w:rsidRPr="00232C88" w:rsidRDefault="009D2A94" w:rsidP="00EC3DC7">
            <w:pPr>
              <w:pStyle w:val="Applicationdirecte"/>
              <w:spacing w:before="60"/>
              <w:jc w:val="center"/>
            </w:pPr>
            <w:r>
              <w:t xml:space="preserve">4</w:t>
            </w:r>
          </w:p>
        </w:tc>
        <w:tc>
          <w:tcPr>
            <w:tcW w:w="7655" w:type="dxa"/>
          </w:tcPr>
          <w:p w14:paraId="7C61908F" w14:textId="1295D816" w:rsidR="009D2A94" w:rsidRPr="00232C88" w:rsidRDefault="009D2A94" w:rsidP="009D2A94">
            <w:pPr>
              <w:spacing w:before="60"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Totalt riskvägt exponeringsbelopp</w:t>
            </w:r>
          </w:p>
          <w:p w14:paraId="45F3B0F7" w14:textId="72865B99" w:rsidR="00EC3DC7" w:rsidRPr="00232C88" w:rsidRDefault="00EC3DC7" w:rsidP="00402F34">
            <w:pPr>
              <w:spacing w:before="6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Beloppet av totalt riskvägt exponeringsbelopp ska vara det belopp som offentliggörs av instituten enligt bilaga VII till EBA:s it-lösningar (rad 60 i mall EU CC1 Sammansättning av föreskriven kapitalbas).</w:t>
            </w:r>
          </w:p>
        </w:tc>
      </w:tr>
      <w:tr w:rsidR="00232C88" w:rsidRPr="00232C88" w14:paraId="65D7DB43" w14:textId="77777777" w:rsidTr="65F04A31">
        <w:trPr>
          <w:trHeight w:val="557"/>
        </w:trPr>
        <w:tc>
          <w:tcPr>
            <w:tcW w:w="1384" w:type="dxa"/>
          </w:tcPr>
          <w:p w14:paraId="658ACA13" w14:textId="232BF598" w:rsidR="00C77B80" w:rsidRPr="00232C88" w:rsidRDefault="00C77B80" w:rsidP="00EC3DC7">
            <w:pPr>
              <w:pStyle w:val="Applicationdirecte"/>
              <w:spacing w:before="60"/>
              <w:jc w:val="center"/>
            </w:pPr>
            <w:r>
              <w:t xml:space="preserve">4a</w:t>
            </w:r>
          </w:p>
        </w:tc>
        <w:tc>
          <w:tcPr>
            <w:tcW w:w="7655" w:type="dxa"/>
          </w:tcPr>
          <w:p w14:paraId="0936DD42" w14:textId="45382108" w:rsidR="00C77B80" w:rsidRPr="00232C88" w:rsidRDefault="00C77B80" w:rsidP="00475381">
            <w:pPr>
              <w:spacing w:before="60"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Totalt riskvägt exponeringsbelopp före tillämpning av golv</w:t>
            </w:r>
          </w:p>
          <w:p w14:paraId="5D48E490" w14:textId="041CBAFA" w:rsidR="00C77B80" w:rsidRPr="00232C88" w:rsidRDefault="00C77B80" w:rsidP="00BD5160">
            <w:pPr>
              <w:spacing w:before="6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För institut som omfattas av kapitalgolvet enligt artikel 92.3 i förordning (EU) nr 575/2013, beloppet för det totala riskvägda exponeringsbeloppet före tillämpning av golv enligt definitionen i artikel 92.4 i förordning (EU) nr 575/2013.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18771BA3" w14:textId="288ABF45" w:rsidR="00C77B80" w:rsidRPr="00232C88" w:rsidRDefault="00C77B80" w:rsidP="00BD5160">
            <w:pPr>
              <w:spacing w:before="6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För det totala riskvägda exponeringsbeloppet före tillämpning av golv bör det offentliggjorda beloppet utesluta alla justeringar av det totala riskvägda exponeringsbeloppet från tillämpningen av kapitalgolvet.</w:t>
            </w:r>
          </w:p>
        </w:tc>
      </w:tr>
      <w:tr w:rsidR="00232C88" w:rsidRPr="00232C88" w14:paraId="057C7AF3" w14:textId="77777777" w:rsidTr="65F04A31">
        <w:trPr>
          <w:trHeight w:val="557"/>
        </w:trPr>
        <w:tc>
          <w:tcPr>
            <w:tcW w:w="1384" w:type="dxa"/>
          </w:tcPr>
          <w:p w14:paraId="074AB79D" w14:textId="77777777" w:rsidR="00EC3DC7" w:rsidRPr="00232C88" w:rsidRDefault="00475381" w:rsidP="00EC3DC7">
            <w:pPr>
              <w:pStyle w:val="Applicationdirecte"/>
              <w:spacing w:before="60"/>
              <w:jc w:val="center"/>
            </w:pPr>
            <w:r>
              <w:t xml:space="preserve">5</w:t>
            </w:r>
          </w:p>
        </w:tc>
        <w:tc>
          <w:tcPr>
            <w:tcW w:w="7655" w:type="dxa"/>
          </w:tcPr>
          <w:p w14:paraId="5872B091" w14:textId="77777777" w:rsidR="00475381" w:rsidRPr="00232C88" w:rsidRDefault="00475381" w:rsidP="00475381">
            <w:pPr>
              <w:spacing w:before="60"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Kärnprimärkapitalrelation (%)</w:t>
            </w:r>
          </w:p>
          <w:p w14:paraId="42EC7CCC" w14:textId="2AD941C5" w:rsidR="00EC3DC7" w:rsidRPr="00232C88" w:rsidRDefault="00EC3DC7" w:rsidP="00605635">
            <w:pPr>
              <w:spacing w:before="6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Kärnprimärkapitalrelationen ska vara det värde som offentliggörs av instituten enligt bilaga VII till it-lösningarna (rad 61 i mall EU CC1 Sammansättning av föreskriven kapitalbas).</w:t>
            </w:r>
          </w:p>
        </w:tc>
      </w:tr>
      <w:tr w:rsidR="00232C88" w:rsidRPr="00232C88" w14:paraId="268CA2C6" w14:textId="77777777" w:rsidTr="00B06E31">
        <w:trPr>
          <w:trHeight w:val="557"/>
        </w:trPr>
        <w:tc>
          <w:tcPr>
            <w:tcW w:w="1384" w:type="dxa"/>
            <w:shd w:val="clear" w:color="auto" w:fill="D9D9D9" w:themeFill="background1" w:themeFillShade="D9"/>
          </w:tcPr>
          <w:p w14:paraId="53CDC94A" w14:textId="04453DC9" w:rsidR="00C77B80" w:rsidRPr="00232C88" w:rsidRDefault="00C77B80" w:rsidP="00EC3DC7">
            <w:pPr>
              <w:pStyle w:val="Applicationdirecte"/>
              <w:spacing w:before="60"/>
              <w:jc w:val="center"/>
            </w:pPr>
            <w:r>
              <w:t xml:space="preserve">5a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18B00FA6" w14:textId="7901F06D" w:rsidR="00C77B80" w:rsidRPr="00232C88" w:rsidRDefault="00C77B80" w:rsidP="00475381">
            <w:pPr>
              <w:spacing w:before="60"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Ej tillämpligt</w:t>
            </w:r>
          </w:p>
        </w:tc>
      </w:tr>
      <w:tr w:rsidR="00232C88" w:rsidRPr="00232C88" w14:paraId="0ED2B537" w14:textId="77777777" w:rsidTr="65F04A31">
        <w:trPr>
          <w:trHeight w:val="557"/>
        </w:trPr>
        <w:tc>
          <w:tcPr>
            <w:tcW w:w="1384" w:type="dxa"/>
          </w:tcPr>
          <w:p w14:paraId="356C5555" w14:textId="4C703E43" w:rsidR="00C77B80" w:rsidRPr="00232C88" w:rsidRDefault="00C77B80" w:rsidP="00EC3DC7">
            <w:pPr>
              <w:pStyle w:val="Applicationdirecte"/>
              <w:spacing w:before="60"/>
              <w:jc w:val="center"/>
            </w:pPr>
            <w:r>
              <w:t xml:space="preserve">5b</w:t>
            </w:r>
          </w:p>
        </w:tc>
        <w:tc>
          <w:tcPr>
            <w:tcW w:w="7655" w:type="dxa"/>
          </w:tcPr>
          <w:p w14:paraId="74894655" w14:textId="1A88B999" w:rsidR="0082753B" w:rsidRPr="00232C88" w:rsidRDefault="0082753B" w:rsidP="00475381">
            <w:pPr>
              <w:spacing w:before="60"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Kärnprimärkapitalrelation med avseende på totalt riskvägt exponeringsbelopp utan tillämpning av golv (%)</w:t>
            </w:r>
          </w:p>
          <w:p w14:paraId="18127CE4" w14:textId="61371E95" w:rsidR="00C77B80" w:rsidRPr="00232C88" w:rsidRDefault="0082753B" w:rsidP="00BD5160">
            <w:pPr>
              <w:spacing w:before="6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Kärnprimärkapitalrelation enligt definitionen i artikel 92.2 a i förordning (EU) nr 575/2013, uttryckt som en procentandel av det totala riskvägda exponeringsbeloppet beräknat genom att exkludera effekten av kapitalgolvet i enlighet med artikel 92.4 i den förordningen.</w:t>
            </w:r>
          </w:p>
        </w:tc>
      </w:tr>
      <w:tr w:rsidR="00232C88" w:rsidRPr="00232C88" w14:paraId="7836A7D8" w14:textId="77777777" w:rsidTr="65F04A31">
        <w:trPr>
          <w:trHeight w:val="557"/>
        </w:trPr>
        <w:tc>
          <w:tcPr>
            <w:tcW w:w="1384" w:type="dxa"/>
          </w:tcPr>
          <w:p w14:paraId="138571C7" w14:textId="77777777" w:rsidR="00EC3DC7" w:rsidRPr="00232C88" w:rsidRDefault="00475381" w:rsidP="00EC3DC7">
            <w:pPr>
              <w:pStyle w:val="Applicationdirecte"/>
              <w:spacing w:before="60"/>
              <w:jc w:val="center"/>
            </w:pPr>
            <w:r>
              <w:t xml:space="preserve">6</w:t>
            </w:r>
          </w:p>
        </w:tc>
        <w:tc>
          <w:tcPr>
            <w:tcW w:w="7655" w:type="dxa"/>
          </w:tcPr>
          <w:p w14:paraId="016AAD4C" w14:textId="77777777" w:rsidR="00475381" w:rsidRPr="00232C88" w:rsidRDefault="00475381" w:rsidP="00EC3DC7">
            <w:pPr>
              <w:spacing w:before="60"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Primärkapitalrelation (%)</w:t>
            </w:r>
          </w:p>
          <w:p w14:paraId="7486F374" w14:textId="0901D9FC" w:rsidR="00EC3DC7" w:rsidRPr="00232C88" w:rsidRDefault="00EC3DC7" w:rsidP="00605635">
            <w:pPr>
              <w:spacing w:before="6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Primärkapitalrelationen ska vara det värde som offentliggörs av instituten enligt bilaga VII till it-lösningarna (rad 62 i mall EU CC1 Sammansättning av föreskriven kapitalbas).</w:t>
            </w:r>
          </w:p>
        </w:tc>
      </w:tr>
      <w:tr w:rsidR="00232C88" w:rsidRPr="00232C88" w14:paraId="51663248" w14:textId="77777777" w:rsidTr="00CC6BF2">
        <w:trPr>
          <w:trHeight w:val="557"/>
        </w:trPr>
        <w:tc>
          <w:tcPr>
            <w:tcW w:w="1384" w:type="dxa"/>
            <w:shd w:val="clear" w:color="auto" w:fill="D9D9D9" w:themeFill="background1" w:themeFillShade="D9"/>
          </w:tcPr>
          <w:p w14:paraId="0A767DCA" w14:textId="3ED65D39" w:rsidR="00C77B80" w:rsidRPr="00232C88" w:rsidRDefault="00C77B80" w:rsidP="00EC3DC7">
            <w:pPr>
              <w:pStyle w:val="Applicationdirecte"/>
              <w:spacing w:before="60"/>
              <w:jc w:val="center"/>
            </w:pPr>
            <w:r>
              <w:t xml:space="preserve">6a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7EC47051" w14:textId="58A40805" w:rsidR="00C77B80" w:rsidRPr="00232C88" w:rsidRDefault="00C77B80" w:rsidP="00EC3DC7">
            <w:pPr>
              <w:spacing w:before="60"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Ej tillämpligt</w:t>
            </w:r>
          </w:p>
        </w:tc>
      </w:tr>
      <w:tr w:rsidR="00232C88" w:rsidRPr="00232C88" w14:paraId="65A04AA6" w14:textId="77777777" w:rsidTr="65F04A31">
        <w:trPr>
          <w:trHeight w:val="557"/>
        </w:trPr>
        <w:tc>
          <w:tcPr>
            <w:tcW w:w="1384" w:type="dxa"/>
          </w:tcPr>
          <w:p w14:paraId="693ACA6E" w14:textId="07A6683D" w:rsidR="00C77B80" w:rsidRPr="00232C88" w:rsidRDefault="00C77B80" w:rsidP="00EC3DC7">
            <w:pPr>
              <w:pStyle w:val="Applicationdirecte"/>
              <w:spacing w:before="60"/>
              <w:jc w:val="center"/>
            </w:pPr>
            <w:r>
              <w:t xml:space="preserve">6b</w:t>
            </w:r>
          </w:p>
        </w:tc>
        <w:tc>
          <w:tcPr>
            <w:tcW w:w="7655" w:type="dxa"/>
          </w:tcPr>
          <w:p w14:paraId="2E9727DE" w14:textId="57531F92" w:rsidR="0082753B" w:rsidRPr="00232C88" w:rsidRDefault="0082753B" w:rsidP="00EC3DC7">
            <w:pPr>
              <w:spacing w:before="60"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Primärkapitalrelation med avseende på totalt riskvägt exponeringsbelopp utan tillämpning av golv (%)</w:t>
            </w:r>
          </w:p>
          <w:p w14:paraId="0F74D0FB" w14:textId="424C6FBD" w:rsidR="00C77B80" w:rsidRPr="00232C88" w:rsidRDefault="006D6654" w:rsidP="006D6654">
            <w:pPr>
              <w:spacing w:before="6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Primärkapitalrelationen enligt definitionen i artikel 92.2 b i förordning (EU) nr 575/2013, uttryckt som en procentandel av det totala riskvägda exponeringsbeloppet beräknat genom att exkludera effekten av kapitalgolvet i enlighet med artikel 92.4 i den förordningen.</w:t>
            </w:r>
          </w:p>
        </w:tc>
      </w:tr>
      <w:tr w:rsidR="00232C88" w:rsidRPr="00232C88" w14:paraId="43011D7B" w14:textId="77777777" w:rsidTr="65F04A31">
        <w:trPr>
          <w:trHeight w:val="557"/>
        </w:trPr>
        <w:tc>
          <w:tcPr>
            <w:tcW w:w="1384" w:type="dxa"/>
          </w:tcPr>
          <w:p w14:paraId="63D1F4D7" w14:textId="77777777" w:rsidR="00EC3DC7" w:rsidRPr="00232C88" w:rsidRDefault="00475381" w:rsidP="00475381">
            <w:pPr>
              <w:pStyle w:val="Applicationdirecte"/>
              <w:spacing w:before="60"/>
              <w:jc w:val="center"/>
            </w:pPr>
            <w:r>
              <w:t xml:space="preserve">7</w:t>
            </w:r>
          </w:p>
        </w:tc>
        <w:tc>
          <w:tcPr>
            <w:tcW w:w="7655" w:type="dxa"/>
          </w:tcPr>
          <w:p w14:paraId="08AAC130" w14:textId="77777777" w:rsidR="00475381" w:rsidRPr="00232C88" w:rsidRDefault="00475381" w:rsidP="00475381">
            <w:pPr>
              <w:spacing w:before="60"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Total kapitalrelation (%)</w:t>
            </w:r>
          </w:p>
          <w:p w14:paraId="19C20331" w14:textId="00E3DB52" w:rsidR="00EC3DC7" w:rsidRPr="00232C88" w:rsidRDefault="00EC3DC7" w:rsidP="00605635">
            <w:pPr>
              <w:spacing w:before="6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Den totala kapitalrelationen ska vara det värde som offentliggörs av instituten enligt bilaga VII till it-lösningarna (rad 63 i mall EU CC1 Sammansättning av föreskriven kapitalbas).</w:t>
            </w:r>
          </w:p>
        </w:tc>
      </w:tr>
      <w:tr w:rsidR="00232C88" w:rsidRPr="00232C88" w14:paraId="3497F846" w14:textId="77777777" w:rsidTr="00CC6BF2">
        <w:trPr>
          <w:trHeight w:val="557"/>
        </w:trPr>
        <w:tc>
          <w:tcPr>
            <w:tcW w:w="1384" w:type="dxa"/>
            <w:shd w:val="clear" w:color="auto" w:fill="D9D9D9" w:themeFill="background1" w:themeFillShade="D9"/>
          </w:tcPr>
          <w:p w14:paraId="6067F97B" w14:textId="60A7DA66" w:rsidR="00C77B80" w:rsidRPr="00232C88" w:rsidRDefault="00C77B80" w:rsidP="00475381">
            <w:pPr>
              <w:pStyle w:val="Applicationdirecte"/>
              <w:spacing w:before="60"/>
              <w:jc w:val="center"/>
            </w:pPr>
            <w:r>
              <w:t xml:space="preserve">7a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0FDAD115" w14:textId="5A4CF36D" w:rsidR="00C77B80" w:rsidRPr="00232C88" w:rsidRDefault="00C77B80" w:rsidP="00475381">
            <w:pPr>
              <w:spacing w:before="60"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Ej tillämpligt</w:t>
            </w:r>
          </w:p>
        </w:tc>
      </w:tr>
      <w:tr w:rsidR="00232C88" w:rsidRPr="00232C88" w14:paraId="4795BFC4" w14:textId="77777777" w:rsidTr="65F04A31">
        <w:trPr>
          <w:trHeight w:val="557"/>
        </w:trPr>
        <w:tc>
          <w:tcPr>
            <w:tcW w:w="1384" w:type="dxa"/>
          </w:tcPr>
          <w:p w14:paraId="65A910C1" w14:textId="24F06232" w:rsidR="00C77B80" w:rsidRPr="00232C88" w:rsidRDefault="0082753B" w:rsidP="00475381">
            <w:pPr>
              <w:pStyle w:val="Applicationdirecte"/>
              <w:spacing w:before="60"/>
              <w:jc w:val="center"/>
            </w:pPr>
            <w:r>
              <w:t xml:space="preserve">7b</w:t>
            </w:r>
          </w:p>
        </w:tc>
        <w:tc>
          <w:tcPr>
            <w:tcW w:w="7655" w:type="dxa"/>
          </w:tcPr>
          <w:p w14:paraId="14B57CE4" w14:textId="77777777" w:rsidR="006D6654" w:rsidRPr="00232C88" w:rsidRDefault="006D6654" w:rsidP="00475381">
            <w:pPr>
              <w:spacing w:before="60"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Total kapitalrelation med avseende på totalt riskvägt exponeringsbelopp utan tillämpning av golv (%)</w:t>
            </w:r>
          </w:p>
          <w:p w14:paraId="21F4A0BE" w14:textId="255C233C" w:rsidR="00C77B80" w:rsidRPr="00232C88" w:rsidRDefault="006D6654" w:rsidP="006D6654">
            <w:pPr>
              <w:spacing w:before="6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Den totala kapitalrelationen enligt definitionen i artikel 92.2 c i förordning (EU) nr 575/2013, uttryckt som en procentandel av det totala riskvägda exponeringsbeloppet beräknat genom att exkludera effekten av kapitalgolvet i enlighet med artikel 92.4 i den förordningen.</w:t>
            </w:r>
          </w:p>
        </w:tc>
      </w:tr>
      <w:tr w:rsidR="00232C88" w:rsidRPr="00232C88" w14:paraId="3536040C" w14:textId="77777777" w:rsidTr="65F04A31">
        <w:trPr>
          <w:trHeight w:val="557"/>
        </w:trPr>
        <w:tc>
          <w:tcPr>
            <w:tcW w:w="1384" w:type="dxa"/>
          </w:tcPr>
          <w:p w14:paraId="1CD4D7BE" w14:textId="5AC0868B" w:rsidR="002D5755" w:rsidRPr="00232C88" w:rsidRDefault="002F1302" w:rsidP="002D5755">
            <w:pPr>
              <w:pStyle w:val="Applicationdirecte"/>
              <w:spacing w:before="60"/>
              <w:jc w:val="center"/>
            </w:pPr>
            <w:r>
              <w:t xml:space="preserve">EU 7d</w:t>
            </w:r>
          </w:p>
        </w:tc>
        <w:tc>
          <w:tcPr>
            <w:tcW w:w="7655" w:type="dxa"/>
          </w:tcPr>
          <w:p w14:paraId="2C65689E" w14:textId="168A8882" w:rsidR="002D5755" w:rsidRPr="00232C88" w:rsidRDefault="00974607" w:rsidP="002D5755">
            <w:pPr>
              <w:spacing w:before="60"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Ytterligare kapitalbaskrav för att hantera andra risker än risken för alltför låg bruttosoliditet (%)</w:t>
            </w:r>
          </w:p>
          <w:p w14:paraId="496B5202" w14:textId="406185AC" w:rsidR="002D5755" w:rsidRPr="00232C88" w:rsidRDefault="6A3DBE6D" w:rsidP="4D769726">
            <w:pPr>
              <w:spacing w:before="6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Ytterligare kapitalbaskrav för att hantera andra risker än risken för alltför låg bruttosoliditet som införts av den behöriga myndigheten enligt artikel 104.1 a i direktiv 2013/36/EU, uttryckta som en procentandel av det totala riskvägda exponeringsbeloppet.</w:t>
            </w:r>
          </w:p>
        </w:tc>
      </w:tr>
      <w:tr w:rsidR="00232C88" w:rsidRPr="00232C88" w14:paraId="7325A7E2" w14:textId="77777777" w:rsidTr="65F04A31">
        <w:trPr>
          <w:trHeight w:val="557"/>
        </w:trPr>
        <w:tc>
          <w:tcPr>
            <w:tcW w:w="1384" w:type="dxa"/>
          </w:tcPr>
          <w:p w14:paraId="74461AB8" w14:textId="5B8686E2" w:rsidR="002D5755" w:rsidRPr="00232C88" w:rsidRDefault="002F1302" w:rsidP="002D5755">
            <w:pPr>
              <w:pStyle w:val="Applicationdirecte"/>
              <w:spacing w:before="60"/>
              <w:jc w:val="center"/>
            </w:pPr>
            <w:r>
              <w:t xml:space="preserve">EU 7e</w:t>
            </w:r>
          </w:p>
        </w:tc>
        <w:tc>
          <w:tcPr>
            <w:tcW w:w="7655" w:type="dxa"/>
          </w:tcPr>
          <w:p w14:paraId="407C074B" w14:textId="466990AF" w:rsidR="002D5755" w:rsidRPr="00232C88" w:rsidRDefault="002B7ED3" w:rsidP="002D5755">
            <w:pPr>
              <w:spacing w:before="60"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    </w:t>
            </w:r>
            <w:r>
              <w:rPr>
                <w:sz w:val="24"/>
                <w:b/>
                <w:rFonts w:ascii="Times New Roman" w:hAnsi="Times New Roman"/>
              </w:rPr>
              <w:t xml:space="preserve">varav</w:t>
            </w:r>
            <w:r>
              <w:rPr>
                <w:sz w:val="24"/>
                <w:b/>
                <w:rFonts w:ascii="Times New Roman" w:hAnsi="Times New Roman"/>
              </w:rPr>
              <w:t xml:space="preserve"> </w:t>
            </w:r>
            <w:r>
              <w:rPr>
                <w:sz w:val="24"/>
                <w:b/>
                <w:rFonts w:ascii="Times New Roman" w:hAnsi="Times New Roman"/>
              </w:rPr>
              <w:t xml:space="preserve">ska utgöras av kärnprimärkapital (procentenheter)</w:t>
            </w:r>
          </w:p>
          <w:p w14:paraId="7130AB39" w14:textId="7851E9C1" w:rsidR="003F72E2" w:rsidRPr="00232C88" w:rsidRDefault="37B2E115" w:rsidP="4D769726">
            <w:pPr>
              <w:spacing w:before="6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Den del av de ytterligare kapitalbaskrav för att hantera andra risker än risken för alltför låg bruttosoliditet som införts av den behöriga myndigheten enligt artikel 104.1 a i direktiv 2013/36/EU, som måste uppfyllas med kärnprimärkapital i enlighet med artikel 104a.4 första och tredje stycket.</w:t>
            </w:r>
          </w:p>
        </w:tc>
      </w:tr>
      <w:tr w:rsidR="00232C88" w:rsidRPr="00232C88" w14:paraId="0E6077DA" w14:textId="77777777" w:rsidTr="65F04A31">
        <w:trPr>
          <w:trHeight w:val="557"/>
        </w:trPr>
        <w:tc>
          <w:tcPr>
            <w:tcW w:w="1384" w:type="dxa"/>
          </w:tcPr>
          <w:p w14:paraId="06A684D0" w14:textId="0E73557C" w:rsidR="002D5755" w:rsidRPr="00232C88" w:rsidRDefault="002F1302" w:rsidP="002D5755">
            <w:pPr>
              <w:pStyle w:val="Applicationdirecte"/>
              <w:spacing w:before="60"/>
              <w:jc w:val="center"/>
            </w:pPr>
            <w:r>
              <w:t xml:space="preserve">EU 7f</w:t>
            </w:r>
          </w:p>
        </w:tc>
        <w:tc>
          <w:tcPr>
            <w:tcW w:w="7655" w:type="dxa"/>
          </w:tcPr>
          <w:p w14:paraId="3D41CED8" w14:textId="5A42D7CA" w:rsidR="002D5755" w:rsidRPr="00232C88" w:rsidRDefault="002B7ED3" w:rsidP="002D5755">
            <w:pPr>
              <w:spacing w:before="60"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    </w:t>
            </w:r>
            <w:r>
              <w:rPr>
                <w:sz w:val="24"/>
                <w:b/>
                <w:rFonts w:ascii="Times New Roman" w:hAnsi="Times New Roman"/>
              </w:rPr>
              <w:t xml:space="preserve">varav</w:t>
            </w:r>
            <w:r>
              <w:rPr>
                <w:sz w:val="24"/>
                <w:b/>
                <w:rFonts w:ascii="Times New Roman" w:hAnsi="Times New Roman"/>
              </w:rPr>
              <w:t xml:space="preserve"> </w:t>
            </w:r>
            <w:r>
              <w:rPr>
                <w:sz w:val="24"/>
                <w:b/>
                <w:rFonts w:ascii="Times New Roman" w:hAnsi="Times New Roman"/>
              </w:rPr>
              <w:t xml:space="preserve">ska utgöras av primärkapital (procentenheter)</w:t>
            </w:r>
          </w:p>
          <w:p w14:paraId="20A8FF8D" w14:textId="79818759" w:rsidR="003F72E2" w:rsidRPr="00232C88" w:rsidRDefault="6A3DBE6D" w:rsidP="4D769726">
            <w:pPr>
              <w:spacing w:before="6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Den del av de ytterligare kapitalbaskrav för att hantera andra risker än risken för alltför låg bruttosoliditet som införts av den behöriga myndigheten enligt artikel 104.1 a i direktiv 2013/36/EU, som måste uppfyllas med primärkapital i enlighet med artikel 104a.4 första och tredje stycket.</w:t>
            </w:r>
          </w:p>
        </w:tc>
      </w:tr>
      <w:tr w:rsidR="00232C88" w:rsidRPr="00232C88" w14:paraId="4D2E0DD8" w14:textId="77777777" w:rsidTr="65F04A31">
        <w:trPr>
          <w:trHeight w:val="557"/>
        </w:trPr>
        <w:tc>
          <w:tcPr>
            <w:tcW w:w="1384" w:type="dxa"/>
          </w:tcPr>
          <w:p w14:paraId="25E29F71" w14:textId="185B7F00" w:rsidR="002D5755" w:rsidRPr="00232C88" w:rsidRDefault="002F1302" w:rsidP="002D5755">
            <w:pPr>
              <w:pStyle w:val="Applicationdirecte"/>
              <w:spacing w:before="60"/>
              <w:jc w:val="center"/>
            </w:pPr>
            <w:r>
              <w:t xml:space="preserve">EU 7g</w:t>
            </w:r>
          </w:p>
        </w:tc>
        <w:tc>
          <w:tcPr>
            <w:tcW w:w="7655" w:type="dxa"/>
          </w:tcPr>
          <w:p w14:paraId="020B8334" w14:textId="77777777" w:rsidR="002D5755" w:rsidRPr="00232C88" w:rsidRDefault="002D5755" w:rsidP="002D5755">
            <w:pPr>
              <w:spacing w:before="60"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Totala kapitalbaskrav för översyns- och utvärderingsprocessen (TSCR-relation) (%)</w:t>
            </w:r>
          </w:p>
          <w:p w14:paraId="0EB50A81" w14:textId="77CE0E9A" w:rsidR="003F72E2" w:rsidRPr="00677BB2" w:rsidRDefault="003F72E2" w:rsidP="00677BB2">
            <w:pPr>
              <w:pStyle w:val="InstructionsText"/>
            </w:pPr>
            <w:r>
              <w:t xml:space="preserve">Summan av de värden som fastställts enligt leden i och ii enligt följande:</w:t>
            </w:r>
          </w:p>
          <w:p w14:paraId="5260BB93" w14:textId="1D865CC9" w:rsidR="003F72E2" w:rsidRPr="00677BB2" w:rsidRDefault="003F72E2" w:rsidP="00677BB2">
            <w:pPr>
              <w:pStyle w:val="InstructionsText"/>
              <w:numPr>
                <w:ilvl w:val="0"/>
                <w:numId w:val="12"/>
              </w:numPr>
            </w:pPr>
            <w:r>
              <w:t xml:space="preserve">Den totala kapitalrelationen (8 %) enligt vad som anges i artikel 92.1 c i förordning (EU) nr 575/2013,</w:t>
            </w:r>
            <w:r>
              <w:t xml:space="preserve"> </w:t>
            </w:r>
          </w:p>
          <w:p w14:paraId="6408D689" w14:textId="2B5BF350" w:rsidR="003F72E2" w:rsidRPr="00677BB2" w:rsidRDefault="77E19EAF" w:rsidP="00677BB2">
            <w:pPr>
              <w:pStyle w:val="InstructionsText"/>
              <w:numPr>
                <w:ilvl w:val="0"/>
                <w:numId w:val="12"/>
              </w:numPr>
            </w:pPr>
            <w:r>
              <w:t xml:space="preserve">de ytterligare kapitalbaskrav för att hantera andra risker än risken för alltför låg bruttosoliditet (krav enligt andra pelaren – P2R) som införts av den behöriga myndigheten enligt artikel 104.1 a i direktiv 2013/36/EU och som fastställts i enlighet med de kriterier som anges i riktlinjerna EBA/GL/2018/03</w:t>
            </w:r>
            <w:r w:rsidR="00D35D87" w:rsidRPr="00DB3BA4">
              <w:rPr>
                <w:rStyle w:val="FootnoteReference"/>
                <w:rFonts w:ascii="Times New Roman" w:hAnsi="Times New Roman"/>
                <w:b w:val="0"/>
                <w:bCs w:val="0"/>
                <w:i/>
              </w:rPr>
              <w:footnoteReference w:id="3"/>
            </w:r>
            <w:r>
              <w:t xml:space="preserve"> (</w:t>
            </w:r>
            <w:r>
              <w:rPr>
                <w:i/>
                <w:iCs/>
              </w:rPr>
              <w:t xml:space="preserve">EBA:s SREP GL</w:t>
            </w:r>
            <w:r>
              <w:t xml:space="preserve">), uttryckta som en procentandel av de totala riskvägda exponeringsbeloppen.</w:t>
            </w:r>
          </w:p>
          <w:p w14:paraId="421B2155" w14:textId="458E132C" w:rsidR="003F72E2" w:rsidRPr="00677BB2" w:rsidRDefault="003F72E2" w:rsidP="00677BB2">
            <w:pPr>
              <w:pStyle w:val="InstructionsText"/>
            </w:pPr>
            <w:r>
              <w:t xml:space="preserve">Denna post ska återspegla den totala ÖUP-kapitalkravsrelation (TSCR) som meddelas till institutet av den behöriga myndigheten.</w:t>
            </w:r>
            <w:r>
              <w:t xml:space="preserve"> </w:t>
            </w:r>
            <w:r>
              <w:t xml:space="preserve">TSCR definieras i avsnitt 7.4 och 7.5 i EBA:s SREP GL.</w:t>
            </w:r>
          </w:p>
          <w:p w14:paraId="16E68C5B" w14:textId="77777777" w:rsidR="009E1F4E" w:rsidRPr="00677BB2" w:rsidRDefault="009E1F4E" w:rsidP="00677BB2">
            <w:pPr>
              <w:pStyle w:val="InstructionsText"/>
            </w:pPr>
            <w:r>
              <w:t xml:space="preserve">Om institutet är bundet av kapitalgolvet ska de rapporterade uppgifterna motsvara den TSCR som krävs för att uppfylla kraven på rapporteringsdagen med beaktande av bestämmelserna i artikel 104a.6 i direktiv 2013/36/EU.</w:t>
            </w:r>
          </w:p>
          <w:p w14:paraId="25DA925F" w14:textId="2F58FE29" w:rsidR="003F72E2" w:rsidRPr="00232C88" w:rsidRDefault="00704085" w:rsidP="00A239F6">
            <w:pPr>
              <w:spacing w:before="6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Om inga ytterligare kapitalbaskrav som införts för att hantera andra risker än risken för alltför låg bruttosoliditet har meddelats av den behöriga myndigheten ska endast led i offentliggöras.</w:t>
            </w:r>
          </w:p>
        </w:tc>
      </w:tr>
      <w:tr w:rsidR="00232C88" w:rsidRPr="00232C88" w14:paraId="7516E1D9" w14:textId="77777777" w:rsidTr="65F04A31">
        <w:trPr>
          <w:trHeight w:val="557"/>
        </w:trPr>
        <w:tc>
          <w:tcPr>
            <w:tcW w:w="1384" w:type="dxa"/>
          </w:tcPr>
          <w:p w14:paraId="7AD5EE4F" w14:textId="77777777" w:rsidR="00475381" w:rsidRPr="00232C88" w:rsidRDefault="00475381" w:rsidP="00475381">
            <w:pPr>
              <w:pStyle w:val="Applicationdirecte"/>
              <w:spacing w:before="60"/>
              <w:jc w:val="center"/>
            </w:pPr>
            <w:r>
              <w:t xml:space="preserve">8</w:t>
            </w:r>
          </w:p>
        </w:tc>
        <w:tc>
          <w:tcPr>
            <w:tcW w:w="7655" w:type="dxa"/>
          </w:tcPr>
          <w:p w14:paraId="7C243A8A" w14:textId="77777777" w:rsidR="009D0637" w:rsidRPr="00232C88" w:rsidRDefault="00475381" w:rsidP="00475381">
            <w:pPr>
              <w:spacing w:before="60"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Kapitalkonserveringsbuffert (%)</w:t>
            </w:r>
          </w:p>
          <w:p w14:paraId="14E6CB6D" w14:textId="08A78286" w:rsidR="009D0637" w:rsidRPr="00232C88" w:rsidRDefault="3FBF28E0" w:rsidP="4D769726">
            <w:pPr>
              <w:spacing w:before="6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Det kapitalbasbelopp som instituten är skyldiga att upprätthålla i enlighet med artikel 128.1 och artikel 129 i direktiv 2013/36/EU, uttryckt som en procentandel av de totala riskvägda exponeringsbeloppen.</w:t>
            </w:r>
          </w:p>
        </w:tc>
      </w:tr>
      <w:tr w:rsidR="00232C88" w:rsidRPr="00232C88" w14:paraId="7AFB85EC" w14:textId="77777777" w:rsidTr="65F04A31">
        <w:trPr>
          <w:trHeight w:val="557"/>
        </w:trPr>
        <w:tc>
          <w:tcPr>
            <w:tcW w:w="1384" w:type="dxa"/>
          </w:tcPr>
          <w:p w14:paraId="09E32617" w14:textId="77777777" w:rsidR="00475381" w:rsidRPr="00232C88" w:rsidRDefault="002F1302" w:rsidP="00475381">
            <w:pPr>
              <w:pStyle w:val="Applicationdirecte"/>
              <w:spacing w:before="60"/>
              <w:jc w:val="center"/>
            </w:pPr>
            <w:r>
              <w:t xml:space="preserve">EU 8a</w:t>
            </w:r>
          </w:p>
        </w:tc>
        <w:tc>
          <w:tcPr>
            <w:tcW w:w="7655" w:type="dxa"/>
          </w:tcPr>
          <w:p w14:paraId="6A38F554" w14:textId="77777777" w:rsidR="00475381" w:rsidRPr="00232C88" w:rsidRDefault="00475381" w:rsidP="00475381">
            <w:pPr>
              <w:spacing w:before="60"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Konserveringsbuffert på grund av makrotillsynsrisker eller systemrisker identifierade på medlemsstatsnivå (%)</w:t>
            </w:r>
          </w:p>
          <w:p w14:paraId="26288177" w14:textId="7E210F32" w:rsidR="009D0637" w:rsidRPr="00232C88" w:rsidRDefault="009D0637" w:rsidP="0097538A">
            <w:pPr>
              <w:spacing w:before="6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Beloppet av den konserveringsbuffert på grund av makrotillsynsrisker eller systemrisker identifierade på medlemsstatsnivå som kan krävas utöver kapitalkonserveringsbufferten i enlighet med artikel 458 i förordning (EU) nr 575/2013, uttryckt som en procentandel av de totala riskvägda exponeringsbeloppen.</w:t>
            </w:r>
          </w:p>
        </w:tc>
      </w:tr>
      <w:tr w:rsidR="00232C88" w:rsidRPr="00232C88" w14:paraId="08946B6B" w14:textId="77777777" w:rsidTr="65F04A31">
        <w:trPr>
          <w:trHeight w:val="557"/>
        </w:trPr>
        <w:tc>
          <w:tcPr>
            <w:tcW w:w="1384" w:type="dxa"/>
          </w:tcPr>
          <w:p w14:paraId="1E4DAAD1" w14:textId="77777777" w:rsidR="00475381" w:rsidRPr="00232C88" w:rsidRDefault="00475381" w:rsidP="00475381">
            <w:pPr>
              <w:pStyle w:val="Applicationdirecte"/>
              <w:spacing w:before="60"/>
              <w:jc w:val="center"/>
            </w:pPr>
            <w:r>
              <w:t xml:space="preserve">9</w:t>
            </w:r>
          </w:p>
        </w:tc>
        <w:tc>
          <w:tcPr>
            <w:tcW w:w="7655" w:type="dxa"/>
          </w:tcPr>
          <w:p w14:paraId="249EE5F9" w14:textId="77777777" w:rsidR="00475381" w:rsidRPr="00232C88" w:rsidRDefault="00475381" w:rsidP="00475381">
            <w:pPr>
              <w:spacing w:before="60"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Institutspecifik kontracyklisk kapitalbuffert (%)</w:t>
            </w:r>
          </w:p>
          <w:p w14:paraId="7EE95752" w14:textId="048F4470" w:rsidR="008C672C" w:rsidRPr="00677BB2" w:rsidRDefault="59C8E997" w:rsidP="00677BB2">
            <w:pPr>
              <w:pStyle w:val="InstructionsText"/>
            </w:pPr>
            <w:r>
              <w:t xml:space="preserve">Det kapitalbasbelopp som instituten är skyldiga att upprätthålla i enlighet med artikel 128.2, artikel 130 och artiklarna 135–140 i direktiv 2013/36/EU, uttryckt som en procentandel av de totala riskvägda exponeringsbeloppen.</w:t>
            </w:r>
          </w:p>
          <w:p w14:paraId="58C7EB22" w14:textId="2947DC9F" w:rsidR="008C672C" w:rsidRPr="00232C88" w:rsidRDefault="008C672C" w:rsidP="002635C4">
            <w:pPr>
              <w:spacing w:before="6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Procentandelen ska återspegla det kapitalbasbelopp som behövs för att uppfylla respektive kapitalbuffertkrav på offentliggörandedagen.</w:t>
            </w:r>
          </w:p>
        </w:tc>
      </w:tr>
      <w:tr w:rsidR="00232C88" w:rsidRPr="00232C88" w14:paraId="5668949F" w14:textId="77777777" w:rsidTr="65F04A31">
        <w:trPr>
          <w:trHeight w:val="557"/>
        </w:trPr>
        <w:tc>
          <w:tcPr>
            <w:tcW w:w="1384" w:type="dxa"/>
          </w:tcPr>
          <w:p w14:paraId="40E9A935" w14:textId="77777777" w:rsidR="00475381" w:rsidRPr="00232C88" w:rsidRDefault="002F1302" w:rsidP="00475381">
            <w:pPr>
              <w:pStyle w:val="Applicationdirecte"/>
              <w:spacing w:before="60"/>
              <w:jc w:val="center"/>
            </w:pPr>
            <w:r>
              <w:t xml:space="preserve">EU 9a</w:t>
            </w:r>
          </w:p>
        </w:tc>
        <w:tc>
          <w:tcPr>
            <w:tcW w:w="7655" w:type="dxa"/>
          </w:tcPr>
          <w:p w14:paraId="5F0D3F14" w14:textId="77777777" w:rsidR="00475381" w:rsidRPr="00232C88" w:rsidRDefault="00475381" w:rsidP="00475381">
            <w:pPr>
              <w:spacing w:before="60"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Systemriskbuffert (%)</w:t>
            </w:r>
          </w:p>
          <w:p w14:paraId="1A39C087" w14:textId="523BD954" w:rsidR="008C672C" w:rsidRPr="00677BB2" w:rsidRDefault="59C8E997" w:rsidP="00677BB2">
            <w:pPr>
              <w:pStyle w:val="InstructionsText"/>
            </w:pPr>
            <w:r>
              <w:t xml:space="preserve">Det kapitalbasbelopp som instituten är skyldiga att upprätthålla i enlighet med artikel 128.5 och artiklarna 133 och 134 i direktiv 2013/36/EU, uttryckt som en procentandel av de totala riskvägda exponeringsbeloppen.</w:t>
            </w:r>
          </w:p>
          <w:p w14:paraId="349BC1DA" w14:textId="39EEC453" w:rsidR="008C672C" w:rsidRPr="00232C88" w:rsidRDefault="008C672C" w:rsidP="002635C4">
            <w:pPr>
              <w:spacing w:before="6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Procentandelen ska återspegla det kapitalbasbelopp som behövs för att uppfylla respektive kapitalbuffertkrav på offentliggörandedagen.</w:t>
            </w:r>
          </w:p>
        </w:tc>
      </w:tr>
      <w:tr w:rsidR="00232C88" w:rsidRPr="00232C88" w14:paraId="7ED5CB15" w14:textId="77777777" w:rsidTr="65F04A31">
        <w:trPr>
          <w:trHeight w:val="557"/>
        </w:trPr>
        <w:tc>
          <w:tcPr>
            <w:tcW w:w="1384" w:type="dxa"/>
          </w:tcPr>
          <w:p w14:paraId="051A7C18" w14:textId="77777777" w:rsidR="00475381" w:rsidRPr="00232C88" w:rsidRDefault="00475381" w:rsidP="00475381">
            <w:pPr>
              <w:pStyle w:val="Applicationdirecte"/>
              <w:spacing w:before="60"/>
              <w:jc w:val="center"/>
            </w:pPr>
            <w:r>
              <w:t xml:space="preserve">10</w:t>
            </w:r>
          </w:p>
        </w:tc>
        <w:tc>
          <w:tcPr>
            <w:tcW w:w="7655" w:type="dxa"/>
          </w:tcPr>
          <w:p w14:paraId="64176082" w14:textId="77777777" w:rsidR="00475381" w:rsidRPr="00232C88" w:rsidRDefault="00475381" w:rsidP="00475381">
            <w:pPr>
              <w:spacing w:before="60"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Buffert för globala systemviktiga institut (%)</w:t>
            </w:r>
          </w:p>
          <w:p w14:paraId="6FDE597A" w14:textId="5D0D3EC2" w:rsidR="00F16314" w:rsidRPr="00677BB2" w:rsidRDefault="564F8672" w:rsidP="00677BB2">
            <w:pPr>
              <w:pStyle w:val="InstructionsText"/>
            </w:pPr>
            <w:r>
              <w:t xml:space="preserve">Det kapitalbasbelopp som instituten är skyldiga att upprätthålla i enlighet med artikel 128.3 och artikel 131 i direktiv 2013/36/EU, uttryckt som en procentandel av de totala riskvägda exponeringsbeloppen.</w:t>
            </w:r>
          </w:p>
          <w:p w14:paraId="401B9FFF" w14:textId="0D3B7616" w:rsidR="00F16314" w:rsidRPr="00232C88" w:rsidRDefault="00F16314" w:rsidP="002635C4">
            <w:pPr>
              <w:spacing w:before="6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Procentandelen ska återspegla det kapitalbasbelopp som behövs för att uppfylla respektive kapitalbuffertkrav på offentliggörandedagen.</w:t>
            </w:r>
          </w:p>
        </w:tc>
      </w:tr>
      <w:tr w:rsidR="00232C88" w:rsidRPr="00232C88" w14:paraId="4FAC19E0" w14:textId="77777777" w:rsidTr="65F04A31">
        <w:trPr>
          <w:trHeight w:val="557"/>
        </w:trPr>
        <w:tc>
          <w:tcPr>
            <w:tcW w:w="1384" w:type="dxa"/>
          </w:tcPr>
          <w:p w14:paraId="6ADCCF79" w14:textId="77777777" w:rsidR="00BB2F0A" w:rsidRPr="00232C88" w:rsidRDefault="002F1302" w:rsidP="00BB2F0A">
            <w:pPr>
              <w:pStyle w:val="Applicationdirecte"/>
              <w:spacing w:before="60"/>
              <w:jc w:val="center"/>
            </w:pPr>
            <w:r>
              <w:t xml:space="preserve">EU 10a</w:t>
            </w:r>
          </w:p>
        </w:tc>
        <w:tc>
          <w:tcPr>
            <w:tcW w:w="7655" w:type="dxa"/>
          </w:tcPr>
          <w:p w14:paraId="3410560F" w14:textId="77777777" w:rsidR="00BB2F0A" w:rsidRPr="00232C88" w:rsidRDefault="00BB2F0A" w:rsidP="00BB2F0A">
            <w:pPr>
              <w:spacing w:before="60"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Buffert för andra systemviktiga institut (%)</w:t>
            </w:r>
          </w:p>
          <w:p w14:paraId="71C25616" w14:textId="2C80B82C" w:rsidR="00F16314" w:rsidRPr="00232C88" w:rsidRDefault="564F8672" w:rsidP="4D769726">
            <w:pPr>
              <w:spacing w:before="6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Det kapitalbasbelopp som instituten är skyldiga att upprätthålla i enlighet med artikel 128.4 och artikel 131 i direktiv 2013/36/EU, uttryckt som en procentandel av de totala riskvägda exponeringsbeloppen.</w:t>
            </w:r>
          </w:p>
          <w:p w14:paraId="476D85A0" w14:textId="40C01166" w:rsidR="00F16314" w:rsidRPr="00232C88" w:rsidRDefault="00F16314" w:rsidP="002635C4">
            <w:pPr>
              <w:spacing w:before="6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Procentandelen ska återspegla det kapitalbasbelopp som behövs för att uppfylla respektive kapitalbuffertkrav på offentliggörandedagen.</w:t>
            </w:r>
          </w:p>
        </w:tc>
      </w:tr>
      <w:tr w:rsidR="00232C88" w:rsidRPr="00232C88" w14:paraId="5C215ABD" w14:textId="77777777" w:rsidTr="65F04A31">
        <w:trPr>
          <w:trHeight w:val="557"/>
        </w:trPr>
        <w:tc>
          <w:tcPr>
            <w:tcW w:w="1384" w:type="dxa"/>
          </w:tcPr>
          <w:p w14:paraId="18697C8C" w14:textId="77777777" w:rsidR="00BB2F0A" w:rsidRPr="00232C88" w:rsidRDefault="00BB2F0A" w:rsidP="00BB2F0A">
            <w:pPr>
              <w:pStyle w:val="Applicationdirecte"/>
              <w:spacing w:before="60"/>
              <w:jc w:val="center"/>
            </w:pPr>
            <w:r>
              <w:t xml:space="preserve">11</w:t>
            </w:r>
          </w:p>
        </w:tc>
        <w:tc>
          <w:tcPr>
            <w:tcW w:w="7655" w:type="dxa"/>
          </w:tcPr>
          <w:p w14:paraId="21DBB5FE" w14:textId="77777777" w:rsidR="00BB2F0A" w:rsidRPr="00232C88" w:rsidRDefault="00BB2F0A" w:rsidP="00BB2F0A">
            <w:pPr>
              <w:spacing w:before="60"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Kombinerat buffertkrav (%)</w:t>
            </w:r>
          </w:p>
          <w:p w14:paraId="04E18E6B" w14:textId="612637D7" w:rsidR="00F16314" w:rsidRPr="00232C88" w:rsidRDefault="009D10AD" w:rsidP="4D769726">
            <w:pPr>
              <w:spacing w:before="6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 enlighet med artikel 128.6 i direktiv 2013/36/EU, uttryckt som en procentandel av de totala riskvägda exponeringsbeloppen.</w:t>
            </w:r>
          </w:p>
        </w:tc>
      </w:tr>
      <w:tr w:rsidR="00232C88" w:rsidRPr="00232C88" w14:paraId="699D0388" w14:textId="77777777" w:rsidTr="65F04A31">
        <w:trPr>
          <w:trHeight w:val="557"/>
        </w:trPr>
        <w:tc>
          <w:tcPr>
            <w:tcW w:w="1384" w:type="dxa"/>
          </w:tcPr>
          <w:p w14:paraId="06A2E386" w14:textId="77777777" w:rsidR="00BB2F0A" w:rsidRPr="00232C88" w:rsidRDefault="002F1302" w:rsidP="00BB2F0A">
            <w:pPr>
              <w:pStyle w:val="Applicationdirecte"/>
              <w:spacing w:before="60"/>
              <w:jc w:val="center"/>
            </w:pPr>
            <w:r>
              <w:t xml:space="preserve">EU 11a</w:t>
            </w:r>
          </w:p>
        </w:tc>
        <w:tc>
          <w:tcPr>
            <w:tcW w:w="7655" w:type="dxa"/>
          </w:tcPr>
          <w:p w14:paraId="31FF3D82" w14:textId="77777777" w:rsidR="00BB2F0A" w:rsidRPr="00232C88" w:rsidRDefault="00BB2F0A" w:rsidP="00BB2F0A">
            <w:pPr>
              <w:spacing w:before="60"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Samlade kapitalkrav (OCR) (%)</w:t>
            </w:r>
          </w:p>
          <w:p w14:paraId="27E7760D" w14:textId="77777777" w:rsidR="003F72E2" w:rsidRPr="00677BB2" w:rsidRDefault="003F72E2" w:rsidP="00677BB2">
            <w:pPr>
              <w:pStyle w:val="InstructionsText"/>
            </w:pPr>
            <w:r>
              <w:t xml:space="preserve">Summan av i) och ii) enligt följande:</w:t>
            </w:r>
          </w:p>
          <w:p w14:paraId="75A891AF" w14:textId="77777777" w:rsidR="003F72E2" w:rsidRPr="00677BB2" w:rsidRDefault="003F72E2" w:rsidP="00677BB2">
            <w:pPr>
              <w:pStyle w:val="InstructionsText"/>
              <w:numPr>
                <w:ilvl w:val="0"/>
                <w:numId w:val="13"/>
              </w:numPr>
            </w:pPr>
            <w:r>
              <w:t xml:space="preserve">TSCR-relationen enligt rad EU 7d,</w:t>
            </w:r>
          </w:p>
          <w:p w14:paraId="5EE9D2EB" w14:textId="1239145E" w:rsidR="003F72E2" w:rsidRPr="00677BB2" w:rsidRDefault="77E19EAF" w:rsidP="00677BB2">
            <w:pPr>
              <w:pStyle w:val="InstructionsText"/>
              <w:numPr>
                <w:ilvl w:val="0"/>
                <w:numId w:val="13"/>
              </w:numPr>
            </w:pPr>
            <w:r>
              <w:t xml:space="preserve">i den mån det är tillämpligt enligt gällande rätt, relationstalet för det kombinerade buffertkrav som avses i artikel 128.6 i direktiv 2013/36/EU.</w:t>
            </w:r>
          </w:p>
          <w:p w14:paraId="4B4D7463" w14:textId="52E60BF7" w:rsidR="003F72E2" w:rsidRPr="00677BB2" w:rsidRDefault="003F72E2" w:rsidP="00677BB2">
            <w:pPr>
              <w:pStyle w:val="InstructionsText"/>
            </w:pPr>
            <w:r>
              <w:t xml:space="preserve">Denna post ska återspegla den samlade kapitalkravsrelation (OCR) som definieras i avsnitt 1.2 i EBA SREP GL.</w:t>
            </w:r>
          </w:p>
          <w:p w14:paraId="7576CCD5" w14:textId="5E65E58F" w:rsidR="003F72E2" w:rsidRPr="00232C88" w:rsidRDefault="00704085" w:rsidP="003F72E2">
            <w:pPr>
              <w:spacing w:before="6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Om inget buffertkrav är tillämpligt ska endast led i offentliggöras.</w:t>
            </w:r>
          </w:p>
        </w:tc>
      </w:tr>
      <w:tr w:rsidR="00232C88" w:rsidRPr="00232C88" w14:paraId="0C274874" w14:textId="77777777" w:rsidTr="65F04A31">
        <w:trPr>
          <w:trHeight w:val="557"/>
        </w:trPr>
        <w:tc>
          <w:tcPr>
            <w:tcW w:w="1384" w:type="dxa"/>
          </w:tcPr>
          <w:p w14:paraId="479D77DC" w14:textId="77777777" w:rsidR="00BB2F0A" w:rsidRPr="00232C88" w:rsidRDefault="00BB2F0A" w:rsidP="00BB2F0A">
            <w:pPr>
              <w:pStyle w:val="Applicationdirecte"/>
              <w:spacing w:before="60"/>
              <w:jc w:val="center"/>
            </w:pPr>
            <w:r>
              <w:t xml:space="preserve">12</w:t>
            </w:r>
          </w:p>
        </w:tc>
        <w:tc>
          <w:tcPr>
            <w:tcW w:w="7655" w:type="dxa"/>
          </w:tcPr>
          <w:p w14:paraId="7F0C0BA2" w14:textId="77777777" w:rsidR="009947D6" w:rsidRPr="00232C88" w:rsidRDefault="00BB2F0A" w:rsidP="00BB2F0A">
            <w:pPr>
              <w:spacing w:before="60"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Tillgängligt kärnprimärkapital efter uppfyllande av de totala kapitalbaskraven för översyns- och utvärderingsprocessen (%)</w:t>
            </w:r>
          </w:p>
        </w:tc>
      </w:tr>
      <w:tr w:rsidR="00232C88" w:rsidRPr="00232C88" w14:paraId="49BB5E23" w14:textId="77777777" w:rsidTr="65F04A31">
        <w:trPr>
          <w:trHeight w:val="557"/>
        </w:trPr>
        <w:tc>
          <w:tcPr>
            <w:tcW w:w="1384" w:type="dxa"/>
          </w:tcPr>
          <w:p w14:paraId="5A1354B1" w14:textId="77777777" w:rsidR="00BB2F0A" w:rsidRPr="00232C88" w:rsidRDefault="00BB2F0A" w:rsidP="00BB2F0A">
            <w:pPr>
              <w:pStyle w:val="Applicationdirecte"/>
              <w:spacing w:before="60"/>
              <w:jc w:val="center"/>
            </w:pPr>
            <w:r>
              <w:t xml:space="preserve">13</w:t>
            </w:r>
          </w:p>
        </w:tc>
        <w:tc>
          <w:tcPr>
            <w:tcW w:w="7655" w:type="dxa"/>
          </w:tcPr>
          <w:p w14:paraId="32A5003D" w14:textId="06248F32" w:rsidR="00BB2F0A" w:rsidRPr="00232C88" w:rsidRDefault="002E24A1" w:rsidP="00BB2F0A">
            <w:pPr>
              <w:spacing w:before="60"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Totalt exponeringsmått</w:t>
            </w:r>
          </w:p>
          <w:p w14:paraId="7F06FA40" w14:textId="4B87FF94" w:rsidR="00BB2F0A" w:rsidRPr="00232C88" w:rsidRDefault="00A239F6" w:rsidP="00A239F6">
            <w:pPr>
              <w:spacing w:before="6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Totalt exponeringsmått i enlighet med det belopp som offentliggörs av instituten enligt bilaga XI till EBA:s it-lösningar (rad 24 i mall EU LR2 - LRCom: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Enhetligt offentliggörande av bruttosoliditetsgrad).</w:t>
            </w:r>
          </w:p>
        </w:tc>
      </w:tr>
      <w:tr w:rsidR="00232C88" w:rsidRPr="00232C88" w14:paraId="196409C3" w14:textId="77777777" w:rsidTr="65F04A31">
        <w:trPr>
          <w:trHeight w:val="557"/>
        </w:trPr>
        <w:tc>
          <w:tcPr>
            <w:tcW w:w="1384" w:type="dxa"/>
          </w:tcPr>
          <w:p w14:paraId="34174C57" w14:textId="77777777" w:rsidR="00BB2F0A" w:rsidRPr="00232C88" w:rsidRDefault="00BB2F0A" w:rsidP="00BB2F0A">
            <w:pPr>
              <w:pStyle w:val="Applicationdirecte"/>
              <w:spacing w:before="60"/>
              <w:jc w:val="center"/>
            </w:pPr>
            <w:r>
              <w:t xml:space="preserve">14</w:t>
            </w:r>
          </w:p>
        </w:tc>
        <w:tc>
          <w:tcPr>
            <w:tcW w:w="7655" w:type="dxa"/>
          </w:tcPr>
          <w:p w14:paraId="7CD88775" w14:textId="77777777" w:rsidR="00BB2F0A" w:rsidRPr="00232C88" w:rsidRDefault="00BB2F0A" w:rsidP="00BB2F0A">
            <w:pPr>
              <w:spacing w:before="60"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Bruttosoliditetsgrad (%)</w:t>
            </w:r>
          </w:p>
          <w:p w14:paraId="19D19C40" w14:textId="760F6920" w:rsidR="00BB2F0A" w:rsidRPr="00232C88" w:rsidRDefault="00BB2F0A" w:rsidP="00416DAD">
            <w:pPr>
              <w:spacing w:before="6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Bruttosoliditetsgrad i enlighet med det värde som offentliggörs av instituten enligt bilaga XI till </w:t>
            </w:r>
            <w:bookmarkStart w:id="10" w:name="_Hlk169692988"/>
            <w:r>
              <w:rPr>
                <w:sz w:val="24"/>
                <w:rFonts w:ascii="Times New Roman" w:hAnsi="Times New Roman"/>
              </w:rPr>
              <w:t xml:space="preserve">EBA:s it-lösningar</w:t>
            </w:r>
            <w:bookmarkEnd w:id="10"/>
            <w:r>
              <w:rPr>
                <w:sz w:val="24"/>
                <w:rFonts w:ascii="Times New Roman" w:hAnsi="Times New Roman"/>
              </w:rPr>
              <w:t xml:space="preserve"> (rad 25 i mall EU LR2 - LRCom: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Enhetligt offentliggörande av bruttosoliditetsgrad).</w:t>
            </w:r>
          </w:p>
        </w:tc>
      </w:tr>
      <w:tr w:rsidR="00232C88" w:rsidRPr="00232C88" w14:paraId="4B0B4246" w14:textId="77777777" w:rsidTr="65F04A31">
        <w:trPr>
          <w:trHeight w:val="557"/>
        </w:trPr>
        <w:tc>
          <w:tcPr>
            <w:tcW w:w="1384" w:type="dxa"/>
          </w:tcPr>
          <w:p w14:paraId="2DD72E65" w14:textId="373D5569" w:rsidR="00505188" w:rsidRPr="00232C88" w:rsidRDefault="00505188" w:rsidP="00275B5E">
            <w:pPr>
              <w:pStyle w:val="Applicationdirecte"/>
              <w:spacing w:before="60"/>
              <w:jc w:val="center"/>
            </w:pPr>
            <w:r>
              <w:t xml:space="preserve">EU 14a</w:t>
            </w:r>
          </w:p>
        </w:tc>
        <w:tc>
          <w:tcPr>
            <w:tcW w:w="7655" w:type="dxa"/>
          </w:tcPr>
          <w:p w14:paraId="331BA724" w14:textId="344E5468" w:rsidR="00505188" w:rsidRPr="00232C88" w:rsidRDefault="00505188" w:rsidP="001C2D18">
            <w:pPr>
              <w:spacing w:before="60"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Ytterligare kapitalbaskrav för att hantera risken för alltför låg bruttosoliditet (%)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</w:p>
          <w:p w14:paraId="4884A9B8" w14:textId="32CF04C9" w:rsidR="00597D20" w:rsidRPr="00232C88" w:rsidRDefault="49BBA50F" w:rsidP="4D769726">
            <w:pPr>
              <w:spacing w:before="60" w:after="120"/>
              <w:jc w:val="both"/>
              <w:rPr>
                <w:sz w:val="24"/>
                <w:shd w:val="clear" w:color="auto" w:fill="FFFFFF"/>
                <w:rFonts w:ascii="Times New Roman" w:eastAsia="Book Antiqua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De ytterligare kapitalbaskrav för att hantera risken för alltför låg bruttosoliditet som införts av den behöriga myndigheten enligt artikel 104.1 a i direktiv 2013/36/EU, uttryckta som en procentandel av det totala exponeringsmåttet.</w:t>
            </w:r>
            <w:r>
              <w:rPr>
                <w:sz w:val="24"/>
                <w:shd w:val="clear" w:color="auto" w:fill="FFFFFF"/>
                <w:rFonts w:ascii="Times New Roman" w:hAnsi="Times New Roman"/>
              </w:rPr>
              <w:t xml:space="preserve"> </w:t>
            </w:r>
          </w:p>
          <w:p w14:paraId="46E7F0BC" w14:textId="2D154485" w:rsidR="000C1BEC" w:rsidRPr="00232C88" w:rsidRDefault="00597D20" w:rsidP="00597D20">
            <w:pPr>
              <w:spacing w:before="6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Ytterligare kapitalbaskrav i enlighet med det värde som offentliggörs av instituten enligt bilaga XI till EBA:s it-lösningar (rad EU-26a i mall EU LR2 - LRCom: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Enhetligt offentliggörande av bruttosoliditetsgrad).</w:t>
            </w:r>
          </w:p>
        </w:tc>
      </w:tr>
      <w:tr w:rsidR="00232C88" w:rsidRPr="00232C88" w14:paraId="36EBE00D" w14:textId="77777777" w:rsidTr="65F04A31">
        <w:trPr>
          <w:trHeight w:val="557"/>
        </w:trPr>
        <w:tc>
          <w:tcPr>
            <w:tcW w:w="1384" w:type="dxa"/>
          </w:tcPr>
          <w:p w14:paraId="09FA5971" w14:textId="32273074" w:rsidR="00505188" w:rsidRPr="00232C88" w:rsidRDefault="00505188" w:rsidP="00597D20">
            <w:pPr>
              <w:pStyle w:val="Applicationdirecte"/>
              <w:spacing w:before="60"/>
              <w:jc w:val="center"/>
            </w:pPr>
            <w:r>
              <w:t xml:space="preserve">EU 14b</w:t>
            </w:r>
          </w:p>
        </w:tc>
        <w:tc>
          <w:tcPr>
            <w:tcW w:w="7655" w:type="dxa"/>
          </w:tcPr>
          <w:p w14:paraId="2B7D35CB" w14:textId="5C222559" w:rsidR="00381E59" w:rsidRPr="00232C88" w:rsidRDefault="002B7ED3" w:rsidP="00597D20">
            <w:pPr>
              <w:spacing w:before="60"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    </w:t>
            </w:r>
            <w:r>
              <w:rPr>
                <w:sz w:val="24"/>
                <w:b/>
                <w:rFonts w:ascii="Times New Roman" w:hAnsi="Times New Roman"/>
              </w:rPr>
              <w:t xml:space="preserve">varav</w:t>
            </w:r>
            <w:r>
              <w:rPr>
                <w:sz w:val="24"/>
                <w:b/>
                <w:rFonts w:ascii="Times New Roman" w:hAnsi="Times New Roman"/>
              </w:rPr>
              <w:t xml:space="preserve"> </w:t>
            </w:r>
            <w:r>
              <w:rPr>
                <w:sz w:val="24"/>
                <w:b/>
                <w:rFonts w:ascii="Times New Roman" w:hAnsi="Times New Roman"/>
              </w:rPr>
              <w:t xml:space="preserve">ska utgöras av kärnprimärkapital (procentenheter)</w:t>
            </w:r>
          </w:p>
          <w:p w14:paraId="4E1932EC" w14:textId="4AF7540F" w:rsidR="00597D20" w:rsidRPr="00232C88" w:rsidRDefault="49BBA50F" w:rsidP="4D769726">
            <w:pPr>
              <w:spacing w:before="60" w:after="120"/>
              <w:jc w:val="both"/>
              <w:rPr>
                <w:sz w:val="24"/>
                <w:shd w:val="clear" w:color="auto" w:fill="FFFFFF"/>
                <w:rFonts w:ascii="Times New Roman" w:eastAsia="Book Antiqua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Den del av de ytterligare kapitalbaskrav för att hantera risken för alltför låg bruttosoliditet som införts av den behöriga myndigheten enligt artikel 104.1 a i direktiv 2013/36/EU, som måste uppfyllas med kärnprimärkapital i enlighet med artikel 104a.4 tredje stycket.</w:t>
            </w:r>
            <w:r>
              <w:rPr>
                <w:sz w:val="24"/>
                <w:shd w:val="clear" w:color="auto" w:fill="FFFFFF"/>
                <w:rFonts w:ascii="Times New Roman" w:hAnsi="Times New Roman"/>
              </w:rPr>
              <w:t xml:space="preserve"> </w:t>
            </w:r>
          </w:p>
          <w:p w14:paraId="68D46321" w14:textId="250E24AF" w:rsidR="000C1BEC" w:rsidRPr="00232C88" w:rsidRDefault="00597D20" w:rsidP="000C1BEC">
            <w:pPr>
              <w:spacing w:before="6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Ytterligare kapitalbaskrav i enlighet med det värde som offentliggörs av instituten enligt bilaga XI till EBA:s it-lösningar (rad EU-26b i mall EU LR2 - LRCom: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Enhetligt offentliggörande av bruttosoliditetsgrad).</w:t>
            </w:r>
          </w:p>
        </w:tc>
      </w:tr>
      <w:tr w:rsidR="00232C88" w:rsidRPr="00232C88" w14:paraId="2D7EE809" w14:textId="77777777" w:rsidTr="65F04A31">
        <w:trPr>
          <w:trHeight w:val="557"/>
        </w:trPr>
        <w:tc>
          <w:tcPr>
            <w:tcW w:w="1384" w:type="dxa"/>
          </w:tcPr>
          <w:p w14:paraId="649507C9" w14:textId="0BF1E1F1" w:rsidR="00505188" w:rsidRPr="00232C88" w:rsidRDefault="00505188" w:rsidP="00597D20">
            <w:pPr>
              <w:pStyle w:val="Applicationdirecte"/>
              <w:spacing w:before="60"/>
              <w:jc w:val="center"/>
            </w:pPr>
            <w:r>
              <w:t xml:space="preserve">EU 14c</w:t>
            </w:r>
          </w:p>
        </w:tc>
        <w:tc>
          <w:tcPr>
            <w:tcW w:w="7655" w:type="dxa"/>
          </w:tcPr>
          <w:p w14:paraId="4458837C" w14:textId="180D2C07" w:rsidR="00505188" w:rsidRPr="00232C88" w:rsidRDefault="00505188" w:rsidP="001C2D18">
            <w:pPr>
              <w:spacing w:before="60"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Totala krav avseende bruttosoliditetsgrad för översyns- och utvärderingsprocessen (%)</w:t>
            </w:r>
          </w:p>
          <w:p w14:paraId="12B9013E" w14:textId="77777777" w:rsidR="00505188" w:rsidRPr="00677BB2" w:rsidRDefault="00505188" w:rsidP="00677BB2">
            <w:pPr>
              <w:pStyle w:val="InstructionsText"/>
            </w:pPr>
            <w:r>
              <w:t xml:space="preserve">Summan av i) och ii) enligt följande:</w:t>
            </w:r>
          </w:p>
          <w:p w14:paraId="5E716F27" w14:textId="0373DF56" w:rsidR="00505188" w:rsidRPr="00677BB2" w:rsidRDefault="00D96782" w:rsidP="00677BB2">
            <w:pPr>
              <w:pStyle w:val="InstructionsText"/>
            </w:pPr>
            <w:r>
              <w:t xml:space="preserve">i) Det minimikrav på bruttosoliditetsgrad som anges i artikel 92.1 d i förordning (EU) nr 575/2013 eller det krav på justerad bruttosoliditetsgrad som beräknats i enlighet med artikel 429a.7 i den förordningen, beroende på vad som är tillämpligt.</w:t>
            </w:r>
            <w:r>
              <w:t xml:space="preserve"> </w:t>
            </w:r>
          </w:p>
          <w:p w14:paraId="40C21DE2" w14:textId="09C7D200" w:rsidR="00505188" w:rsidRPr="00677BB2" w:rsidRDefault="00D96782" w:rsidP="00677BB2">
            <w:pPr>
              <w:pStyle w:val="InstructionsText"/>
            </w:pPr>
            <w:r>
              <w:t xml:space="preserve">ii) De ytterligare kapitalbaskrav för att hantera risken för alltför låg bruttosoliditet (krav enligt andra pelaren – P2R) som införts av den behöriga myndigheten enligt artikel 104.1 a i direktiv 2013/36/EU, uttryckta som en procentandel av det totala exponeringsmåttet.</w:t>
            </w:r>
          </w:p>
          <w:p w14:paraId="72014476" w14:textId="72428B13" w:rsidR="00505188" w:rsidRPr="00677BB2" w:rsidRDefault="00505188" w:rsidP="00677BB2">
            <w:pPr>
              <w:pStyle w:val="InstructionsText"/>
            </w:pPr>
            <w:r>
              <w:t xml:space="preserve">Denna post ska återspegla det samlade ÖUP-bruttosoliditetskrav (TSLRR) som meddelas till institutet av den behöriga myndigheten.</w:t>
            </w:r>
          </w:p>
          <w:p w14:paraId="35AC4925" w14:textId="264DA7C5" w:rsidR="00505188" w:rsidRPr="00232C88" w:rsidRDefault="00505188" w:rsidP="00A44A20">
            <w:pPr>
              <w:spacing w:before="6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Om inga ytterligare kapitalbaskrav för att hantera risken för alltför låg bruttosoliditet har införts av den behöriga myndigheten ska endast led i offentliggöras.</w:t>
            </w:r>
          </w:p>
        </w:tc>
      </w:tr>
      <w:tr w:rsidR="00232C88" w:rsidRPr="00232C88" w14:paraId="3B5E2E48" w14:textId="77777777" w:rsidTr="65F04A31">
        <w:trPr>
          <w:trHeight w:val="557"/>
        </w:trPr>
        <w:tc>
          <w:tcPr>
            <w:tcW w:w="1384" w:type="dxa"/>
          </w:tcPr>
          <w:p w14:paraId="789861B4" w14:textId="0838E1F8" w:rsidR="00505188" w:rsidRPr="00232C88" w:rsidRDefault="00505188" w:rsidP="00597D20">
            <w:pPr>
              <w:pStyle w:val="Applicationdirecte"/>
              <w:spacing w:before="60"/>
              <w:jc w:val="center"/>
            </w:pPr>
            <w:r>
              <w:t xml:space="preserve">EU 14d</w:t>
            </w:r>
          </w:p>
        </w:tc>
        <w:tc>
          <w:tcPr>
            <w:tcW w:w="7655" w:type="dxa"/>
          </w:tcPr>
          <w:p w14:paraId="08E93EB0" w14:textId="1CAE83B8" w:rsidR="00505188" w:rsidRPr="00232C88" w:rsidRDefault="00BB3630" w:rsidP="00677BB2">
            <w:pPr>
              <w:pStyle w:val="InstructionsText"/>
            </w:pPr>
            <w:r>
              <w:t xml:space="preserve">Krav på bruttosoliditetsbuffert (%)</w:t>
            </w:r>
          </w:p>
          <w:p w14:paraId="0A30AE70" w14:textId="646BA176" w:rsidR="00641F64" w:rsidRPr="00232C88" w:rsidRDefault="00641F64" w:rsidP="004A2B2B">
            <w:pPr>
              <w:spacing w:before="6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Artikel 92.1a i förordning (EU) nr 575/2013.</w:t>
            </w:r>
          </w:p>
          <w:p w14:paraId="7716A8FF" w14:textId="2792D8EB" w:rsidR="00505188" w:rsidRPr="00232C88" w:rsidRDefault="00505188" w:rsidP="004A2B2B">
            <w:pPr>
              <w:spacing w:before="6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Tillämplig bruttosoliditetsbuffert i enlighet med det värde som offentliggörs av instituten enligt bilaga XI till EBA:s it-lösningar (rad 27 i mall EU LR2 - LRCom: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Enhetligt offentliggörande av bruttosoliditetsgrad).</w:t>
            </w:r>
          </w:p>
        </w:tc>
      </w:tr>
      <w:tr w:rsidR="00232C88" w:rsidRPr="00232C88" w14:paraId="3FACD115" w14:textId="77777777" w:rsidTr="65F04A31">
        <w:trPr>
          <w:trHeight w:val="557"/>
        </w:trPr>
        <w:tc>
          <w:tcPr>
            <w:tcW w:w="1384" w:type="dxa"/>
          </w:tcPr>
          <w:p w14:paraId="27224C83" w14:textId="4B369FBD" w:rsidR="00505188" w:rsidRPr="00232C88" w:rsidRDefault="00505188" w:rsidP="00597D20">
            <w:pPr>
              <w:pStyle w:val="Applicationdirecte"/>
              <w:spacing w:before="60"/>
              <w:jc w:val="center"/>
            </w:pPr>
            <w:r>
              <w:t xml:space="preserve">EU 14e</w:t>
            </w:r>
          </w:p>
        </w:tc>
        <w:tc>
          <w:tcPr>
            <w:tcW w:w="7655" w:type="dxa"/>
          </w:tcPr>
          <w:p w14:paraId="69DDF496" w14:textId="1D586C01" w:rsidR="00505188" w:rsidRPr="00232C88" w:rsidRDefault="00505188" w:rsidP="001C2D18">
            <w:pPr>
              <w:spacing w:before="60"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Samlat bruttosoliditetskrav (%)</w:t>
            </w:r>
          </w:p>
          <w:p w14:paraId="02FD04C6" w14:textId="7E32495C" w:rsidR="00505188" w:rsidRPr="00232C88" w:rsidRDefault="00505188" w:rsidP="00597D20">
            <w:pPr>
              <w:spacing w:before="6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Summan av raderna EU 14c och EU 14d</w:t>
            </w:r>
          </w:p>
        </w:tc>
      </w:tr>
      <w:tr w:rsidR="00232C88" w:rsidRPr="00232C88" w14:paraId="7772A699" w14:textId="77777777" w:rsidTr="65F04A31">
        <w:trPr>
          <w:trHeight w:val="557"/>
        </w:trPr>
        <w:tc>
          <w:tcPr>
            <w:tcW w:w="1384" w:type="dxa"/>
          </w:tcPr>
          <w:p w14:paraId="63DDF276" w14:textId="77777777" w:rsidR="00BB2F0A" w:rsidRPr="00232C88" w:rsidRDefault="00BB2F0A" w:rsidP="00BB2F0A">
            <w:pPr>
              <w:pStyle w:val="Applicationdirecte"/>
              <w:spacing w:before="60"/>
              <w:jc w:val="center"/>
            </w:pPr>
            <w:r>
              <w:t xml:space="preserve">15</w:t>
            </w:r>
          </w:p>
        </w:tc>
        <w:tc>
          <w:tcPr>
            <w:tcW w:w="7655" w:type="dxa"/>
          </w:tcPr>
          <w:p w14:paraId="54AB95EC" w14:textId="77777777" w:rsidR="00BB2F0A" w:rsidRPr="00232C88" w:rsidRDefault="00BB2F0A" w:rsidP="00BB2F0A">
            <w:pPr>
              <w:spacing w:before="60"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bookmarkStart w:id="11" w:name="OLE_LINK1"/>
            <w:r>
              <w:rPr>
                <w:b/>
                <w:sz w:val="24"/>
                <w:rFonts w:ascii="Times New Roman" w:hAnsi="Times New Roman"/>
              </w:rPr>
              <w:t xml:space="preserve">Totala högkvalitativa likvida tillgångar (viktat värde – genomsnitt)</w:t>
            </w:r>
          </w:p>
          <w:bookmarkEnd w:id="11"/>
          <w:p w14:paraId="55A35EA4" w14:textId="793083C0" w:rsidR="00910181" w:rsidRPr="00232C88" w:rsidRDefault="00910181" w:rsidP="002635C4">
            <w:pPr>
              <w:spacing w:before="6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Instituten ska offentliggöra värdet av de likvida tillgångarna som viktat värde i enlighet med artikel 9 i kommissionens delegerade förordning (EU) 2015/61</w:t>
            </w:r>
            <w:r w:rsidR="00704085" w:rsidRPr="00232C88">
              <w:rPr>
                <w:rStyle w:val="FootnoteReference"/>
                <w:rFonts w:ascii="Times New Roman" w:hAnsi="Times New Roman" w:cs="Times New Roman"/>
              </w:rPr>
              <w:footnoteReference w:id="4"/>
            </w:r>
            <w:r>
              <w:rPr>
                <w:sz w:val="24"/>
                <w:rFonts w:ascii="Times New Roman" w:hAnsi="Times New Roman"/>
              </w:rPr>
              <w:t xml:space="preserve"> innan de tillämpar den justeringsmekanism som fastställs i artikel 17.2 i delegerad förordning (EU) 2015/61.</w:t>
            </w:r>
          </w:p>
        </w:tc>
      </w:tr>
      <w:tr w:rsidR="00232C88" w:rsidRPr="00232C88" w14:paraId="6672E84C" w14:textId="77777777" w:rsidTr="65F04A31">
        <w:trPr>
          <w:trHeight w:val="557"/>
        </w:trPr>
        <w:tc>
          <w:tcPr>
            <w:tcW w:w="1384" w:type="dxa"/>
          </w:tcPr>
          <w:p w14:paraId="046E2071" w14:textId="77777777" w:rsidR="009008FD" w:rsidRPr="00232C88" w:rsidRDefault="009008FD" w:rsidP="009008FD">
            <w:pPr>
              <w:pStyle w:val="Applicationdirecte"/>
              <w:spacing w:before="60"/>
              <w:jc w:val="center"/>
            </w:pPr>
            <w:r>
              <w:t xml:space="preserve">EU 16a</w:t>
            </w:r>
          </w:p>
        </w:tc>
        <w:tc>
          <w:tcPr>
            <w:tcW w:w="7655" w:type="dxa"/>
          </w:tcPr>
          <w:p w14:paraId="0FDF2F0C" w14:textId="77777777" w:rsidR="00F829DE" w:rsidRPr="00232C88" w:rsidRDefault="00F829DE" w:rsidP="009008FD">
            <w:pPr>
              <w:spacing w:before="60"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Likviditetsutflöden – Totalt viktat värde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</w:p>
          <w:p w14:paraId="001CA858" w14:textId="412A239E" w:rsidR="009008FD" w:rsidRPr="00232C88" w:rsidRDefault="009008FD" w:rsidP="009008FD">
            <w:pPr>
              <w:spacing w:before="6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Instituten ska offentliggöra summan av det viktade värdet av sina likviditetsutflöden, som rapporterats enligt bilaga XIII (rad 16 i mall EU LIQ1 – Kvantitativ information om likviditetstäckningskvot).</w:t>
            </w:r>
          </w:p>
        </w:tc>
      </w:tr>
      <w:tr w:rsidR="00232C88" w:rsidRPr="00232C88" w14:paraId="768D7A46" w14:textId="77777777" w:rsidTr="65F04A31">
        <w:trPr>
          <w:trHeight w:val="557"/>
        </w:trPr>
        <w:tc>
          <w:tcPr>
            <w:tcW w:w="1384" w:type="dxa"/>
          </w:tcPr>
          <w:p w14:paraId="61468B84" w14:textId="77777777" w:rsidR="009008FD" w:rsidRPr="00232C88" w:rsidRDefault="009008FD" w:rsidP="009008FD">
            <w:pPr>
              <w:pStyle w:val="Applicationdirecte"/>
              <w:spacing w:before="60"/>
              <w:jc w:val="center"/>
            </w:pPr>
            <w:r>
              <w:t xml:space="preserve">EU 16b</w:t>
            </w:r>
          </w:p>
        </w:tc>
        <w:tc>
          <w:tcPr>
            <w:tcW w:w="7655" w:type="dxa"/>
          </w:tcPr>
          <w:p w14:paraId="6A63425C" w14:textId="77777777" w:rsidR="00F829DE" w:rsidRPr="00232C88" w:rsidRDefault="00F829DE" w:rsidP="009008FD">
            <w:pPr>
              <w:spacing w:before="60"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Likviditetsinflöden – Totalt viktat värde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</w:p>
          <w:p w14:paraId="7CF5A37A" w14:textId="29FD5A91" w:rsidR="009008FD" w:rsidRPr="00232C88" w:rsidRDefault="009008FD" w:rsidP="009008FD">
            <w:pPr>
              <w:spacing w:before="6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Instituten ska offentliggöra summan av det viktade värdet av sina likviditetsinflöden, som rapporterats enligt bilaga XIII (rad 20 i mall EU LIQ1 – Kvantitativ information om likviditetstäckningskvot.</w:t>
            </w:r>
          </w:p>
        </w:tc>
      </w:tr>
      <w:tr w:rsidR="00232C88" w:rsidRPr="00232C88" w14:paraId="3D802B5C" w14:textId="77777777" w:rsidTr="65F04A31">
        <w:trPr>
          <w:trHeight w:val="557"/>
        </w:trPr>
        <w:tc>
          <w:tcPr>
            <w:tcW w:w="1384" w:type="dxa"/>
          </w:tcPr>
          <w:p w14:paraId="2C98D27B" w14:textId="77777777" w:rsidR="00BB2F0A" w:rsidRPr="00232C88" w:rsidRDefault="00BB2F0A" w:rsidP="00BB2F0A">
            <w:pPr>
              <w:pStyle w:val="Applicationdirecte"/>
              <w:spacing w:before="60"/>
              <w:jc w:val="center"/>
            </w:pPr>
            <w:r>
              <w:t xml:space="preserve">16</w:t>
            </w:r>
          </w:p>
        </w:tc>
        <w:tc>
          <w:tcPr>
            <w:tcW w:w="7655" w:type="dxa"/>
          </w:tcPr>
          <w:p w14:paraId="7DCF86AE" w14:textId="77777777" w:rsidR="00BB2F0A" w:rsidRPr="00232C88" w:rsidRDefault="00BB2F0A" w:rsidP="00BB2F0A">
            <w:pPr>
              <w:spacing w:before="60"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Totala nettolikviditetsutflöden (justerat värde)</w:t>
            </w:r>
          </w:p>
          <w:p w14:paraId="1D6EC4CA" w14:textId="77777777" w:rsidR="00910181" w:rsidRPr="00232C88" w:rsidRDefault="00910181" w:rsidP="00DA590B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Som det justerade värdet ska instituten offentliggöra nettolikviditetsutflödet, vilket motsvarar de totala utflödena minus minskningen för fullt undantagna inflöden minus minskningen för inflöden som omfattas av taket på 90 % minus minskningen för inflöden som omfattas av taket på 75 %.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  <w:tr w:rsidR="00232C88" w:rsidRPr="00232C88" w14:paraId="55C376D8" w14:textId="77777777" w:rsidTr="65F04A31">
        <w:trPr>
          <w:trHeight w:val="557"/>
        </w:trPr>
        <w:tc>
          <w:tcPr>
            <w:tcW w:w="1384" w:type="dxa"/>
          </w:tcPr>
          <w:p w14:paraId="790C482D" w14:textId="77777777" w:rsidR="00BB2F0A" w:rsidRPr="00232C88" w:rsidRDefault="00BB2F0A" w:rsidP="00BB2F0A">
            <w:pPr>
              <w:pStyle w:val="Applicationdirecte"/>
              <w:spacing w:before="60"/>
              <w:jc w:val="center"/>
            </w:pPr>
            <w:r>
              <w:t xml:space="preserve">17</w:t>
            </w:r>
          </w:p>
        </w:tc>
        <w:tc>
          <w:tcPr>
            <w:tcW w:w="7655" w:type="dxa"/>
          </w:tcPr>
          <w:p w14:paraId="6739EBCB" w14:textId="77777777" w:rsidR="00BB2F0A" w:rsidRPr="00232C88" w:rsidRDefault="00BB2F0A" w:rsidP="00BB2F0A">
            <w:pPr>
              <w:spacing w:before="60"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Likviditetstäckningskvot (%)</w:t>
            </w:r>
          </w:p>
          <w:p w14:paraId="3417B7EB" w14:textId="101E0602" w:rsidR="00910181" w:rsidRPr="00232C88" w:rsidRDefault="00910181" w:rsidP="00910181">
            <w:pPr>
              <w:autoSpaceDE w:val="0"/>
              <w:autoSpaceDN w:val="0"/>
              <w:adjustRightInd w:val="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Som det justerade värdet ska instituten offentliggöra procentandelen av posten ”Likviditetstäckningskvot (%)” enligt definitionen i artikel 4.1 i delegerad förordning (EU) 2015/61.</w:t>
            </w:r>
          </w:p>
          <w:p w14:paraId="0CF77ECD" w14:textId="77777777" w:rsidR="00910181" w:rsidRPr="00232C88" w:rsidRDefault="00910181" w:rsidP="0091018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0DC83C71" w14:textId="77777777" w:rsidR="00910181" w:rsidRPr="00232C88" w:rsidRDefault="00910181" w:rsidP="00DA590B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Likviditetstäckningskvoten ska vara lika med kvoten av ett kreditinstituts likviditetsbuffert mot dess likviditetsutflöden under en stressperiod på 30 kalenderdagar och ska uttryckas i procent.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  <w:tr w:rsidR="00232C88" w:rsidRPr="00232C88" w14:paraId="62773DDF" w14:textId="77777777" w:rsidTr="65F04A31">
        <w:trPr>
          <w:trHeight w:val="557"/>
        </w:trPr>
        <w:tc>
          <w:tcPr>
            <w:tcW w:w="1384" w:type="dxa"/>
          </w:tcPr>
          <w:p w14:paraId="46B3145C" w14:textId="77777777" w:rsidR="00BB2F0A" w:rsidRPr="00232C88" w:rsidRDefault="00BB2F0A" w:rsidP="00BB2F0A">
            <w:pPr>
              <w:pStyle w:val="Applicationdirecte"/>
              <w:spacing w:before="60"/>
              <w:jc w:val="center"/>
            </w:pPr>
            <w:r>
              <w:t xml:space="preserve">18</w:t>
            </w:r>
          </w:p>
        </w:tc>
        <w:tc>
          <w:tcPr>
            <w:tcW w:w="7655" w:type="dxa"/>
          </w:tcPr>
          <w:p w14:paraId="5F20E9BB" w14:textId="77777777" w:rsidR="00BB2F0A" w:rsidRPr="00232C88" w:rsidRDefault="009501D6" w:rsidP="00BB2F0A">
            <w:pPr>
              <w:spacing w:before="60"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Total tillgänglig stabil finansiering</w:t>
            </w:r>
          </w:p>
          <w:p w14:paraId="0CB3A2BF" w14:textId="5072E411" w:rsidR="009501D6" w:rsidRPr="00232C88" w:rsidRDefault="009501D6" w:rsidP="00AF5BC7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Instituten ska offentliggöra det belopp av tillgänglig stabil finansiering som beräknats i enlighet med del sex avdelning IV kapitel 3 i förordning (EU) nr 575/2013, och som offentliggjorts enligt bilaga XIII till it-lösningarna (rad 14 i mall EU LIQ2 – Stabil nettofinansieringskvot).</w:t>
            </w:r>
          </w:p>
        </w:tc>
      </w:tr>
      <w:tr w:rsidR="00232C88" w:rsidRPr="00232C88" w14:paraId="196BD2E3" w14:textId="77777777" w:rsidTr="65F04A31">
        <w:trPr>
          <w:trHeight w:val="557"/>
        </w:trPr>
        <w:tc>
          <w:tcPr>
            <w:tcW w:w="1384" w:type="dxa"/>
          </w:tcPr>
          <w:p w14:paraId="138D6E9A" w14:textId="77777777" w:rsidR="00BB2F0A" w:rsidRPr="00232C88" w:rsidRDefault="00BB2F0A" w:rsidP="00BB2F0A">
            <w:pPr>
              <w:pStyle w:val="Applicationdirecte"/>
              <w:spacing w:before="60"/>
              <w:jc w:val="center"/>
            </w:pPr>
            <w:r>
              <w:t xml:space="preserve">19</w:t>
            </w:r>
          </w:p>
        </w:tc>
        <w:tc>
          <w:tcPr>
            <w:tcW w:w="7655" w:type="dxa"/>
          </w:tcPr>
          <w:p w14:paraId="33D8D493" w14:textId="77777777" w:rsidR="00EA38FE" w:rsidRPr="00232C88" w:rsidRDefault="009501D6" w:rsidP="00EA38FE">
            <w:pPr>
              <w:spacing w:before="60"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Total nödvändig stabil finansiering</w:t>
            </w:r>
          </w:p>
          <w:p w14:paraId="205FE1F2" w14:textId="61549A3C" w:rsidR="009501D6" w:rsidRPr="00232C88" w:rsidRDefault="1BE56CD4" w:rsidP="4D769726">
            <w:pPr>
              <w:spacing w:before="6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Instituten ska offentliggöra det belopp av nödvändig stabil finansiering som beräknats i enlighet med del sex avdelning IV kapitel 4 i förordning (EU) nr 575/2013, och som offentliggjorts enligt bilaga XIII till it-lösningarna (rad 33 i mall EU LIQ2 – Stabil nettofinansieringskvot).</w:t>
            </w:r>
          </w:p>
        </w:tc>
      </w:tr>
      <w:tr w:rsidR="00BB2F0A" w:rsidRPr="00232C88" w14:paraId="5F0D3785" w14:textId="77777777" w:rsidTr="65F04A31">
        <w:trPr>
          <w:trHeight w:val="557"/>
        </w:trPr>
        <w:tc>
          <w:tcPr>
            <w:tcW w:w="1384" w:type="dxa"/>
          </w:tcPr>
          <w:p w14:paraId="58861D5D" w14:textId="77777777" w:rsidR="00BB2F0A" w:rsidRPr="00232C88" w:rsidRDefault="00BB2F0A" w:rsidP="00BB2F0A">
            <w:pPr>
              <w:pStyle w:val="Applicationdirecte"/>
              <w:spacing w:before="60"/>
              <w:jc w:val="center"/>
            </w:pPr>
            <w:r>
              <w:t xml:space="preserve">20</w:t>
            </w:r>
          </w:p>
        </w:tc>
        <w:tc>
          <w:tcPr>
            <w:tcW w:w="7655" w:type="dxa"/>
          </w:tcPr>
          <w:p w14:paraId="2C215CE4" w14:textId="77777777" w:rsidR="00BB2F0A" w:rsidRPr="00232C88" w:rsidRDefault="00EA38FE" w:rsidP="00BB2F0A">
            <w:pPr>
              <w:spacing w:before="60"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Stabil nettofinansieringskvot (%)</w:t>
            </w:r>
          </w:p>
          <w:p w14:paraId="16F56415" w14:textId="58990105" w:rsidR="00EA38FE" w:rsidRPr="00232C88" w:rsidRDefault="00EA38FE" w:rsidP="0097538A">
            <w:pPr>
              <w:spacing w:before="6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Stabil nettofinansieringskvot beräknad i enlighet med artikel 428b i förordning (EU) nr 575/2013.</w:t>
            </w:r>
          </w:p>
        </w:tc>
      </w:tr>
    </w:tbl>
    <w:p w14:paraId="6083358E" w14:textId="77777777" w:rsidR="00206A6B" w:rsidRPr="00232C88" w:rsidRDefault="00206A6B" w:rsidP="00D845D4">
      <w:pPr>
        <w:spacing w:after="120"/>
        <w:jc w:val="both"/>
        <w:rPr>
          <w:rFonts w:ascii="Times New Roman" w:hAnsi="Times New Roman" w:cs="Times New Roman"/>
          <w:b/>
          <w:sz w:val="24"/>
        </w:rPr>
      </w:pPr>
    </w:p>
    <w:p w14:paraId="29C2CA92" w14:textId="55EE1568" w:rsidR="00206A6B" w:rsidRPr="00232C88" w:rsidRDefault="00BD36EC" w:rsidP="00D845D4">
      <w:pPr>
        <w:spacing w:after="120"/>
        <w:jc w:val="both"/>
        <w:rPr>
          <w:sz w:val="24"/>
          <w:rFonts w:ascii="Times New Roman" w:hAnsi="Times New Roman" w:cs="Times New Roman"/>
        </w:rPr>
      </w:pPr>
      <w:r>
        <w:rPr>
          <w:sz w:val="24"/>
          <w:b/>
          <w:rFonts w:ascii="Times New Roman" w:hAnsi="Times New Roman"/>
        </w:rPr>
        <w:t xml:space="preserve">Mall EU INS1 – Försäkringsandelar:</w:t>
      </w:r>
      <w:r>
        <w:rPr>
          <w:sz w:val="24"/>
          <w:b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Fast format.</w:t>
      </w:r>
    </w:p>
    <w:p w14:paraId="385CC150" w14:textId="3B3D9F17" w:rsidR="00B10EE4" w:rsidRPr="00232C88" w:rsidRDefault="00BA25D7" w:rsidP="009260D6">
      <w:pPr>
        <w:pStyle w:val="Titlelevel2"/>
        <w:numPr>
          <w:ilvl w:val="0"/>
          <w:numId w:val="14"/>
        </w:numPr>
        <w:spacing w:before="120" w:after="120"/>
        <w:ind w:left="426"/>
        <w:jc w:val="both"/>
        <w:rPr>
          <w:color w:val="auto"/>
          <w:sz w:val="24"/>
          <w:rFonts w:ascii="Times New Roman" w:hAnsi="Times New Roman" w:cs="Times New Roman"/>
        </w:rPr>
      </w:pPr>
      <w:r>
        <w:rPr>
          <w:color w:val="auto"/>
          <w:sz w:val="24"/>
          <w:rFonts w:ascii="Times New Roman" w:hAnsi="Times New Roman"/>
        </w:rPr>
        <w:t xml:space="preserve">Instituten ska följa de instruktioner som anges nedan i denna bilaga för att fylla i mall EU INS1, vilken återfinns i bilaga I, vid tillämpning av artikel 438 f i förordning (EU) nr 575/2013.</w:t>
      </w:r>
    </w:p>
    <w:p w14:paraId="5970EF08" w14:textId="77777777" w:rsidR="00295952" w:rsidRPr="00232C88" w:rsidRDefault="00295952" w:rsidP="00D845D4">
      <w:pPr>
        <w:pStyle w:val="Titlelevel2"/>
        <w:spacing w:before="120" w:after="120"/>
        <w:jc w:val="both"/>
        <w:rPr>
          <w:rFonts w:ascii="Times New Roman" w:hAnsi="Times New Roman" w:cs="Times New Roman"/>
          <w:color w:val="auto"/>
          <w:sz w:val="24"/>
          <w:lang w:val="en-GB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232C88" w:rsidRPr="00232C88" w14:paraId="700DB559" w14:textId="77777777" w:rsidTr="00B2180A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bookmarkEnd w:id="0"/>
          <w:bookmarkEnd w:id="1"/>
          <w:bookmarkEnd w:id="2"/>
          <w:bookmarkEnd w:id="3"/>
          <w:bookmarkEnd w:id="4"/>
          <w:bookmarkEnd w:id="5"/>
          <w:bookmarkEnd w:id="6"/>
          <w:bookmarkEnd w:id="7"/>
          <w:bookmarkEnd w:id="8"/>
          <w:bookmarkEnd w:id="9"/>
          <w:p w14:paraId="5C8EDEFF" w14:textId="77777777" w:rsidR="00295952" w:rsidRPr="00232C88" w:rsidRDefault="00295952" w:rsidP="00B2180A">
            <w:pPr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Rättsliga hänvisningar och instruktioner</w:t>
            </w:r>
          </w:p>
        </w:tc>
      </w:tr>
      <w:tr w:rsidR="00232C88" w:rsidRPr="00232C88" w14:paraId="2A1948D0" w14:textId="77777777" w:rsidTr="00B2180A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58F319EE" w14:textId="77777777" w:rsidR="00295952" w:rsidRPr="00232C88" w:rsidRDefault="00295952" w:rsidP="00B2180A">
            <w:pPr>
              <w:autoSpaceDE w:val="0"/>
              <w:autoSpaceDN w:val="0"/>
              <w:adjustRightInd w:val="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Kolumn nr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0136B062" w14:textId="77777777" w:rsidR="00295952" w:rsidRPr="00232C88" w:rsidRDefault="00295952" w:rsidP="00B2180A">
            <w:pPr>
              <w:autoSpaceDE w:val="0"/>
              <w:autoSpaceDN w:val="0"/>
              <w:adjustRightInd w:val="0"/>
              <w:rPr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Förklaring</w:t>
            </w:r>
          </w:p>
        </w:tc>
      </w:tr>
      <w:tr w:rsidR="00232C88" w:rsidRPr="00232C88" w14:paraId="0F136ACE" w14:textId="77777777" w:rsidTr="00B2180A">
        <w:trPr>
          <w:trHeight w:val="680"/>
        </w:trPr>
        <w:tc>
          <w:tcPr>
            <w:tcW w:w="1384" w:type="dxa"/>
          </w:tcPr>
          <w:p w14:paraId="270B29A8" w14:textId="77777777" w:rsidR="00295952" w:rsidRPr="00232C88" w:rsidRDefault="00295952" w:rsidP="00B2180A">
            <w:pPr>
              <w:pStyle w:val="Applicationdirecte"/>
              <w:spacing w:before="60"/>
              <w:jc w:val="center"/>
            </w:pPr>
            <w:r>
              <w:t xml:space="preserve">a</w:t>
            </w:r>
          </w:p>
        </w:tc>
        <w:tc>
          <w:tcPr>
            <w:tcW w:w="7655" w:type="dxa"/>
            <w:vAlign w:val="center"/>
          </w:tcPr>
          <w:p w14:paraId="7249EC0E" w14:textId="77777777" w:rsidR="00295952" w:rsidRPr="00726C67" w:rsidRDefault="00295952" w:rsidP="00B2180A">
            <w:pPr>
              <w:spacing w:before="60" w:after="120"/>
              <w:jc w:val="both"/>
              <w:rPr>
                <w:b/>
                <w:bCs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Exponeringsvärde</w:t>
            </w:r>
          </w:p>
          <w:p w14:paraId="18F1CB5D" w14:textId="190541F5" w:rsidR="00295952" w:rsidRPr="00232C88" w:rsidRDefault="00295952" w:rsidP="0097538A">
            <w:pPr>
              <w:spacing w:before="6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Exponeringsvärde för innehav av kapitalbasinstrument i försäkringsföretag, återförsäkringsföretag eller försäkringsholdingföretag som instituten inte drar av från sin kapitalbas i enlighet med artikel 49 i förordning (EU) nr 575/2013 vid beräkning av sina kapitalkrav på individuell nivå, undergruppsnivå och gruppnivå.</w:t>
            </w:r>
          </w:p>
        </w:tc>
      </w:tr>
      <w:tr w:rsidR="00295952" w:rsidRPr="00232C88" w14:paraId="61334455" w14:textId="77777777" w:rsidTr="00B2180A">
        <w:trPr>
          <w:trHeight w:val="680"/>
        </w:trPr>
        <w:tc>
          <w:tcPr>
            <w:tcW w:w="1384" w:type="dxa"/>
          </w:tcPr>
          <w:p w14:paraId="76F52744" w14:textId="77777777" w:rsidR="00295952" w:rsidRPr="00232C88" w:rsidRDefault="00295952" w:rsidP="00B2180A">
            <w:pPr>
              <w:pStyle w:val="Applicationdirecte"/>
              <w:spacing w:before="60"/>
              <w:jc w:val="center"/>
            </w:pPr>
            <w:r>
              <w:t xml:space="preserve">b</w:t>
            </w:r>
          </w:p>
        </w:tc>
        <w:tc>
          <w:tcPr>
            <w:tcW w:w="7655" w:type="dxa"/>
            <w:vAlign w:val="center"/>
          </w:tcPr>
          <w:p w14:paraId="35F05204" w14:textId="21F04E81" w:rsidR="00295952" w:rsidRPr="00726C67" w:rsidRDefault="00295952" w:rsidP="00B2180A">
            <w:pPr>
              <w:spacing w:before="60" w:after="120"/>
              <w:jc w:val="both"/>
              <w:rPr>
                <w:b/>
                <w:bCs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Riskvägt exponeringsbelopp</w:t>
            </w:r>
          </w:p>
          <w:p w14:paraId="5F873619" w14:textId="1505D88C" w:rsidR="00295952" w:rsidRPr="00232C88" w:rsidRDefault="00295952" w:rsidP="00282104">
            <w:pPr>
              <w:spacing w:before="6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Riskvägt exponeringsbelopp för innehav av kapitalbasinstrument i försäkringsföretag, återförsäkringsföretag eller försäkringsholdingföretag som instituten inte drar av från sin kapitalbas i enlighet med artikel 49 i förordning (EU) nr 575/2013 vid beräkning av sina kapitalkrav på individuell nivå, undergruppsnivå och gruppnivå.</w:t>
            </w:r>
          </w:p>
        </w:tc>
      </w:tr>
    </w:tbl>
    <w:p w14:paraId="06D15643" w14:textId="77777777" w:rsidR="00FE0C92" w:rsidRPr="00232C88" w:rsidRDefault="00FE0C92" w:rsidP="00E258D8">
      <w:pPr>
        <w:tabs>
          <w:tab w:val="left" w:pos="1430"/>
        </w:tabs>
        <w:rPr>
          <w:rFonts w:ascii="Times New Roman" w:hAnsi="Times New Roman" w:cs="Times New Roman"/>
          <w:sz w:val="24"/>
        </w:rPr>
      </w:pPr>
    </w:p>
    <w:p w14:paraId="27E6F29A" w14:textId="0470914C" w:rsidR="00295952" w:rsidRPr="00232C88" w:rsidRDefault="00295952" w:rsidP="00295952">
      <w:pPr>
        <w:spacing w:after="120"/>
        <w:jc w:val="both"/>
        <w:rPr>
          <w:sz w:val="24"/>
          <w:rFonts w:ascii="Times New Roman" w:hAnsi="Times New Roman" w:cs="Times New Roman"/>
        </w:rPr>
      </w:pPr>
      <w:r>
        <w:rPr>
          <w:sz w:val="24"/>
          <w:b/>
          <w:rFonts w:ascii="Times New Roman" w:hAnsi="Times New Roman"/>
        </w:rPr>
        <w:t xml:space="preserve">Mall EU INS2 – Finansiella konglomerat – Information om kapitalbas och kapitaltäckningsgrad.</w:t>
      </w:r>
      <w:r>
        <w:rPr>
          <w:sz w:val="24"/>
          <w:b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Fast format.</w:t>
      </w:r>
    </w:p>
    <w:p w14:paraId="61F5C281" w14:textId="596FEC3B" w:rsidR="00295952" w:rsidRPr="00232C88" w:rsidRDefault="00295952" w:rsidP="009260D6">
      <w:pPr>
        <w:pStyle w:val="Titlelevel2"/>
        <w:numPr>
          <w:ilvl w:val="0"/>
          <w:numId w:val="14"/>
        </w:numPr>
        <w:spacing w:before="120" w:after="120"/>
        <w:ind w:left="426"/>
        <w:jc w:val="both"/>
        <w:rPr>
          <w:color w:val="auto"/>
          <w:sz w:val="24"/>
          <w:rFonts w:ascii="Times New Roman" w:hAnsi="Times New Roman" w:cs="Times New Roman"/>
        </w:rPr>
      </w:pPr>
      <w:r>
        <w:rPr>
          <w:color w:val="auto"/>
          <w:sz w:val="24"/>
          <w:rFonts w:ascii="Times New Roman" w:hAnsi="Times New Roman"/>
        </w:rPr>
        <w:t xml:space="preserve">Instituten ska följa de instruktioner som anges nedan i denna bilaga för att fylla i mall EU INS2, vilken återfinns i bilaga I till EBA:s it-lösningar, vid tillämpning av artikel 438 g i förordning (EU) nr 575/2013.</w:t>
      </w:r>
    </w:p>
    <w:p w14:paraId="2C33B06C" w14:textId="77777777" w:rsidR="00295952" w:rsidRPr="00232C88" w:rsidRDefault="00295952" w:rsidP="00295952">
      <w:pPr>
        <w:pStyle w:val="Titlelevel2"/>
        <w:spacing w:before="120" w:after="120"/>
        <w:jc w:val="both"/>
        <w:rPr>
          <w:rFonts w:ascii="Times New Roman" w:hAnsi="Times New Roman" w:cs="Times New Roman"/>
          <w:color w:val="auto"/>
          <w:sz w:val="24"/>
          <w:lang w:val="en-GB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232C88" w:rsidRPr="00232C88" w14:paraId="6E9180F0" w14:textId="77777777" w:rsidTr="00B2180A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603E5BE" w14:textId="77777777" w:rsidR="00295952" w:rsidRPr="00232C88" w:rsidRDefault="00295952" w:rsidP="00B2180A">
            <w:pPr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Rättsliga hänvisningar och instruktioner</w:t>
            </w:r>
          </w:p>
        </w:tc>
      </w:tr>
      <w:tr w:rsidR="00232C88" w:rsidRPr="00232C88" w14:paraId="38931EE1" w14:textId="77777777" w:rsidTr="00B2180A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5F0C6C00" w14:textId="77777777" w:rsidR="00295952" w:rsidRPr="00232C88" w:rsidRDefault="00295952" w:rsidP="00B2180A">
            <w:pPr>
              <w:autoSpaceDE w:val="0"/>
              <w:autoSpaceDN w:val="0"/>
              <w:adjustRightInd w:val="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Rad nr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7A981CBB" w14:textId="77777777" w:rsidR="00295952" w:rsidRPr="00232C88" w:rsidRDefault="00295952" w:rsidP="00B2180A">
            <w:pPr>
              <w:autoSpaceDE w:val="0"/>
              <w:autoSpaceDN w:val="0"/>
              <w:adjustRightInd w:val="0"/>
              <w:rPr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Förklaring</w:t>
            </w:r>
          </w:p>
        </w:tc>
      </w:tr>
      <w:tr w:rsidR="00232C88" w:rsidRPr="00232C88" w14:paraId="06B27C97" w14:textId="77777777" w:rsidTr="00B2180A">
        <w:trPr>
          <w:trHeight w:val="680"/>
        </w:trPr>
        <w:tc>
          <w:tcPr>
            <w:tcW w:w="1384" w:type="dxa"/>
          </w:tcPr>
          <w:p w14:paraId="7F147BC5" w14:textId="77777777" w:rsidR="00295952" w:rsidRPr="00232C88" w:rsidRDefault="00295952" w:rsidP="00B2180A">
            <w:pPr>
              <w:pStyle w:val="Applicationdirecte"/>
              <w:spacing w:before="60"/>
              <w:jc w:val="center"/>
            </w:pPr>
            <w:r>
              <w:t xml:space="preserve">1</w:t>
            </w:r>
          </w:p>
        </w:tc>
        <w:tc>
          <w:tcPr>
            <w:tcW w:w="7655" w:type="dxa"/>
            <w:vAlign w:val="center"/>
          </w:tcPr>
          <w:p w14:paraId="4FDD3332" w14:textId="34430A5B" w:rsidR="00295952" w:rsidRPr="00232C88" w:rsidRDefault="00295952" w:rsidP="00B2180A">
            <w:pPr>
              <w:spacing w:before="60" w:after="120"/>
              <w:jc w:val="both"/>
              <w:rPr>
                <w:b/>
                <w:bCs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Extra kapitaltäckningskrav för det finansiella konglomeratet (belopp)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</w:p>
          <w:p w14:paraId="7401DE1A" w14:textId="40167C3D" w:rsidR="00295952" w:rsidRPr="00232C88" w:rsidRDefault="000A3A4A" w:rsidP="00704085">
            <w:pPr>
              <w:spacing w:before="6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Beloppet av extra kapitaltäckningskrav för det finansiella konglomeratet, beräknat i enlighet med artikel 6 i Europaparlamentets och rådets direktiv 2002/87/EG</w:t>
            </w:r>
            <w:r w:rsidR="00F515D4" w:rsidRPr="00232C88">
              <w:rPr>
                <w:rStyle w:val="FootnoteReference"/>
                <w:rFonts w:ascii="Times New Roman" w:hAnsi="Times New Roman" w:cs="Times New Roman"/>
              </w:rPr>
              <w:footnoteReference w:id="5"/>
            </w:r>
            <w:r>
              <w:rPr>
                <w:sz w:val="24"/>
                <w:rFonts w:ascii="Times New Roman" w:hAnsi="Times New Roman"/>
              </w:rPr>
              <w:t xml:space="preserve"> och bilaga I till det direktivet, om metod 1 eller 2 som fastställs i bilaga I tillämpas.</w:t>
            </w:r>
          </w:p>
        </w:tc>
      </w:tr>
      <w:tr w:rsidR="00295952" w:rsidRPr="00232C88" w14:paraId="1857A276" w14:textId="77777777" w:rsidTr="00B2180A">
        <w:trPr>
          <w:trHeight w:val="680"/>
        </w:trPr>
        <w:tc>
          <w:tcPr>
            <w:tcW w:w="1384" w:type="dxa"/>
          </w:tcPr>
          <w:p w14:paraId="08626B20" w14:textId="77777777" w:rsidR="00295952" w:rsidRPr="00232C88" w:rsidRDefault="00295952" w:rsidP="00B2180A">
            <w:pPr>
              <w:pStyle w:val="Applicationdirecte"/>
              <w:spacing w:before="60"/>
              <w:jc w:val="center"/>
            </w:pPr>
            <w:r>
              <w:t xml:space="preserve">2</w:t>
            </w:r>
          </w:p>
        </w:tc>
        <w:tc>
          <w:tcPr>
            <w:tcW w:w="7655" w:type="dxa"/>
            <w:vAlign w:val="center"/>
          </w:tcPr>
          <w:p w14:paraId="42B45BEE" w14:textId="77777777" w:rsidR="00295952" w:rsidRPr="00232C88" w:rsidRDefault="00295952" w:rsidP="00B2180A">
            <w:pPr>
              <w:spacing w:before="60" w:after="120"/>
              <w:jc w:val="both"/>
              <w:rPr>
                <w:b/>
                <w:bCs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Det finansiella konglomeratets kapitaltäckningsgrad (%)</w:t>
            </w:r>
          </w:p>
          <w:p w14:paraId="1C3780DF" w14:textId="2B1ECEB3" w:rsidR="00295952" w:rsidRPr="00232C88" w:rsidRDefault="00295952" w:rsidP="00704085">
            <w:pPr>
              <w:spacing w:before="6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Det finansiella konglomeratets kapitaltäckningsgrad, beräknad i enlighet med artikel 6 i direktiv 2002/87/EG och bilaga I till det direktivet, om metod 1 eller 2 som fastställs i bilaga I tillämpas.</w:t>
            </w:r>
          </w:p>
        </w:tc>
      </w:tr>
    </w:tbl>
    <w:p w14:paraId="75004C3A" w14:textId="77777777" w:rsidR="00295952" w:rsidRPr="00232C88" w:rsidRDefault="00295952" w:rsidP="00E258D8">
      <w:pPr>
        <w:tabs>
          <w:tab w:val="left" w:pos="1430"/>
        </w:tabs>
        <w:rPr>
          <w:rFonts w:ascii="Times New Roman" w:hAnsi="Times New Roman" w:cs="Times New Roman"/>
          <w:b/>
          <w:sz w:val="24"/>
        </w:rPr>
      </w:pPr>
    </w:p>
    <w:p w14:paraId="2779323A" w14:textId="324B2CE0" w:rsidR="00D15B1C" w:rsidRPr="00232C88" w:rsidRDefault="00D15B1C" w:rsidP="00E258D8">
      <w:pPr>
        <w:tabs>
          <w:tab w:val="left" w:pos="1430"/>
        </w:tabs>
        <w:rPr>
          <w:b/>
          <w:sz w:val="24"/>
          <w:rFonts w:ascii="Times New Roman" w:hAnsi="Times New Roman" w:cs="Times New Roman"/>
        </w:rPr>
      </w:pPr>
      <w:r>
        <w:rPr>
          <w:sz w:val="24"/>
          <w:b/>
          <w:rFonts w:ascii="Times New Roman" w:hAnsi="Times New Roman"/>
        </w:rPr>
        <w:t xml:space="preserve">Tabell EU OVC – Information om den interna processen för bedömning av kapitalbehov.</w:t>
      </w:r>
      <w:r>
        <w:rPr>
          <w:sz w:val="24"/>
          <w:b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Flexibelt format.</w:t>
      </w:r>
    </w:p>
    <w:p w14:paraId="6F8896EF" w14:textId="77777777" w:rsidR="00D15B1C" w:rsidRPr="00232C88" w:rsidRDefault="00D15B1C" w:rsidP="00E258D8">
      <w:pPr>
        <w:tabs>
          <w:tab w:val="left" w:pos="1430"/>
        </w:tabs>
        <w:rPr>
          <w:rFonts w:ascii="Times New Roman" w:hAnsi="Times New Roman" w:cs="Times New Roman"/>
          <w:b/>
          <w:sz w:val="24"/>
        </w:rPr>
      </w:pPr>
    </w:p>
    <w:p w14:paraId="6613540B" w14:textId="261E4F52" w:rsidR="00D15B1C" w:rsidRPr="00232C88" w:rsidRDefault="00D15B1C" w:rsidP="009260D6">
      <w:pPr>
        <w:pStyle w:val="Titlelevel2"/>
        <w:numPr>
          <w:ilvl w:val="0"/>
          <w:numId w:val="14"/>
        </w:numPr>
        <w:spacing w:before="120" w:after="120"/>
        <w:ind w:left="426"/>
        <w:jc w:val="both"/>
        <w:rPr>
          <w:color w:val="auto"/>
          <w:sz w:val="24"/>
          <w:rFonts w:ascii="Times New Roman" w:hAnsi="Times New Roman" w:cs="Times New Roman"/>
        </w:rPr>
      </w:pPr>
      <w:r>
        <w:rPr>
          <w:color w:val="auto"/>
          <w:sz w:val="24"/>
          <w:rFonts w:ascii="Times New Roman" w:hAnsi="Times New Roman"/>
        </w:rPr>
        <w:t xml:space="preserve">Instituten ska följa de instruktioner som anges nedan i denna bilaga för att fylla i tabell EU OVC, vilken återfinns i bilaga I, vid tillämpning av artikel 438 a och c i förordning (EU) nr 575/2013.</w:t>
      </w:r>
    </w:p>
    <w:p w14:paraId="32023AC9" w14:textId="77777777" w:rsidR="00D15B1C" w:rsidRPr="00232C88" w:rsidRDefault="00D15B1C" w:rsidP="00E258D8">
      <w:pPr>
        <w:tabs>
          <w:tab w:val="left" w:pos="1430"/>
        </w:tabs>
        <w:rPr>
          <w:rFonts w:ascii="Times New Roman" w:hAnsi="Times New Roman" w:cs="Times New Roman"/>
          <w:b/>
          <w:sz w:val="24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232C88" w:rsidRPr="00232C88" w14:paraId="09F4A28B" w14:textId="77777777" w:rsidTr="00B2180A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A96101B" w14:textId="77777777" w:rsidR="00D15B1C" w:rsidRPr="00232C88" w:rsidRDefault="00D15B1C" w:rsidP="00B2180A">
            <w:pPr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Rättsliga hänvisningar och instruktioner</w:t>
            </w:r>
          </w:p>
        </w:tc>
      </w:tr>
      <w:tr w:rsidR="00232C88" w:rsidRPr="00232C88" w14:paraId="6CAC9422" w14:textId="77777777" w:rsidTr="00B2180A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090C73F5" w14:textId="77777777" w:rsidR="00D15B1C" w:rsidRPr="00232C88" w:rsidRDefault="00D15B1C" w:rsidP="00B2180A">
            <w:pPr>
              <w:autoSpaceDE w:val="0"/>
              <w:autoSpaceDN w:val="0"/>
              <w:adjustRightInd w:val="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Rad nr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3DC94017" w14:textId="77777777" w:rsidR="00D15B1C" w:rsidRPr="00232C88" w:rsidRDefault="00D15B1C" w:rsidP="00B2180A">
            <w:pPr>
              <w:autoSpaceDE w:val="0"/>
              <w:autoSpaceDN w:val="0"/>
              <w:adjustRightInd w:val="0"/>
              <w:rPr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Förklaring</w:t>
            </w:r>
          </w:p>
        </w:tc>
      </w:tr>
      <w:tr w:rsidR="00232C88" w:rsidRPr="00232C88" w14:paraId="53740EA1" w14:textId="77777777" w:rsidTr="00B2180A">
        <w:trPr>
          <w:trHeight w:val="680"/>
        </w:trPr>
        <w:tc>
          <w:tcPr>
            <w:tcW w:w="1384" w:type="dxa"/>
          </w:tcPr>
          <w:p w14:paraId="33BBDE21" w14:textId="2466B35E" w:rsidR="00D15B1C" w:rsidRPr="00232C88" w:rsidRDefault="00D85025" w:rsidP="00B2180A">
            <w:pPr>
              <w:pStyle w:val="Applicationdirecte"/>
              <w:spacing w:before="60"/>
              <w:jc w:val="center"/>
            </w:pPr>
            <w:r>
              <w:t xml:space="preserve">a)</w:t>
            </w:r>
          </w:p>
        </w:tc>
        <w:tc>
          <w:tcPr>
            <w:tcW w:w="7655" w:type="dxa"/>
            <w:vAlign w:val="center"/>
          </w:tcPr>
          <w:p w14:paraId="4945628B" w14:textId="41ECE8DA" w:rsidR="00B05624" w:rsidRPr="00232C88" w:rsidRDefault="00B05624" w:rsidP="00B2180A">
            <w:pPr>
              <w:spacing w:before="60" w:after="120"/>
              <w:jc w:val="both"/>
              <w:rPr>
                <w:b/>
                <w:bCs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Metod för bedömning av deras interna kapitals tillräcklighet</w:t>
            </w:r>
          </w:p>
          <w:p w14:paraId="05E23E13" w14:textId="77777777" w:rsidR="00D15B1C" w:rsidRPr="00232C88" w:rsidRDefault="00B05624" w:rsidP="00B05624">
            <w:pPr>
              <w:spacing w:before="6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Instituten ska offentliggöra en sammanfattning av sin metod för bedömning av deras interna kapitals tillräcklighet som stöd till pågående och framtida verksamhet.</w:t>
            </w:r>
          </w:p>
        </w:tc>
      </w:tr>
      <w:tr w:rsidR="00D15B1C" w:rsidRPr="00232C88" w14:paraId="3EB24671" w14:textId="77777777" w:rsidTr="00B2180A">
        <w:trPr>
          <w:trHeight w:val="680"/>
        </w:trPr>
        <w:tc>
          <w:tcPr>
            <w:tcW w:w="1384" w:type="dxa"/>
          </w:tcPr>
          <w:p w14:paraId="26622B61" w14:textId="577E7939" w:rsidR="00D15B1C" w:rsidRPr="00232C88" w:rsidRDefault="00D85025" w:rsidP="00B2180A">
            <w:pPr>
              <w:pStyle w:val="Applicationdirecte"/>
              <w:spacing w:before="60"/>
              <w:jc w:val="center"/>
            </w:pPr>
            <w:r>
              <w:t xml:space="preserve">b)</w:t>
            </w:r>
          </w:p>
        </w:tc>
        <w:tc>
          <w:tcPr>
            <w:tcW w:w="7655" w:type="dxa"/>
            <w:vAlign w:val="center"/>
          </w:tcPr>
          <w:p w14:paraId="1F26E981" w14:textId="2FD580C4" w:rsidR="00B05624" w:rsidRPr="00232C88" w:rsidRDefault="00B05624" w:rsidP="00B2180A">
            <w:pPr>
              <w:spacing w:before="60" w:after="120"/>
              <w:jc w:val="both"/>
              <w:rPr>
                <w:b/>
                <w:bCs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På begäran av den relevanta behöriga myndigheten, resultatet av institutets interna process för bedömning av kapitalbehov.</w:t>
            </w:r>
          </w:p>
          <w:p w14:paraId="32D8B55C" w14:textId="77777777" w:rsidR="00D15B1C" w:rsidRPr="00232C88" w:rsidRDefault="00B05624" w:rsidP="00B2180A">
            <w:pPr>
              <w:spacing w:before="6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Denna information ska endast offentliggöras av instituten om detta begärs av den relevanta behöriga myndigheten.</w:t>
            </w:r>
          </w:p>
        </w:tc>
      </w:tr>
    </w:tbl>
    <w:p w14:paraId="10DD1F8C" w14:textId="28F606EF" w:rsidR="00203C1C" w:rsidRPr="00232C88" w:rsidRDefault="00203C1C">
      <w:pPr>
        <w:rPr>
          <w:rFonts w:ascii="Times New Roman" w:hAnsi="Times New Roman" w:cs="Times New Roman"/>
          <w:b/>
          <w:sz w:val="24"/>
        </w:rPr>
      </w:pPr>
    </w:p>
    <w:p w14:paraId="5A44B512" w14:textId="6E4279E1" w:rsidR="00DC2C46" w:rsidRPr="00232C88" w:rsidRDefault="00DC2C46" w:rsidP="00DC2C46">
      <w:pPr>
        <w:spacing w:after="120"/>
        <w:jc w:val="both"/>
        <w:rPr>
          <w:sz w:val="24"/>
          <w:rFonts w:ascii="Times New Roman" w:hAnsi="Times New Roman" w:cs="Times New Roman"/>
        </w:rPr>
      </w:pPr>
      <w:r>
        <w:rPr>
          <w:sz w:val="24"/>
          <w:b/>
          <w:rFonts w:ascii="Times New Roman" w:hAnsi="Times New Roman"/>
        </w:rPr>
        <w:t xml:space="preserve">Mall EU CMS1 – Jämförelse mellan modellerade och standardiserade riskvägda exponeringsbelopp på risknivå</w:t>
      </w:r>
      <w:r>
        <w:rPr>
          <w:sz w:val="24"/>
          <w:b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Fast format.</w:t>
      </w:r>
    </w:p>
    <w:p w14:paraId="36DAA287" w14:textId="6AC070E1" w:rsidR="0084180E" w:rsidRPr="00232C88" w:rsidRDefault="00DC2C46" w:rsidP="4D769726">
      <w:pPr>
        <w:pStyle w:val="Titlelevel2"/>
        <w:numPr>
          <w:ilvl w:val="0"/>
          <w:numId w:val="14"/>
        </w:numPr>
        <w:spacing w:before="120" w:after="120"/>
        <w:ind w:left="426"/>
        <w:jc w:val="both"/>
        <w:rPr>
          <w:color w:val="auto"/>
          <w:sz w:val="24"/>
          <w:rFonts w:ascii="Times New Roman" w:hAnsi="Times New Roman" w:cs="Times New Roman"/>
        </w:rPr>
      </w:pPr>
      <w:r>
        <w:rPr>
          <w:color w:val="auto"/>
          <w:sz w:val="24"/>
          <w:rFonts w:ascii="Times New Roman" w:hAnsi="Times New Roman"/>
        </w:rPr>
        <w:t xml:space="preserve">Instituten ska följa de instruktioner som anges nedan i denna bilaga för att fylla i mall EU CMS1, vilken återfinns i bilaga I, vid tillämpning av artikel 438 d och da i förordning (EU) nr 575/2013.</w:t>
      </w:r>
    </w:p>
    <w:p w14:paraId="57705F0E" w14:textId="35F79DC6" w:rsidR="00E86C14" w:rsidRPr="00232C88" w:rsidRDefault="00E86C14" w:rsidP="00F83255">
      <w:pPr>
        <w:pStyle w:val="Titlelevel2"/>
        <w:numPr>
          <w:ilvl w:val="0"/>
          <w:numId w:val="14"/>
        </w:numPr>
        <w:spacing w:before="120" w:after="120"/>
        <w:ind w:left="426"/>
        <w:jc w:val="both"/>
        <w:rPr>
          <w:color w:val="auto"/>
          <w:sz w:val="24"/>
          <w:rFonts w:ascii="Times New Roman" w:hAnsi="Times New Roman" w:cs="Times New Roman"/>
        </w:rPr>
      </w:pPr>
      <w:r>
        <w:rPr>
          <w:color w:val="auto"/>
          <w:sz w:val="24"/>
          <w:rFonts w:ascii="Times New Roman" w:hAnsi="Times New Roman"/>
        </w:rPr>
        <w:t xml:space="preserve">Denna mall ska endast offentliggöras av de institut som använder en intern modell som godkänts av den behöriga myndigheten för beräkning av riskvägda exponeringsbelopp och som inte omfattas av undantaget i artikel 92.3 andra stycket i förordning (EU) nr 575/2013.</w:t>
      </w:r>
    </w:p>
    <w:p w14:paraId="022B4D4D" w14:textId="5C9C14ED" w:rsidR="009E1A3F" w:rsidRPr="00232C88" w:rsidRDefault="00644388" w:rsidP="009E1A3F">
      <w:pPr>
        <w:pStyle w:val="Titlelevel2"/>
        <w:numPr>
          <w:ilvl w:val="0"/>
          <w:numId w:val="14"/>
        </w:numPr>
        <w:spacing w:before="120" w:after="120"/>
        <w:ind w:left="426"/>
        <w:jc w:val="both"/>
        <w:rPr>
          <w:color w:val="auto"/>
          <w:sz w:val="24"/>
          <w:rFonts w:ascii="Times New Roman" w:hAnsi="Times New Roman" w:cs="Times New Roman"/>
        </w:rPr>
      </w:pPr>
      <w:r>
        <w:rPr>
          <w:color w:val="auto"/>
          <w:sz w:val="24"/>
          <w:rFonts w:ascii="Times New Roman" w:hAnsi="Times New Roman"/>
        </w:rPr>
        <w:t xml:space="preserve">I den beskrivning som medföljer mallen ska instituten, i relevanta fall, förklara effekten på beräkningen av kapitalbas och riskvägt exponeringsbelopp som följer av att kapitalgolv tillämpas och att poster inte dras av från kapitalbasen.</w:t>
      </w:r>
    </w:p>
    <w:p w14:paraId="2DEA712B" w14:textId="0B1ED4FA" w:rsidR="00644388" w:rsidRPr="00232C88" w:rsidRDefault="00D07048" w:rsidP="009E1A3F">
      <w:pPr>
        <w:pStyle w:val="Titlelevel2"/>
        <w:numPr>
          <w:ilvl w:val="0"/>
          <w:numId w:val="14"/>
        </w:numPr>
        <w:spacing w:before="120" w:after="120"/>
        <w:ind w:left="426"/>
        <w:jc w:val="both"/>
        <w:rPr>
          <w:color w:val="auto"/>
          <w:sz w:val="24"/>
          <w:rFonts w:ascii="Times New Roman" w:hAnsi="Times New Roman" w:cs="Times New Roman"/>
        </w:rPr>
      </w:pPr>
      <w:r>
        <w:rPr>
          <w:color w:val="auto"/>
          <w:sz w:val="24"/>
          <w:rFonts w:ascii="Times New Roman" w:hAnsi="Times New Roman"/>
        </w:rPr>
        <w:t xml:space="preserve">Om exponeringarna enligt internmetoden har undantagits från sina exponeringsklasser enligt internmetoden i enlighet med instruktionerna nedan för raderna och offentliggjorts i någon av de exponeringsklasser enligt schablonmetoden som förtecknas i mallen, ska instituten i den beskrivning som medföljer mallen ange sina ursprungliga exponeringsklasser enligt internmetoden.</w:t>
      </w:r>
      <w:r>
        <w:rPr>
          <w:color w:val="auto"/>
          <w:sz w:val="24"/>
          <w:rFonts w:ascii="Times New Roman" w:hAnsi="Times New Roman"/>
        </w:rPr>
        <w:t xml:space="preserve"> </w:t>
      </w:r>
    </w:p>
    <w:p w14:paraId="7F5020E2" w14:textId="77777777" w:rsidR="004E19D2" w:rsidRPr="00232C88" w:rsidRDefault="004E19D2" w:rsidP="004E19D2">
      <w:pPr>
        <w:pStyle w:val="Titlelevel2"/>
        <w:spacing w:before="120" w:after="120"/>
        <w:ind w:left="66"/>
        <w:jc w:val="both"/>
        <w:rPr>
          <w:rFonts w:ascii="Times New Roman" w:hAnsi="Times New Roman" w:cs="Times New Roman"/>
          <w:color w:val="auto"/>
          <w:sz w:val="24"/>
          <w:lang w:val="en-GB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1384"/>
        <w:gridCol w:w="7655"/>
      </w:tblGrid>
      <w:tr w:rsidR="00232C88" w:rsidRPr="00232C88" w14:paraId="0E2D180A" w14:textId="77777777" w:rsidTr="4D769726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54CE7A5" w14:textId="77777777" w:rsidR="0090729F" w:rsidRPr="00232C88" w:rsidRDefault="0090729F" w:rsidP="00AF3FBC">
            <w:pPr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Rättsliga hänvisningar och instruktioner</w:t>
            </w:r>
          </w:p>
        </w:tc>
      </w:tr>
      <w:tr w:rsidR="00232C88" w:rsidRPr="00232C88" w14:paraId="4FE9F154" w14:textId="77777777" w:rsidTr="4D769726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38DC7ECC" w14:textId="741704A1" w:rsidR="0090729F" w:rsidRPr="00232C88" w:rsidRDefault="0090729F" w:rsidP="00AF3FBC">
            <w:pPr>
              <w:autoSpaceDE w:val="0"/>
              <w:autoSpaceDN w:val="0"/>
              <w:adjustRightInd w:val="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Kolumn nr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7DF92C07" w14:textId="77777777" w:rsidR="0090729F" w:rsidRPr="00232C88" w:rsidRDefault="0090729F" w:rsidP="00AF3FBC">
            <w:pPr>
              <w:autoSpaceDE w:val="0"/>
              <w:autoSpaceDN w:val="0"/>
              <w:adjustRightInd w:val="0"/>
              <w:rPr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Förklaring</w:t>
            </w:r>
          </w:p>
        </w:tc>
      </w:tr>
      <w:tr w:rsidR="00232C88" w:rsidRPr="00232C88" w14:paraId="74E16454" w14:textId="77777777" w:rsidTr="4D769726">
        <w:trPr>
          <w:trHeight w:val="680"/>
        </w:trPr>
        <w:tc>
          <w:tcPr>
            <w:tcW w:w="1384" w:type="dxa"/>
          </w:tcPr>
          <w:p w14:paraId="33EF7E61" w14:textId="790317FD" w:rsidR="00351A65" w:rsidRPr="00232C88" w:rsidRDefault="00351A65" w:rsidP="0028295F">
            <w:pPr>
              <w:pStyle w:val="Applicationdirecte"/>
              <w:spacing w:before="60"/>
              <w:jc w:val="center"/>
            </w:pPr>
            <w:r>
              <w:t xml:space="preserve">a</w:t>
            </w:r>
          </w:p>
        </w:tc>
        <w:tc>
          <w:tcPr>
            <w:tcW w:w="7655" w:type="dxa"/>
            <w:vAlign w:val="center"/>
          </w:tcPr>
          <w:p w14:paraId="0166BCE4" w14:textId="3E30296F" w:rsidR="00351A65" w:rsidRPr="00232C88" w:rsidRDefault="00351A65" w:rsidP="00351A65">
            <w:pPr>
              <w:spacing w:before="60"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Riskvägt exponeringsbelopp för modellerade metoder som institut har tillsynsmyndighetens godkännande att använda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</w:p>
          <w:p w14:paraId="1E62CED4" w14:textId="7081BEE8" w:rsidR="00351A65" w:rsidRPr="00232C88" w:rsidRDefault="00950346" w:rsidP="00950346">
            <w:pPr>
              <w:spacing w:before="6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Andel riskvägda exponeringsbelopp som beräknats med interna modeller som godkänts av den behöriga myndigheten.</w:t>
            </w:r>
          </w:p>
        </w:tc>
      </w:tr>
      <w:tr w:rsidR="00232C88" w:rsidRPr="00232C88" w14:paraId="1A199F0E" w14:textId="77777777" w:rsidTr="4D769726">
        <w:trPr>
          <w:trHeight w:val="680"/>
        </w:trPr>
        <w:tc>
          <w:tcPr>
            <w:tcW w:w="1384" w:type="dxa"/>
          </w:tcPr>
          <w:p w14:paraId="385C4F72" w14:textId="40314A24" w:rsidR="00351A65" w:rsidRPr="00232C88" w:rsidRDefault="00351A65" w:rsidP="00351A65">
            <w:pPr>
              <w:pStyle w:val="Applicationdirecte"/>
              <w:spacing w:before="60"/>
              <w:jc w:val="center"/>
            </w:pPr>
            <w:r>
              <w:t xml:space="preserve">b</w:t>
            </w:r>
          </w:p>
          <w:p w14:paraId="78AEC7BE" w14:textId="100929C8" w:rsidR="00351A65" w:rsidRPr="00232C88" w:rsidRDefault="00351A65" w:rsidP="00351A65">
            <w:pPr>
              <w:pStyle w:val="Applicationdirecte"/>
              <w:spacing w:before="60"/>
              <w:jc w:val="center"/>
            </w:pPr>
          </w:p>
        </w:tc>
        <w:tc>
          <w:tcPr>
            <w:tcW w:w="7655" w:type="dxa"/>
          </w:tcPr>
          <w:p w14:paraId="486091D8" w14:textId="77777777" w:rsidR="00351A65" w:rsidRPr="00232C88" w:rsidRDefault="00351A65" w:rsidP="00351A65">
            <w:pPr>
              <w:spacing w:before="60"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Riskvägt exponeringsbelopp för portföljer för vilka schablonmetoder används</w:t>
            </w:r>
          </w:p>
          <w:p w14:paraId="6431BFCE" w14:textId="53947197" w:rsidR="00351A65" w:rsidRPr="00232C88" w:rsidRDefault="00950346" w:rsidP="00950346">
            <w:pPr>
              <w:spacing w:before="60"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Andel riskvägda exponeringsbelopp som beräknats enligt schablonmetoder.</w:t>
            </w:r>
          </w:p>
        </w:tc>
      </w:tr>
      <w:tr w:rsidR="00232C88" w:rsidRPr="00232C88" w14:paraId="692C5268" w14:textId="77777777" w:rsidTr="4D769726">
        <w:trPr>
          <w:trHeight w:val="680"/>
        </w:trPr>
        <w:tc>
          <w:tcPr>
            <w:tcW w:w="1384" w:type="dxa"/>
          </w:tcPr>
          <w:p w14:paraId="47D9BD13" w14:textId="6C0E8653" w:rsidR="00351A65" w:rsidRPr="00232C88" w:rsidRDefault="00351A65" w:rsidP="00351A65">
            <w:pPr>
              <w:pStyle w:val="Applicationdirecte"/>
              <w:spacing w:before="60"/>
              <w:jc w:val="center"/>
            </w:pPr>
            <w:r>
              <w:t xml:space="preserve">c</w:t>
            </w:r>
          </w:p>
        </w:tc>
        <w:tc>
          <w:tcPr>
            <w:tcW w:w="7655" w:type="dxa"/>
          </w:tcPr>
          <w:p w14:paraId="6D88AF07" w14:textId="76468D2A" w:rsidR="00351A65" w:rsidRPr="00232C88" w:rsidRDefault="004E19D2" w:rsidP="00351A65">
            <w:pPr>
              <w:spacing w:before="60"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Totala faktiska riskvägda exponeringsbelopp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</w:p>
          <w:p w14:paraId="07374A49" w14:textId="776C8579" w:rsidR="00351A65" w:rsidRPr="00232C88" w:rsidRDefault="00E86C14" w:rsidP="00E86C14">
            <w:pPr>
              <w:spacing w:before="6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Summan av kolumnerna a och b,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dvs. riskvägda exponeringsbelopp som instituten rapporterar enligt tillämpliga metoder.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De totala faktiska riskvägda exponeringsbelopp som offentliggörs på rad 8 motsvarar beloppet före kapitalgolvsjusteringen.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  <w:tr w:rsidR="00232C88" w:rsidRPr="00232C88" w14:paraId="4F847923" w14:textId="77777777" w:rsidTr="4D769726">
        <w:trPr>
          <w:trHeight w:val="680"/>
        </w:trPr>
        <w:tc>
          <w:tcPr>
            <w:tcW w:w="1384" w:type="dxa"/>
            <w:vAlign w:val="center"/>
          </w:tcPr>
          <w:p w14:paraId="5A78FA97" w14:textId="03520D20" w:rsidR="00351A65" w:rsidRPr="00232C88" w:rsidRDefault="00351A65" w:rsidP="00351A65">
            <w:pPr>
              <w:pStyle w:val="Applicationdirecte"/>
              <w:spacing w:before="60"/>
              <w:jc w:val="center"/>
            </w:pPr>
            <w:r>
              <w:t xml:space="preserve">d</w:t>
            </w:r>
          </w:p>
        </w:tc>
        <w:tc>
          <w:tcPr>
            <w:tcW w:w="7655" w:type="dxa"/>
          </w:tcPr>
          <w:p w14:paraId="7278E918" w14:textId="77777777" w:rsidR="00351A65" w:rsidRPr="00232C88" w:rsidRDefault="00351A65" w:rsidP="00351A65">
            <w:pPr>
              <w:spacing w:before="60"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Riskvägda exponeringsbelopp beräknade med användning av den fullständiga schablonmetoden</w:t>
            </w:r>
          </w:p>
          <w:p w14:paraId="483ED9BD" w14:textId="77777777" w:rsidR="00DD7C7A" w:rsidRDefault="6016A13E" w:rsidP="4D769726">
            <w:pPr>
              <w:spacing w:before="6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Riskvägda exponeringsbelopp för att jämföra de fullständiga standardiserade riskvägda tillgångarna med modellerade riskvägda exponeringsbelopp som bankerna har tillsynsmyndighetens godkännande att använda, i enlighet med Baselregelverket samt med artikel 438 da i förordning (EU) nr 575/2013.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6908EE47" w14:textId="0FF1BF26" w:rsidR="00AC7521" w:rsidRPr="00232C88" w:rsidRDefault="007727DF" w:rsidP="4D769726">
            <w:pPr>
              <w:spacing w:before="6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Instituten ska offentliggöra det riskvägda exponeringsbeloppet, beräknat i enlighet med artikel 92.5 och 92.6 i förordning (EU) nr 575/2013, utan att tillämpa övergångsbestämmelserna i artikel 465 i den förordningen.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2EB5B6F5" w14:textId="6F0B8F59" w:rsidR="00AB10CF" w:rsidRPr="00232C88" w:rsidRDefault="00AB10CF" w:rsidP="4D769726">
            <w:pPr>
              <w:spacing w:before="6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Det totala belopp som offentliggörs på rad 8 kommer att vara basen för beräkningen av kapitalgolvet i slutet av övergångsperioden för kapitalgolvet.</w:t>
            </w:r>
          </w:p>
          <w:p w14:paraId="6E324A98" w14:textId="3B49151E" w:rsidR="00AF5BD3" w:rsidRPr="00232C88" w:rsidRDefault="00AF5BD3" w:rsidP="673610D2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</w:tr>
      <w:tr w:rsidR="00232C88" w:rsidRPr="00232C88" w14:paraId="668E4F82" w14:textId="77777777" w:rsidTr="4D769726">
        <w:trPr>
          <w:trHeight w:val="680"/>
        </w:trPr>
        <w:tc>
          <w:tcPr>
            <w:tcW w:w="1384" w:type="dxa"/>
            <w:vAlign w:val="center"/>
          </w:tcPr>
          <w:p w14:paraId="5C689C2C" w14:textId="3FE2D0D9" w:rsidR="00351A65" w:rsidRPr="00232C88" w:rsidRDefault="00351A65" w:rsidP="00351A65">
            <w:pPr>
              <w:pStyle w:val="Applicationdirecte"/>
              <w:spacing w:before="60"/>
              <w:jc w:val="center"/>
            </w:pPr>
            <w:r>
              <w:t xml:space="preserve">EU d</w:t>
            </w:r>
          </w:p>
        </w:tc>
        <w:tc>
          <w:tcPr>
            <w:tcW w:w="7655" w:type="dxa"/>
          </w:tcPr>
          <w:p w14:paraId="70A478AA" w14:textId="2F80B1F8" w:rsidR="00351A65" w:rsidRPr="00232C88" w:rsidRDefault="00351A65" w:rsidP="75135BB5">
            <w:pPr>
              <w:spacing w:before="60" w:after="120"/>
              <w:jc w:val="both"/>
              <w:rPr>
                <w:b/>
                <w:bCs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Riskvägda exponeringsbelopp som kapitalgolvet grundar sig på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</w:p>
          <w:p w14:paraId="4BA6D902" w14:textId="43F99074" w:rsidR="00F35EA5" w:rsidRPr="00232C88" w:rsidRDefault="6FD90119" w:rsidP="4D769726">
            <w:pPr>
              <w:spacing w:before="6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Riskvägda exponeringsbelopp för att tillhandahålla basen för beräkningen av kapitalgolvet i enlighet med artikel 438 d i förordning (EU) nr 575/2013.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Instituten ska offentliggöra det riskvägda exponeringsbeloppet, beräknat i enlighet med artikel 92.5 och 92.6 i förordning (EU) nr 575/2013, efter tillämpning av övergångsbestämmelserna i artikel 465 i den förordningen.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6AB6AEED" w14:textId="2212DB1A" w:rsidR="00351A65" w:rsidRPr="00232C88" w:rsidRDefault="00C83C5F" w:rsidP="673610D2">
            <w:pPr>
              <w:spacing w:before="6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Det totala beloppet för riskvägda exponeringsbelopp som offentliggörs på rad 8 är basen för beräkningen av kapitalgolvet.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343C355A" w14:textId="1C3BCD00" w:rsidR="00C83C5F" w:rsidRPr="00232C88" w:rsidRDefault="00C83C5F" w:rsidP="00A26EB4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</w:p>
        </w:tc>
      </w:tr>
      <w:tr w:rsidR="00232C88" w:rsidRPr="00232C88" w14:paraId="6B93F83F" w14:textId="77777777" w:rsidTr="4D769726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F1B0B7A" w14:textId="77777777" w:rsidR="00351A65" w:rsidRPr="00232C88" w:rsidRDefault="00351A65" w:rsidP="00351A65">
            <w:pPr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Rättsliga hänvisningar och instruktioner</w:t>
            </w:r>
          </w:p>
        </w:tc>
      </w:tr>
      <w:tr w:rsidR="00232C88" w:rsidRPr="00232C88" w14:paraId="6201DAB0" w14:textId="77777777" w:rsidTr="4D769726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26A77A2E" w14:textId="77777777" w:rsidR="00351A65" w:rsidRPr="00232C88" w:rsidRDefault="00351A65" w:rsidP="00351A65">
            <w:pPr>
              <w:autoSpaceDE w:val="0"/>
              <w:autoSpaceDN w:val="0"/>
              <w:adjustRightInd w:val="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Rad nr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020702C4" w14:textId="77777777" w:rsidR="00351A65" w:rsidRPr="00232C88" w:rsidRDefault="00351A65" w:rsidP="00351A65">
            <w:pPr>
              <w:autoSpaceDE w:val="0"/>
              <w:autoSpaceDN w:val="0"/>
              <w:adjustRightInd w:val="0"/>
              <w:rPr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Förklaring</w:t>
            </w:r>
          </w:p>
        </w:tc>
      </w:tr>
      <w:tr w:rsidR="00232C88" w:rsidRPr="00232C88" w14:paraId="2FD7990F" w14:textId="77777777" w:rsidTr="4D769726">
        <w:trPr>
          <w:trHeight w:val="680"/>
        </w:trPr>
        <w:tc>
          <w:tcPr>
            <w:tcW w:w="1384" w:type="dxa"/>
          </w:tcPr>
          <w:p w14:paraId="7C2F88B3" w14:textId="62EE5DCF" w:rsidR="00351A65" w:rsidRPr="00232C88" w:rsidRDefault="00351A65" w:rsidP="00351A65">
            <w:pPr>
              <w:pStyle w:val="Applicationdirecte"/>
              <w:spacing w:before="60"/>
              <w:jc w:val="center"/>
            </w:pPr>
            <w:r>
              <w:t xml:space="preserve">1</w:t>
            </w:r>
          </w:p>
        </w:tc>
        <w:tc>
          <w:tcPr>
            <w:tcW w:w="7655" w:type="dxa"/>
            <w:vAlign w:val="center"/>
          </w:tcPr>
          <w:p w14:paraId="6BE15844" w14:textId="77777777" w:rsidR="00351A65" w:rsidRPr="00232C88" w:rsidRDefault="00351A65" w:rsidP="00351A65">
            <w:pPr>
              <w:spacing w:before="60"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Kreditrisk (förutom motpartskreditrisk)</w:t>
            </w:r>
          </w:p>
          <w:p w14:paraId="6FB93949" w14:textId="4AA3D61D" w:rsidR="00351A65" w:rsidRPr="00232C88" w:rsidRDefault="71B55015" w:rsidP="4D769726">
            <w:pPr>
              <w:spacing w:before="6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De riskvägda exponeringsbelopp som beräknats i enlighet med del tre avdelning II kapitel 1–4 i förordning (EU) nr 575/2013.</w:t>
            </w:r>
          </w:p>
        </w:tc>
      </w:tr>
      <w:tr w:rsidR="00232C88" w:rsidRPr="00232C88" w14:paraId="05203C86" w14:textId="77777777" w:rsidTr="4D769726">
        <w:trPr>
          <w:trHeight w:val="680"/>
        </w:trPr>
        <w:tc>
          <w:tcPr>
            <w:tcW w:w="1384" w:type="dxa"/>
          </w:tcPr>
          <w:p w14:paraId="7D17B1E2" w14:textId="486C4BD0" w:rsidR="00351A65" w:rsidRPr="00232C88" w:rsidRDefault="00351A65" w:rsidP="00254EDB">
            <w:pPr>
              <w:pStyle w:val="Fait"/>
              <w:jc w:val="center"/>
            </w:pPr>
            <w:r>
              <w:t xml:space="preserve">2</w:t>
            </w:r>
          </w:p>
        </w:tc>
        <w:tc>
          <w:tcPr>
            <w:tcW w:w="7655" w:type="dxa"/>
          </w:tcPr>
          <w:p w14:paraId="193663C9" w14:textId="77777777" w:rsidR="00351A65" w:rsidRPr="00232C88" w:rsidRDefault="00351A65" w:rsidP="00351A65">
            <w:pPr>
              <w:spacing w:before="60"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Motpartskreditrisk</w:t>
            </w:r>
          </w:p>
          <w:p w14:paraId="3182E1E1" w14:textId="33BA5B0B" w:rsidR="00351A65" w:rsidRPr="00232C88" w:rsidRDefault="71B55015" w:rsidP="4D769726">
            <w:pPr>
              <w:spacing w:before="60"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De riskvägda exponeringsbelopp som beräknats i enlighet med del tre avdelning II kapitel 6 i förordning (EU) nr 575/2013.</w:t>
            </w:r>
          </w:p>
        </w:tc>
      </w:tr>
      <w:tr w:rsidR="00232C88" w:rsidRPr="00232C88" w14:paraId="0E67419A" w14:textId="77777777" w:rsidTr="4D769726">
        <w:trPr>
          <w:trHeight w:val="436"/>
        </w:trPr>
        <w:tc>
          <w:tcPr>
            <w:tcW w:w="1384" w:type="dxa"/>
          </w:tcPr>
          <w:p w14:paraId="40BE949B" w14:textId="7E78931F" w:rsidR="00351A65" w:rsidRPr="00232C88" w:rsidRDefault="00351A65" w:rsidP="00351A65">
            <w:pPr>
              <w:pStyle w:val="Applicationdirecte"/>
              <w:spacing w:before="60"/>
              <w:jc w:val="center"/>
            </w:pPr>
            <w:r>
              <w:t xml:space="preserve">3</w:t>
            </w:r>
          </w:p>
        </w:tc>
        <w:tc>
          <w:tcPr>
            <w:tcW w:w="7655" w:type="dxa"/>
          </w:tcPr>
          <w:p w14:paraId="6CFEBE25" w14:textId="77777777" w:rsidR="00351A65" w:rsidRPr="00232C88" w:rsidRDefault="00351A65" w:rsidP="00351A65">
            <w:pPr>
              <w:spacing w:before="60"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Kreditvärdighetsjustering</w:t>
            </w:r>
          </w:p>
          <w:p w14:paraId="4656E3A0" w14:textId="3193E711" w:rsidR="005B7CFD" w:rsidRPr="00232C88" w:rsidRDefault="71B55015" w:rsidP="4D769726">
            <w:pPr>
              <w:spacing w:before="60"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De riskvägda exponeringsbelopp som beräknats i enlighet med del tre avdelning VI i förordning (EU) nr 575/2013.</w:t>
            </w:r>
          </w:p>
        </w:tc>
      </w:tr>
      <w:tr w:rsidR="00232C88" w:rsidRPr="00232C88" w14:paraId="37A8BA3A" w14:textId="77777777" w:rsidTr="4D769726">
        <w:trPr>
          <w:trHeight w:val="557"/>
        </w:trPr>
        <w:tc>
          <w:tcPr>
            <w:tcW w:w="1384" w:type="dxa"/>
          </w:tcPr>
          <w:p w14:paraId="2A4C6792" w14:textId="1C7FA820" w:rsidR="00351A65" w:rsidRPr="00232C88" w:rsidRDefault="00351A65" w:rsidP="00351A65">
            <w:pPr>
              <w:pStyle w:val="Applicationdirecte"/>
              <w:spacing w:before="60"/>
              <w:jc w:val="center"/>
            </w:pPr>
            <w:r>
              <w:t xml:space="preserve">4</w:t>
            </w:r>
          </w:p>
        </w:tc>
        <w:tc>
          <w:tcPr>
            <w:tcW w:w="7655" w:type="dxa"/>
          </w:tcPr>
          <w:p w14:paraId="25F6392F" w14:textId="77777777" w:rsidR="00351A65" w:rsidRPr="00232C88" w:rsidRDefault="00351A65" w:rsidP="00351A65">
            <w:pPr>
              <w:spacing w:before="60"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Värdepapperiseringsexponeringar utanför handelslagret</w:t>
            </w:r>
          </w:p>
          <w:p w14:paraId="12148115" w14:textId="25CD441A" w:rsidR="005B7CFD" w:rsidRPr="00232C88" w:rsidRDefault="71B55015" w:rsidP="4D769726">
            <w:pPr>
              <w:spacing w:before="6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De riskvägda exponeringsbelopp som beräknats i enlighet med del tre avdelning II kapitel 5 i förordning (EU) nr 575/2013.</w:t>
            </w:r>
          </w:p>
        </w:tc>
      </w:tr>
      <w:tr w:rsidR="00232C88" w:rsidRPr="00232C88" w14:paraId="37C41D09" w14:textId="77777777" w:rsidTr="4D769726">
        <w:trPr>
          <w:trHeight w:val="557"/>
        </w:trPr>
        <w:tc>
          <w:tcPr>
            <w:tcW w:w="1384" w:type="dxa"/>
          </w:tcPr>
          <w:p w14:paraId="5EFD145E" w14:textId="230E71D0" w:rsidR="00351A65" w:rsidRPr="00232C88" w:rsidRDefault="00351A65" w:rsidP="00351A65">
            <w:pPr>
              <w:pStyle w:val="Applicationdirecte"/>
              <w:spacing w:before="60"/>
              <w:jc w:val="center"/>
            </w:pPr>
            <w:r>
              <w:t xml:space="preserve">5</w:t>
            </w:r>
          </w:p>
        </w:tc>
        <w:tc>
          <w:tcPr>
            <w:tcW w:w="7655" w:type="dxa"/>
          </w:tcPr>
          <w:p w14:paraId="23CF498B" w14:textId="77777777" w:rsidR="00351A65" w:rsidRPr="00232C88" w:rsidRDefault="00351A65" w:rsidP="00351A65">
            <w:pPr>
              <w:spacing w:before="60"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Marknadsrisk</w:t>
            </w:r>
          </w:p>
          <w:p w14:paraId="4C641D47" w14:textId="0B6B1BE2" w:rsidR="005B7CFD" w:rsidRPr="00232C88" w:rsidRDefault="7456809E" w:rsidP="4D769726">
            <w:pPr>
              <w:spacing w:before="60"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De riskvägda exponeringsbelopp som beräknats i enlighet med del tre avdelning IV i förordning (EU) nr 575/2013.</w:t>
            </w:r>
          </w:p>
        </w:tc>
      </w:tr>
      <w:tr w:rsidR="00232C88" w:rsidRPr="00232C88" w14:paraId="4C2AD882" w14:textId="77777777" w:rsidTr="4D769726">
        <w:trPr>
          <w:trHeight w:val="557"/>
        </w:trPr>
        <w:tc>
          <w:tcPr>
            <w:tcW w:w="1384" w:type="dxa"/>
          </w:tcPr>
          <w:p w14:paraId="07947594" w14:textId="3C28DF68" w:rsidR="00351A65" w:rsidRPr="00232C88" w:rsidRDefault="00351A65" w:rsidP="00351A65">
            <w:pPr>
              <w:pStyle w:val="Applicationdirecte"/>
              <w:spacing w:before="60"/>
              <w:jc w:val="center"/>
            </w:pPr>
            <w:r>
              <w:t xml:space="preserve">6</w:t>
            </w:r>
          </w:p>
        </w:tc>
        <w:tc>
          <w:tcPr>
            <w:tcW w:w="7655" w:type="dxa"/>
          </w:tcPr>
          <w:p w14:paraId="009D9DD6" w14:textId="77777777" w:rsidR="00950346" w:rsidRPr="00232C88" w:rsidRDefault="00351A65" w:rsidP="00351A65">
            <w:pPr>
              <w:spacing w:before="60"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Operativ risk</w:t>
            </w:r>
          </w:p>
          <w:p w14:paraId="656F593F" w14:textId="7FEAA360" w:rsidR="00351A65" w:rsidRPr="00232C88" w:rsidRDefault="7456809E" w:rsidP="4D769726">
            <w:pPr>
              <w:spacing w:before="60" w:after="120"/>
              <w:jc w:val="both"/>
              <w:rPr>
                <w:b/>
                <w:bCs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De riskvägda exponeringsbelopp som beräknats i enlighet med del tre avdelning III i förordning (EU) nr 575/2013.</w:t>
            </w:r>
          </w:p>
        </w:tc>
      </w:tr>
      <w:tr w:rsidR="00232C88" w:rsidRPr="00232C88" w14:paraId="4B14E2DE" w14:textId="77777777" w:rsidTr="4D769726">
        <w:trPr>
          <w:trHeight w:val="557"/>
        </w:trPr>
        <w:tc>
          <w:tcPr>
            <w:tcW w:w="1384" w:type="dxa"/>
          </w:tcPr>
          <w:p w14:paraId="63FE2337" w14:textId="4B7984F2" w:rsidR="00351A65" w:rsidRPr="00232C88" w:rsidRDefault="00351A65" w:rsidP="00351A65">
            <w:pPr>
              <w:pStyle w:val="Applicationdirecte"/>
              <w:spacing w:before="60"/>
              <w:jc w:val="center"/>
            </w:pPr>
            <w:r>
              <w:t xml:space="preserve">7</w:t>
            </w:r>
          </w:p>
        </w:tc>
        <w:tc>
          <w:tcPr>
            <w:tcW w:w="7655" w:type="dxa"/>
          </w:tcPr>
          <w:p w14:paraId="5DDC7723" w14:textId="77777777" w:rsidR="00950346" w:rsidRPr="00232C88" w:rsidRDefault="00351A65" w:rsidP="00351A65">
            <w:pPr>
              <w:spacing w:before="60"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Övriga riskexponeringsbelopp</w:t>
            </w:r>
          </w:p>
          <w:p w14:paraId="2799E41A" w14:textId="125C8E55" w:rsidR="00351A65" w:rsidRPr="00232C88" w:rsidRDefault="00950346" w:rsidP="00AF5BD3">
            <w:pPr>
              <w:spacing w:before="6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Riskvägda exponeringsbelopp som inte fångas upp på raderna 1–6 (t.ex. riskvägda exponeringsbelopp som härrör från avvecklingsrisk (rad 15 i mall OV1) och belopp under tröskelvärdena för avdrag (rad 25 i mall OV1)).</w:t>
            </w:r>
          </w:p>
        </w:tc>
      </w:tr>
      <w:tr w:rsidR="00351A65" w:rsidRPr="00232C88" w14:paraId="191D5E2D" w14:textId="77777777" w:rsidTr="4D769726">
        <w:trPr>
          <w:trHeight w:val="557"/>
        </w:trPr>
        <w:tc>
          <w:tcPr>
            <w:tcW w:w="1384" w:type="dxa"/>
          </w:tcPr>
          <w:p w14:paraId="473E7834" w14:textId="05FD1FBE" w:rsidR="00351A65" w:rsidRPr="00232C88" w:rsidRDefault="00351A65" w:rsidP="00351A65">
            <w:pPr>
              <w:pStyle w:val="Applicationdirecte"/>
              <w:spacing w:before="60"/>
              <w:jc w:val="center"/>
            </w:pPr>
            <w:r>
              <w:t xml:space="preserve">8</w:t>
            </w:r>
          </w:p>
        </w:tc>
        <w:tc>
          <w:tcPr>
            <w:tcW w:w="7655" w:type="dxa"/>
          </w:tcPr>
          <w:p w14:paraId="096C8EC9" w14:textId="77777777" w:rsidR="00351A65" w:rsidRPr="00232C88" w:rsidRDefault="00351A65" w:rsidP="00351A65">
            <w:pPr>
              <w:spacing w:before="60"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Totalt</w:t>
            </w:r>
          </w:p>
          <w:p w14:paraId="42963FE0" w14:textId="17D5D0F7" w:rsidR="00AF5BD3" w:rsidRPr="00232C88" w:rsidRDefault="00AF5BD3" w:rsidP="00351A65">
            <w:pPr>
              <w:spacing w:before="60" w:after="120"/>
              <w:jc w:val="both"/>
              <w:rPr>
                <w:bCs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Summan av raderna 1–7.</w:t>
            </w:r>
          </w:p>
        </w:tc>
      </w:tr>
    </w:tbl>
    <w:p w14:paraId="367571C1" w14:textId="5871F274" w:rsidR="0090729F" w:rsidRPr="00232C88" w:rsidRDefault="0090729F" w:rsidP="00254EDB">
      <w:pPr>
        <w:pStyle w:val="Titlelevel2"/>
        <w:spacing w:before="120" w:after="120"/>
        <w:ind w:left="66"/>
        <w:rPr>
          <w:rFonts w:ascii="Times New Roman" w:hAnsi="Times New Roman" w:cs="Times New Roman"/>
          <w:color w:val="auto"/>
          <w:sz w:val="24"/>
          <w:lang w:val="en-GB"/>
        </w:rPr>
      </w:pPr>
    </w:p>
    <w:p w14:paraId="1926531C" w14:textId="0BB8D20D" w:rsidR="0090729F" w:rsidRPr="00232C88" w:rsidRDefault="0090729F" w:rsidP="0090729F">
      <w:pPr>
        <w:spacing w:after="120"/>
        <w:jc w:val="both"/>
        <w:rPr>
          <w:sz w:val="24"/>
          <w:rFonts w:ascii="Times New Roman" w:hAnsi="Times New Roman" w:cs="Times New Roman"/>
        </w:rPr>
      </w:pPr>
      <w:r>
        <w:rPr>
          <w:sz w:val="24"/>
          <w:b/>
          <w:rFonts w:ascii="Times New Roman" w:hAnsi="Times New Roman"/>
        </w:rPr>
        <w:t xml:space="preserve">Mall EU CMS2 – Jämförelse mellan modellerade och standardiserade riskvägda exponeringsbelopp för kreditrisk på tillgångsklassnivå.</w:t>
      </w:r>
      <w:r>
        <w:rPr>
          <w:sz w:val="24"/>
          <w:b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Fast format.</w:t>
      </w:r>
    </w:p>
    <w:p w14:paraId="42F388E9" w14:textId="221FF3E0" w:rsidR="00F118ED" w:rsidRPr="00232C88" w:rsidRDefault="0090729F" w:rsidP="4D769726">
      <w:pPr>
        <w:pStyle w:val="Titlelevel2"/>
        <w:numPr>
          <w:ilvl w:val="0"/>
          <w:numId w:val="14"/>
        </w:numPr>
        <w:spacing w:before="120" w:after="120"/>
        <w:ind w:left="426"/>
        <w:jc w:val="both"/>
        <w:rPr>
          <w:color w:val="auto"/>
          <w:sz w:val="24"/>
          <w:rFonts w:ascii="Times New Roman" w:hAnsi="Times New Roman" w:cs="Times New Roman"/>
        </w:rPr>
      </w:pPr>
      <w:r>
        <w:rPr>
          <w:color w:val="auto"/>
          <w:sz w:val="24"/>
          <w:rFonts w:ascii="Times New Roman" w:hAnsi="Times New Roman"/>
        </w:rPr>
        <w:t xml:space="preserve">Instituten ska följa de instruktioner som anges nedan i denna bilaga för att fylla i mall EU CMS2, vilken återfinns i bilaga I, vid tillämpning av artikel 438 d och da i förordning (EU) nr 575/2013.</w:t>
      </w:r>
    </w:p>
    <w:p w14:paraId="6024D251" w14:textId="19497D47" w:rsidR="004E19D2" w:rsidRPr="00232C88" w:rsidRDefault="004E19D2" w:rsidP="4D769726">
      <w:pPr>
        <w:pStyle w:val="Titlelevel2"/>
        <w:numPr>
          <w:ilvl w:val="0"/>
          <w:numId w:val="14"/>
        </w:numPr>
        <w:spacing w:before="120" w:after="120"/>
        <w:ind w:left="426"/>
        <w:jc w:val="both"/>
        <w:rPr>
          <w:color w:val="auto"/>
          <w:sz w:val="24"/>
          <w:rFonts w:ascii="Times New Roman" w:hAnsi="Times New Roman" w:cs="Times New Roman"/>
        </w:rPr>
      </w:pPr>
      <w:r>
        <w:rPr>
          <w:color w:val="auto"/>
          <w:sz w:val="24"/>
          <w:rFonts w:ascii="Times New Roman" w:hAnsi="Times New Roman"/>
        </w:rPr>
        <w:t xml:space="preserve">Denna mall ska endast offentliggöras av de institut som beräknar riskvägda exponeringsbelopp för kreditrisk med hjälp av internmetoder i enlighet med del tre avdelning II kapitel 3 i förordning (EU) nr 575/2013 och som inte omfattas av undantaget i artikel 92.3 andra stycket i förordning (EU) nr 575/2013.</w:t>
      </w:r>
    </w:p>
    <w:p w14:paraId="0BBC334C" w14:textId="77777777" w:rsidR="00054B2E" w:rsidRPr="00232C88" w:rsidRDefault="00054B2E" w:rsidP="00054B2E">
      <w:pPr>
        <w:pStyle w:val="Titlelevel2"/>
        <w:numPr>
          <w:ilvl w:val="0"/>
          <w:numId w:val="14"/>
        </w:numPr>
        <w:spacing w:before="120" w:after="120"/>
        <w:ind w:left="426"/>
        <w:jc w:val="both"/>
        <w:rPr>
          <w:color w:val="auto"/>
          <w:sz w:val="24"/>
          <w:rFonts w:ascii="Times New Roman" w:hAnsi="Times New Roman" w:cs="Times New Roman"/>
        </w:rPr>
      </w:pPr>
      <w:r>
        <w:rPr>
          <w:color w:val="auto"/>
          <w:sz w:val="24"/>
          <w:rFonts w:ascii="Times New Roman" w:hAnsi="Times New Roman"/>
        </w:rPr>
        <w:t xml:space="preserve">I den beskrivning som medföljer mallen ska instituten, i relevanta fall, förklara effekten på beräkningen av kapitalbas och riskvägt exponeringsbelopp som följer av att kapitalgolv tillämpas och att poster inte dras av från kapitalbasen.</w:t>
      </w:r>
    </w:p>
    <w:p w14:paraId="21FDE9C5" w14:textId="77777777" w:rsidR="00054B2E" w:rsidRPr="00232C88" w:rsidRDefault="00054B2E" w:rsidP="00AD7048">
      <w:pPr>
        <w:pStyle w:val="Titlelevel2"/>
        <w:spacing w:before="120" w:after="120"/>
        <w:ind w:left="426"/>
        <w:jc w:val="both"/>
        <w:rPr>
          <w:rFonts w:ascii="Times New Roman" w:hAnsi="Times New Roman" w:cs="Times New Roman"/>
          <w:color w:val="auto"/>
          <w:sz w:val="24"/>
          <w:lang w:val="en-GB"/>
        </w:rPr>
      </w:pPr>
    </w:p>
    <w:p w14:paraId="0FD192F2" w14:textId="77777777" w:rsidR="004E19D2" w:rsidRPr="00232C88" w:rsidRDefault="004E19D2" w:rsidP="004E19D2">
      <w:pPr>
        <w:pStyle w:val="Titlelevel2"/>
        <w:spacing w:before="120" w:after="120"/>
        <w:ind w:left="66"/>
        <w:jc w:val="both"/>
        <w:rPr>
          <w:rFonts w:ascii="Times New Roman" w:hAnsi="Times New Roman" w:cs="Times New Roman"/>
          <w:color w:val="auto"/>
          <w:sz w:val="24"/>
          <w:lang w:val="en-GB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1384"/>
        <w:gridCol w:w="7655"/>
      </w:tblGrid>
      <w:tr w:rsidR="00232C88" w:rsidRPr="00232C88" w14:paraId="5B2B39C6" w14:textId="77777777" w:rsidTr="4D769726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486A8C9" w14:textId="77777777" w:rsidR="00AF3FBC" w:rsidRPr="00232C88" w:rsidRDefault="00AF3FBC" w:rsidP="00AF3FBC">
            <w:pPr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Rättsliga hänvisningar och instruktioner</w:t>
            </w:r>
          </w:p>
        </w:tc>
      </w:tr>
      <w:tr w:rsidR="00232C88" w:rsidRPr="00232C88" w14:paraId="71E65357" w14:textId="77777777" w:rsidTr="4D769726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2708EFE0" w14:textId="08DBC3A8" w:rsidR="00AF3FBC" w:rsidRPr="00232C88" w:rsidRDefault="0084180E" w:rsidP="00AF3FBC">
            <w:pPr>
              <w:autoSpaceDE w:val="0"/>
              <w:autoSpaceDN w:val="0"/>
              <w:adjustRightInd w:val="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Kolumn nr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1CE735F9" w14:textId="77777777" w:rsidR="00AF3FBC" w:rsidRPr="00232C88" w:rsidRDefault="00AF3FBC" w:rsidP="00AF3FBC">
            <w:pPr>
              <w:autoSpaceDE w:val="0"/>
              <w:autoSpaceDN w:val="0"/>
              <w:adjustRightInd w:val="0"/>
              <w:rPr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Förklaring</w:t>
            </w:r>
          </w:p>
        </w:tc>
      </w:tr>
      <w:tr w:rsidR="00232C88" w:rsidRPr="00232C88" w14:paraId="58CC5B00" w14:textId="77777777" w:rsidTr="4D769726">
        <w:trPr>
          <w:trHeight w:val="1070"/>
        </w:trPr>
        <w:tc>
          <w:tcPr>
            <w:tcW w:w="1384" w:type="dxa"/>
          </w:tcPr>
          <w:p w14:paraId="5C1A8115" w14:textId="2981EF66" w:rsidR="00994B4F" w:rsidRPr="00232C88" w:rsidRDefault="00994B4F" w:rsidP="00994B4F">
            <w:pPr>
              <w:pStyle w:val="Applicationdirecte"/>
              <w:spacing w:before="60"/>
              <w:jc w:val="center"/>
            </w:pPr>
            <w:r>
              <w:t xml:space="preserve">a</w:t>
            </w:r>
          </w:p>
        </w:tc>
        <w:tc>
          <w:tcPr>
            <w:tcW w:w="7655" w:type="dxa"/>
            <w:vAlign w:val="center"/>
          </w:tcPr>
          <w:p w14:paraId="35692F32" w14:textId="62C87455" w:rsidR="00994B4F" w:rsidRPr="00232C88" w:rsidRDefault="00994B4F" w:rsidP="00994B4F">
            <w:pPr>
              <w:spacing w:before="60"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Riskvägt exponeringsbelopp för modellerade metoder som institut har tillsynsmyndighetens godkännande att använda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</w:p>
          <w:p w14:paraId="746C8FE1" w14:textId="71AD5C03" w:rsidR="00994B4F" w:rsidRPr="00232C88" w:rsidRDefault="00994B4F" w:rsidP="00994B4F">
            <w:pPr>
              <w:spacing w:before="6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Andel riskvägda exponeringsbelopp beräknade med internmetoder som godkänts av den behöriga myndigheten.</w:t>
            </w:r>
          </w:p>
        </w:tc>
      </w:tr>
      <w:tr w:rsidR="00232C88" w:rsidRPr="00232C88" w14:paraId="7C21C2D4" w14:textId="77777777" w:rsidTr="4D769726">
        <w:trPr>
          <w:trHeight w:val="680"/>
        </w:trPr>
        <w:tc>
          <w:tcPr>
            <w:tcW w:w="1384" w:type="dxa"/>
          </w:tcPr>
          <w:p w14:paraId="1B01229F" w14:textId="77777777" w:rsidR="00994B4F" w:rsidRPr="00232C88" w:rsidRDefault="00994B4F" w:rsidP="00994B4F">
            <w:pPr>
              <w:pStyle w:val="Applicationdirecte"/>
              <w:spacing w:before="60"/>
              <w:jc w:val="center"/>
            </w:pPr>
            <w:r>
              <w:t xml:space="preserve">b</w:t>
            </w:r>
          </w:p>
          <w:p w14:paraId="1C5FD6DF" w14:textId="77777777" w:rsidR="00994B4F" w:rsidRPr="00232C88" w:rsidRDefault="00994B4F" w:rsidP="00994B4F">
            <w:pPr>
              <w:pStyle w:val="Applicationdirecte"/>
              <w:spacing w:before="60"/>
              <w:jc w:val="center"/>
            </w:pPr>
          </w:p>
        </w:tc>
        <w:tc>
          <w:tcPr>
            <w:tcW w:w="7655" w:type="dxa"/>
          </w:tcPr>
          <w:p w14:paraId="3B57AD76" w14:textId="6473A643" w:rsidR="00994B4F" w:rsidRPr="00232C88" w:rsidRDefault="00994B4F" w:rsidP="00994B4F">
            <w:pPr>
              <w:spacing w:before="60"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Riskvägda exponeringsbelopp för kolumn a om de räknas om med användning av schablonmetoden</w:t>
            </w:r>
          </w:p>
          <w:p w14:paraId="23C2E1CF" w14:textId="081428BE" w:rsidR="00994B4F" w:rsidRPr="00232C88" w:rsidRDefault="00994B4F" w:rsidP="004E19D2">
            <w:pPr>
              <w:spacing w:before="60"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Riskvägda exponeringsbelopp beräknade med internmetoder som godkänts av den behöriga myndigheten i kolumn a omräknade med hjälp av schablonmetoden.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Med andra ord, motsvarande schablonmetod för riskvägt exponeringsbelopp för kolumn a.</w:t>
            </w:r>
            <w:r>
              <w:rPr>
                <w:sz w:val="24"/>
                <w:rFonts w:ascii="Times New Roman" w:hAnsi="Times New Roman"/>
              </w:rPr>
              <w:t xml:space="preserve">  </w:t>
            </w:r>
          </w:p>
        </w:tc>
      </w:tr>
      <w:tr w:rsidR="00232C88" w:rsidRPr="00232C88" w14:paraId="1F176A6F" w14:textId="77777777" w:rsidTr="4D769726">
        <w:trPr>
          <w:trHeight w:val="680"/>
        </w:trPr>
        <w:tc>
          <w:tcPr>
            <w:tcW w:w="1384" w:type="dxa"/>
          </w:tcPr>
          <w:p w14:paraId="36AC8644" w14:textId="00AFD014" w:rsidR="00994B4F" w:rsidRPr="00232C88" w:rsidRDefault="00994B4F" w:rsidP="00994B4F">
            <w:pPr>
              <w:pStyle w:val="Applicationdirecte"/>
              <w:spacing w:before="60"/>
              <w:jc w:val="center"/>
            </w:pPr>
            <w:r>
              <w:t xml:space="preserve">c</w:t>
            </w:r>
          </w:p>
        </w:tc>
        <w:tc>
          <w:tcPr>
            <w:tcW w:w="7655" w:type="dxa"/>
          </w:tcPr>
          <w:p w14:paraId="780C998F" w14:textId="70BDCFF8" w:rsidR="00994B4F" w:rsidRPr="00232C88" w:rsidRDefault="004E19D2" w:rsidP="00994B4F">
            <w:pPr>
              <w:spacing w:before="60"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Totala faktiska riskvägda exponeringsbelopp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</w:p>
          <w:p w14:paraId="13A79EFF" w14:textId="377057AF" w:rsidR="00994B4F" w:rsidRPr="00232C88" w:rsidRDefault="00E86C14" w:rsidP="001B30FD">
            <w:pPr>
              <w:spacing w:before="60"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Riskvägda exponeringsbelopp som instituten rapporterar som faktiska krav.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Summan av riskvägda exponeringsbelopp enligt internmetoder som instituten har tillsynsmyndighetens godkännande att använda och riskvägda exponeringsbelopp enligt schablonmetoder.</w:t>
            </w:r>
          </w:p>
        </w:tc>
      </w:tr>
      <w:tr w:rsidR="00232C88" w:rsidRPr="00232C88" w14:paraId="10BA21EE" w14:textId="77777777" w:rsidTr="4D769726">
        <w:trPr>
          <w:trHeight w:val="680"/>
        </w:trPr>
        <w:tc>
          <w:tcPr>
            <w:tcW w:w="1384" w:type="dxa"/>
            <w:vAlign w:val="center"/>
          </w:tcPr>
          <w:p w14:paraId="79B964DE" w14:textId="38CF8E84" w:rsidR="00994B4F" w:rsidRPr="00232C88" w:rsidRDefault="00994B4F" w:rsidP="00994B4F">
            <w:pPr>
              <w:pStyle w:val="Applicationdirecte"/>
              <w:spacing w:before="60"/>
              <w:jc w:val="center"/>
            </w:pPr>
            <w:r>
              <w:t xml:space="preserve">d</w:t>
            </w:r>
          </w:p>
        </w:tc>
        <w:tc>
          <w:tcPr>
            <w:tcW w:w="7655" w:type="dxa"/>
          </w:tcPr>
          <w:p w14:paraId="12F263E0" w14:textId="77777777" w:rsidR="00994B4F" w:rsidRPr="00232C88" w:rsidRDefault="00994B4F" w:rsidP="00994B4F">
            <w:pPr>
              <w:spacing w:before="60"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Riskvägda exponeringsbelopp beräknade med användning av den fullständiga schablonmetoden</w:t>
            </w:r>
          </w:p>
          <w:p w14:paraId="023D1C65" w14:textId="77777777" w:rsidR="00192044" w:rsidRDefault="6FD90119" w:rsidP="4D769726">
            <w:pPr>
              <w:spacing w:before="6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Riskvägda exponeringsbelopp för att jämföra de fullständiga standardiserade riskvägda tillgångarna för kreditrisk på tillgångsklassnivå med motsvarande modellerade riskvägda exponeringsbelopp som bankerna har tillsynsmyndighetens godkännande att använda för kreditrisk, i enlighet med Baselregelverket samt med artikel 438 da i förordning (EU) nr 575/2013.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63C23AE2" w14:textId="72D220B1" w:rsidR="00AC7521" w:rsidRPr="00232C88" w:rsidRDefault="007727DF" w:rsidP="4D769726">
            <w:pPr>
              <w:spacing w:before="6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Instituten ska offentliggöra det riskvägda exponeringsbeloppet, beräknat i enlighet med artikel 92.5 och 92.6 i förordning (EU) nr 575/2013, utan att tillämpa övergångsbestämmelserna i artikel 465 i den förordningen.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585F96E7" w14:textId="5936CF82" w:rsidR="00AF5BD3" w:rsidRPr="00232C88" w:rsidRDefault="00AF5BD3" w:rsidP="673610D2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  <w:lang w:val="en-US"/>
              </w:rPr>
            </w:pPr>
          </w:p>
        </w:tc>
      </w:tr>
      <w:tr w:rsidR="00232C88" w:rsidRPr="00232C88" w14:paraId="55FA4A88" w14:textId="77777777" w:rsidTr="4D769726">
        <w:trPr>
          <w:trHeight w:val="680"/>
        </w:trPr>
        <w:tc>
          <w:tcPr>
            <w:tcW w:w="1384" w:type="dxa"/>
            <w:vAlign w:val="center"/>
          </w:tcPr>
          <w:p w14:paraId="6EDA1687" w14:textId="63C9DF5F" w:rsidR="00994B4F" w:rsidRPr="00232C88" w:rsidRDefault="00994B4F" w:rsidP="00994B4F">
            <w:pPr>
              <w:pStyle w:val="Applicationdirecte"/>
              <w:spacing w:before="60"/>
              <w:jc w:val="center"/>
            </w:pPr>
            <w:r>
              <w:t xml:space="preserve">EU d</w:t>
            </w:r>
          </w:p>
        </w:tc>
        <w:tc>
          <w:tcPr>
            <w:tcW w:w="7655" w:type="dxa"/>
          </w:tcPr>
          <w:p w14:paraId="0C2EFF82" w14:textId="62FBB506" w:rsidR="00994B4F" w:rsidRPr="00232C88" w:rsidRDefault="00994B4F" w:rsidP="00994B4F">
            <w:pPr>
              <w:spacing w:before="60"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Riskvägda exponeringsbelopp som kapitalgolvet grundar sig på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</w:p>
          <w:p w14:paraId="6EB91D3B" w14:textId="7D4487D6" w:rsidR="00AC7521" w:rsidRPr="00232C88" w:rsidRDefault="6FD90119" w:rsidP="4D769726">
            <w:pPr>
              <w:spacing w:before="6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Riskvägda exponeringsbelopp för att tillhandahålla basen för beräkningen av kapitalgolvet i enlighet med artikel 438 d i förordning (EU) nr 575/2013.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Instituten ska offentliggöra det riskvägda exponeringsbeloppet, beräknat i enlighet med artikel 92.5 och 92.6 i förordning (EU) nr 575/2013, med tillämpning av övergångsbestämmelserna i artikel 465 i den förordningen.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3F9F1BCC" w14:textId="0069FEBF" w:rsidR="00AF5BD3" w:rsidRPr="00232C88" w:rsidRDefault="00AF5BD3" w:rsidP="00563BE7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232C88" w:rsidRPr="00232C88" w14:paraId="0D3BA471" w14:textId="77777777" w:rsidTr="4D769726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54117D1" w14:textId="77777777" w:rsidR="00351A65" w:rsidRPr="00232C88" w:rsidRDefault="00351A65" w:rsidP="00351A65">
            <w:pPr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Rättsliga hänvisningar och instruktioner</w:t>
            </w:r>
          </w:p>
        </w:tc>
      </w:tr>
      <w:tr w:rsidR="00232C88" w:rsidRPr="00232C88" w14:paraId="35A90A29" w14:textId="77777777" w:rsidTr="4D769726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442042AA" w14:textId="4045A22D" w:rsidR="00351A65" w:rsidRPr="00232C88" w:rsidRDefault="00351A65" w:rsidP="75135BB5">
            <w:pPr>
              <w:autoSpaceDE w:val="0"/>
              <w:autoSpaceDN w:val="0"/>
              <w:adjustRightInd w:val="0"/>
              <w:rPr>
                <w:b/>
                <w:bCs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Rad nr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24AA55C4" w14:textId="77777777" w:rsidR="00351A65" w:rsidRPr="00232C88" w:rsidRDefault="00351A65" w:rsidP="00351A65">
            <w:pPr>
              <w:autoSpaceDE w:val="0"/>
              <w:autoSpaceDN w:val="0"/>
              <w:adjustRightInd w:val="0"/>
              <w:rPr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Förklaring</w:t>
            </w:r>
          </w:p>
        </w:tc>
      </w:tr>
      <w:tr w:rsidR="00232C88" w:rsidRPr="00232C88" w14:paraId="4A8AA473" w14:textId="77777777" w:rsidTr="4D769726">
        <w:trPr>
          <w:trHeight w:val="680"/>
        </w:trPr>
        <w:tc>
          <w:tcPr>
            <w:tcW w:w="1384" w:type="dxa"/>
          </w:tcPr>
          <w:p w14:paraId="30F78516" w14:textId="4A43D40C" w:rsidR="00351A65" w:rsidRPr="00232C88" w:rsidRDefault="00351A65" w:rsidP="00351A65">
            <w:pPr>
              <w:pStyle w:val="Applicationdirecte"/>
              <w:spacing w:before="60"/>
              <w:jc w:val="center"/>
            </w:pPr>
            <w:r>
              <w:t xml:space="preserve">1, EU1a, EU1b, EU1c, EU1d, 2, 3,5, 5.1, 5.2, EU 5a, EU 5b, EU 5c, 6, 6.1, EU6.1a, EU6.1b, EU 7a, EU 7b, EU 7c, EU 7d, EU 7e, EU 7f, 8</w:t>
            </w:r>
          </w:p>
        </w:tc>
        <w:tc>
          <w:tcPr>
            <w:tcW w:w="7655" w:type="dxa"/>
          </w:tcPr>
          <w:p w14:paraId="73A562A1" w14:textId="272AA28F" w:rsidR="00192044" w:rsidRDefault="0046019D" w:rsidP="00A02839">
            <w:pPr>
              <w:spacing w:before="6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Instituten ska inkludera uppdelningen av riskvägda exponeringsbelopp per exponeringsklass och underordnad exponeringsklass enligt definitionen i artikel 147 i förordning (EU) nr 575/2013.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6D77E411" w14:textId="48760B89" w:rsidR="008C231E" w:rsidRPr="00232C88" w:rsidRDefault="00091AA5" w:rsidP="00A02839">
            <w:pPr>
              <w:spacing w:before="6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Om exponeringarna enligt internmetoden skulle ha hänförts till en annan exponeringsklass enligt schablonmetoden ska exponeringarna enligt internmetoden undantas från sina exponeringsklasser enligt internmetoden och de ska offentliggöras i en av följande exponeringsklasser enligt schablonmetoden, enligt definitionen i artikel 112 i förordning (EU) nr 575/2013:</w:t>
            </w:r>
          </w:p>
          <w:p w14:paraId="3C3411A5" w14:textId="77777777" w:rsidR="00192044" w:rsidRPr="00192044" w:rsidRDefault="00AB7318" w:rsidP="00192044">
            <w:pPr>
              <w:pStyle w:val="ListParagraph"/>
              <w:numPr>
                <w:ilvl w:val="0"/>
                <w:numId w:val="80"/>
              </w:numPr>
              <w:spacing w:before="60" w:after="120"/>
              <w:jc w:val="both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Kategoriserade som multilaterala utvecklingsbanker enligt schablonmetoden.</w:t>
            </w:r>
          </w:p>
          <w:p w14:paraId="3FAF52BD" w14:textId="27F6A566" w:rsidR="00E40751" w:rsidRPr="00192044" w:rsidRDefault="02FD1F9E" w:rsidP="00192044">
            <w:pPr>
              <w:pStyle w:val="ListParagraph"/>
              <w:numPr>
                <w:ilvl w:val="0"/>
                <w:numId w:val="80"/>
              </w:numPr>
              <w:spacing w:before="60" w:after="120"/>
              <w:jc w:val="both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Kategoriserade som internationella organisationer enligt schablonmetoden.</w:t>
            </w:r>
          </w:p>
          <w:p w14:paraId="112B3885" w14:textId="45E9A8B5" w:rsidR="009662C5" w:rsidRPr="00192044" w:rsidRDefault="009662C5" w:rsidP="00192044">
            <w:pPr>
              <w:pStyle w:val="ListParagraph"/>
              <w:numPr>
                <w:ilvl w:val="0"/>
                <w:numId w:val="80"/>
              </w:numPr>
              <w:spacing w:before="60" w:after="120"/>
              <w:jc w:val="both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Kategoriserade som säkrade genom panträtt i fast egendom och exponering mot förvärv eller exploatering av eller byggnation på mark enligt schablonmetoden</w:t>
            </w:r>
          </w:p>
          <w:p w14:paraId="2EFC3839" w14:textId="6E331C86" w:rsidR="009662C5" w:rsidRPr="00192044" w:rsidRDefault="009662C5" w:rsidP="00192044">
            <w:pPr>
              <w:pStyle w:val="ListParagraph"/>
              <w:numPr>
                <w:ilvl w:val="0"/>
                <w:numId w:val="80"/>
              </w:numPr>
              <w:spacing w:before="60" w:after="120"/>
              <w:jc w:val="both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Kategoriserade som fallerande exponeringar enligt schablonmetoden</w:t>
            </w:r>
          </w:p>
          <w:p w14:paraId="562F01DF" w14:textId="29AB0564" w:rsidR="0056332E" w:rsidRPr="00192044" w:rsidRDefault="0056332E" w:rsidP="00192044">
            <w:pPr>
              <w:pStyle w:val="ListParagraph"/>
              <w:numPr>
                <w:ilvl w:val="0"/>
                <w:numId w:val="80"/>
              </w:numPr>
              <w:spacing w:before="60" w:after="120"/>
              <w:jc w:val="both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Kategoriserade som exponeringar mot efterställda skulder enligt schablonmetoden</w:t>
            </w:r>
          </w:p>
          <w:p w14:paraId="78D8C21E" w14:textId="20FAA512" w:rsidR="0056332E" w:rsidRPr="00192044" w:rsidRDefault="0056332E" w:rsidP="00192044">
            <w:pPr>
              <w:pStyle w:val="ListParagraph"/>
              <w:numPr>
                <w:ilvl w:val="0"/>
                <w:numId w:val="80"/>
              </w:numPr>
              <w:spacing w:before="60" w:after="120"/>
              <w:jc w:val="both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Kategoriserade som säkerställda obligationer enligt schablonmetoden Kategoriserade som fordringar på institut och företag med kortfristigt kreditbetyg enligt schablonmetoden</w:t>
            </w:r>
          </w:p>
          <w:p w14:paraId="71BDF450" w14:textId="7DC7998E" w:rsidR="00700A5A" w:rsidRPr="00232C88" w:rsidRDefault="00700A5A" w:rsidP="00700A5A">
            <w:pPr>
              <w:pStyle w:val="Default"/>
              <w:spacing w:after="120"/>
              <w:jc w:val="both"/>
              <w:rPr>
                <w:color w:val="auto"/>
                <w:rFonts w:ascii="Times New Roman" w:hAnsi="Times New Roman" w:cs="Times New Roman"/>
              </w:rPr>
            </w:pPr>
            <w:r>
              <w:rPr>
                <w:color w:val="auto"/>
                <w:rFonts w:ascii="Times New Roman" w:hAnsi="Times New Roman"/>
              </w:rPr>
              <w:t xml:space="preserve">För exponeringsklassen ”Företag” ska instituten också offentliggöra delsummorna för exponeringar enligt den grundläggande internmetoden och för exponeringar enligt den avancerade internmetoden på raderna 5.1 respektive 5.2 i denna mall.</w:t>
            </w:r>
          </w:p>
          <w:p w14:paraId="2F3C330C" w14:textId="328A18AC" w:rsidR="00D67004" w:rsidRPr="00232C88" w:rsidRDefault="00D67004" w:rsidP="00700A5A">
            <w:pPr>
              <w:pStyle w:val="Default"/>
              <w:spacing w:after="120"/>
              <w:jc w:val="both"/>
              <w:rPr>
                <w:color w:val="auto"/>
                <w:rFonts w:ascii="Times New Roman" w:hAnsi="Times New Roman" w:cs="Times New Roman"/>
              </w:rPr>
            </w:pPr>
            <w:r>
              <w:rPr>
                <w:color w:val="auto"/>
                <w:rFonts w:ascii="Times New Roman" w:hAnsi="Times New Roman"/>
              </w:rPr>
              <w:t xml:space="preserve">Raderna 4 och 7 är inte tillämpliga i EU.</w:t>
            </w:r>
          </w:p>
          <w:p w14:paraId="3EB1EAD4" w14:textId="269F10A9" w:rsidR="00351A65" w:rsidRPr="00232C88" w:rsidRDefault="00E577AC" w:rsidP="00AD7048">
            <w:pPr>
              <w:pStyle w:val="Default"/>
              <w:spacing w:after="120"/>
              <w:jc w:val="both"/>
              <w:rPr>
                <w:color w:val="auto"/>
                <w:rFonts w:ascii="Times New Roman" w:hAnsi="Times New Roman" w:cs="Times New Roman"/>
              </w:rPr>
            </w:pPr>
            <w:r>
              <w:rPr>
                <w:color w:val="auto"/>
                <w:rFonts w:ascii="Times New Roman" w:hAnsi="Times New Roman"/>
              </w:rPr>
              <w:t xml:space="preserve">På rad 8 ”Övriga” ska instituten offentliggöra de exponeringar som hänförts till exponeringsklassen ”Övriga motpartslösa tillgångar” enligt intermetoden och de exponeringar enligt internmetoden som skulle ha hänförts till exponeringsklassen ”Övriga poster” enligt schablonmetoden.</w:t>
            </w:r>
          </w:p>
        </w:tc>
      </w:tr>
      <w:tr w:rsidR="00232C88" w:rsidRPr="004A7312" w14:paraId="7F77F0D9" w14:textId="77777777" w:rsidTr="4D769726">
        <w:trPr>
          <w:trHeight w:val="557"/>
        </w:trPr>
        <w:tc>
          <w:tcPr>
            <w:tcW w:w="1384" w:type="dxa"/>
          </w:tcPr>
          <w:p w14:paraId="5E733F55" w14:textId="375FAD05" w:rsidR="00351A65" w:rsidRPr="00232C88" w:rsidRDefault="00351A65" w:rsidP="00351A65">
            <w:pPr>
              <w:pStyle w:val="Applicationdirecte"/>
              <w:spacing w:before="60"/>
              <w:jc w:val="center"/>
            </w:pPr>
            <w:r>
              <w:t xml:space="preserve">9</w:t>
            </w:r>
          </w:p>
        </w:tc>
        <w:tc>
          <w:tcPr>
            <w:tcW w:w="7655" w:type="dxa"/>
          </w:tcPr>
          <w:p w14:paraId="7CC614BA" w14:textId="77777777" w:rsidR="00351A65" w:rsidRPr="00232C88" w:rsidRDefault="00254EDB" w:rsidP="00351A65">
            <w:pPr>
              <w:spacing w:before="60"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Totalt</w:t>
            </w:r>
          </w:p>
          <w:p w14:paraId="06517EBE" w14:textId="5F936741" w:rsidR="00351A65" w:rsidRPr="00232C88" w:rsidRDefault="00112469" w:rsidP="49BB7348">
            <w:pPr>
              <w:spacing w:before="60" w:after="120"/>
              <w:jc w:val="both"/>
              <w:rPr>
                <w:b/>
                <w:bCs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Summan av raderna 1, EU1a, EU1b, EU1c, EU1d, 2, 3, 5, 6, EU7a, EU 7b, EU7c, EU7d, EU7e, EU7f, 8.</w:t>
            </w:r>
          </w:p>
        </w:tc>
      </w:tr>
    </w:tbl>
    <w:p w14:paraId="08B5F67F" w14:textId="77777777" w:rsidR="00AF3FBC" w:rsidRPr="00232C88" w:rsidRDefault="00AF3FBC" w:rsidP="00254EDB">
      <w:pPr>
        <w:pStyle w:val="Titlelevel2"/>
        <w:spacing w:before="120" w:after="120"/>
        <w:ind w:left="66"/>
        <w:rPr>
          <w:rFonts w:ascii="Times New Roman" w:hAnsi="Times New Roman" w:cs="Times New Roman"/>
          <w:color w:val="auto"/>
          <w:sz w:val="24"/>
          <w:lang w:val="fr-FR"/>
        </w:rPr>
      </w:pPr>
    </w:p>
    <w:p w14:paraId="6BCCF525" w14:textId="77777777" w:rsidR="0090729F" w:rsidRPr="00232C88" w:rsidRDefault="0090729F" w:rsidP="0090729F">
      <w:pPr>
        <w:rPr>
          <w:rFonts w:ascii="Times New Roman" w:hAnsi="Times New Roman" w:cs="Times New Roman"/>
          <w:lang w:val="fr-FR"/>
        </w:rPr>
      </w:pPr>
    </w:p>
    <w:p w14:paraId="0A9DE347" w14:textId="77777777" w:rsidR="0090729F" w:rsidRPr="00232C88" w:rsidRDefault="0090729F" w:rsidP="00254EDB">
      <w:pPr>
        <w:pStyle w:val="Titlelevel2"/>
        <w:spacing w:before="120" w:after="120"/>
        <w:ind w:left="66"/>
        <w:rPr>
          <w:rFonts w:ascii="Times New Roman" w:hAnsi="Times New Roman" w:cs="Times New Roman"/>
          <w:color w:val="auto"/>
          <w:sz w:val="24"/>
          <w:lang w:val="fr-FR"/>
        </w:rPr>
      </w:pPr>
    </w:p>
    <w:p w14:paraId="0174B7B3" w14:textId="2F8D5C1D" w:rsidR="00DC2C46" w:rsidRPr="00232C88" w:rsidRDefault="00DC2C46" w:rsidP="00DC2C46">
      <w:pPr>
        <w:rPr>
          <w:rFonts w:ascii="Times New Roman" w:hAnsi="Times New Roman" w:cs="Times New Roman"/>
          <w:b/>
          <w:sz w:val="24"/>
          <w:lang w:val="fr-FR"/>
        </w:rPr>
      </w:pPr>
    </w:p>
    <w:sectPr w:rsidR="00DC2C46" w:rsidRPr="00232C88" w:rsidSect="00155C9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0" w:h="16840"/>
      <w:pgMar w:top="2268" w:right="1418" w:bottom="1134" w:left="1701" w:header="709" w:footer="709" w:gutter="0"/>
      <w:pgNumType w:start="1" w:chapStyle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D8930C" w14:textId="77777777" w:rsidR="0021137D" w:rsidRDefault="0021137D" w:rsidP="00A00E34">
      <w:r>
        <w:separator/>
      </w:r>
    </w:p>
    <w:p w14:paraId="2D8E0CE6" w14:textId="77777777" w:rsidR="0021137D" w:rsidRDefault="0021137D"/>
  </w:endnote>
  <w:endnote w:type="continuationSeparator" w:id="0">
    <w:p w14:paraId="190EE95B" w14:textId="77777777" w:rsidR="0021137D" w:rsidRDefault="0021137D" w:rsidP="00A00E34">
      <w:r>
        <w:continuationSeparator/>
      </w:r>
    </w:p>
    <w:p w14:paraId="6C1B14C8" w14:textId="77777777" w:rsidR="0021137D" w:rsidRDefault="0021137D"/>
  </w:endnote>
  <w:endnote w:type="continuationNotice" w:id="1">
    <w:p w14:paraId="25A095AC" w14:textId="77777777" w:rsidR="0021137D" w:rsidRDefault="0021137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38488C" w14:textId="77777777" w:rsidR="00254EDB" w:rsidRDefault="00254EDB" w:rsidP="00C43FD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443F07D" w14:textId="77777777" w:rsidR="00254EDB" w:rsidRDefault="00254EDB" w:rsidP="0061030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7DB03D" w14:textId="6C2D0F64" w:rsidR="00254EDB" w:rsidRDefault="00254EDB" w:rsidP="00C43FD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F741C">
      <w:rPr>
        <w:rStyle w:val="PageNumber"/>
      </w:rPr>
      <w:t>1</w:t>
    </w:r>
    <w:r>
      <w:rPr>
        <w:rStyle w:val="PageNumber"/>
      </w:rPr>
      <w:fldChar w:fldCharType="end"/>
    </w:r>
  </w:p>
  <w:p w14:paraId="1ADEF20C" w14:textId="2F6876BD" w:rsidR="00254EDB" w:rsidRDefault="00254EDB" w:rsidP="00155C96">
    <w:pPr>
      <w:pStyle w:val="Footer"/>
      <w:tabs>
        <w:tab w:val="clear" w:pos="4320"/>
        <w:tab w:val="clear" w:pos="8640"/>
        <w:tab w:val="left" w:pos="1093"/>
      </w:tabs>
      <w:ind w:right="360"/>
    </w:pPr>
    <w:r>
      <mc:AlternateContent>
        <mc:Choice Requires="wps">
          <w:drawing>
            <wp:anchor distT="4294967295" distB="4294967295" distL="114300" distR="114300" simplePos="0" relativeHeight="251658240" behindDoc="1" locked="1" layoutInCell="1" allowOverlap="1" wp14:anchorId="359B04A0" wp14:editId="170D2E6B">
              <wp:simplePos x="0" y="0"/>
              <wp:positionH relativeFrom="column">
                <wp:posOffset>-71120</wp:posOffset>
              </wp:positionH>
              <wp:positionV relativeFrom="page">
                <wp:posOffset>9973309</wp:posOffset>
              </wp:positionV>
              <wp:extent cx="5723890" cy="0"/>
              <wp:effectExtent l="0" t="0" r="10160" b="19050"/>
              <wp:wrapNone/>
              <wp:docPr id="10" name="Straight Connector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23890" cy="0"/>
                      </a:xfrm>
                      <a:prstGeom prst="line">
                        <a:avLst/>
                      </a:prstGeom>
                      <a:ln w="12700" cmpd="sng"/>
                      <a:effectLst/>
                      <a:extLst>
                        <a:ext uri="{FAA26D3D-D897-4be2-8F04-BA451C77F1D7}">
                          <ma14:placeholderFlag xmlns:arto="http://schemas.microsoft.com/office/word/2006/arto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=""/>
                        </a:ext>
                        <a:ext uri="{C572A759-6A51-4108-AA02-DFA0A04FC94B}">
                          <ma14:wrappingTextBoxFlag xmlns:arto="http://schemas.microsoft.com/office/word/2006/arto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=""/>
                        </a:ext>
                      </a:extLst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 xmlns:ma14="http://schemas.microsoft.com/office/mac/drawingml/2011/main" xmlns:w16du="http://schemas.microsoft.com/office/word/2023/wordml/word16du">
          <w:pict>
            <v:line id="Straight Connector 10" style="position:absolute;z-index:-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page;mso-width-percent:0;mso-height-percent:0;mso-width-relative:margin;mso-height-relative:margin" o:spid="_x0000_s1026" strokecolor="#2f5773 [3204]" strokeweight="1pt" from="-5.6pt,785.3pt" to="445.1pt,785.3pt" w14:anchorId="3987137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">
              <o:lock v:ext="edit" shapetype="f"/>
              <w10:wrap anchory="page"/>
              <w10:anchorlock/>
            </v:line>
          </w:pict>
        </mc:Fallback>
      </mc:AlternateContent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9C19EA" w14:textId="77777777" w:rsidR="0021137D" w:rsidRPr="00DB5E8F" w:rsidRDefault="0021137D">
      <w:pPr>
        <w:rPr>
          <w:sz w:val="12"/>
          <w:szCs w:val="12"/>
        </w:rPr>
      </w:pPr>
      <w:r w:rsidRPr="00DB5E8F">
        <w:rPr>
          <w:sz w:val="12"/>
          <w:szCs w:val="12"/>
        </w:rPr>
        <w:separator/>
      </w:r>
    </w:p>
  </w:footnote>
  <w:footnote w:type="continuationSeparator" w:id="0">
    <w:p w14:paraId="7D3C1AAA" w14:textId="77777777" w:rsidR="0021137D" w:rsidRDefault="0021137D" w:rsidP="00A00E34">
      <w:r>
        <w:continuationSeparator/>
      </w:r>
    </w:p>
    <w:p w14:paraId="05D7EA3E" w14:textId="77777777" w:rsidR="0021137D" w:rsidRDefault="0021137D"/>
  </w:footnote>
  <w:footnote w:type="continuationNotice" w:id="1">
    <w:p w14:paraId="47C7EB89" w14:textId="77777777" w:rsidR="0021137D" w:rsidRDefault="0021137D"/>
  </w:footnote>
  <w:footnote w:id="2">
    <w:p w14:paraId="262BD994" w14:textId="7613435C" w:rsidR="00254EDB" w:rsidRPr="00346640" w:rsidRDefault="00254EDB" w:rsidP="004B070F">
      <w:pPr>
        <w:pStyle w:val="FootnoteText"/>
        <w:rPr>
          <w:rFonts w:eastAsia="Calibri"/>
        </w:rPr>
      </w:pPr>
      <w:r>
        <w:rPr>
          <w:rStyle w:val="FootnoteReference"/>
          <w:rFonts w:cstheme="minorHAnsi"/>
          <w:sz w:val="18"/>
        </w:rPr>
        <w:footnoteRef/>
      </w:r>
      <w:r>
        <w:tab/>
      </w:r>
      <w:r>
        <w:t xml:space="preserve">Europaparlamentets och rådets förordning (EU) nr 575/2013 av den 26 juni 2013 om tillsynskrav för kreditinstitut och om ändring av förordning (EU) nr 648/2012, i dess lydelse enligt förordning (EU) 2024/1623 (</w:t>
      </w:r>
      <w:hyperlink r:id="rId1" w:history="1">
        <w:r>
          <w:rPr>
            <w:color w:val="800080"/>
            <w:u w:val="single"/>
          </w:rPr>
          <w:t xml:space="preserve">EUT L 176, 27.6.2013, s. 1</w:t>
        </w:r>
      </w:hyperlink>
      <w:r>
        <w:t xml:space="preserve">;</w:t>
      </w:r>
      <w:r>
        <w:rPr>
          <w:color w:val="800080"/>
          <w:u w:val="single"/>
        </w:rPr>
        <w:t xml:space="preserve"> </w:t>
      </w:r>
      <w:hyperlink r:id="rId2" w:history="1">
        <w:r>
          <w:rPr>
            <w:rStyle w:val="Hyperlink"/>
          </w:rPr>
          <w:t xml:space="preserve">förordning 2024/1623 – SV – EUR-Lex (europa.eu)</w:t>
        </w:r>
      </w:hyperlink>
      <w:r>
        <w:rPr>
          <w:color w:val="444444"/>
        </w:rPr>
        <w:t xml:space="preserve">[].</w:t>
      </w:r>
    </w:p>
  </w:footnote>
  <w:footnote w:id="3">
    <w:p w14:paraId="65DAF6E3" w14:textId="5241BF60" w:rsidR="00254EDB" w:rsidRPr="00222AAB" w:rsidRDefault="00254EDB" w:rsidP="004B070F">
      <w:pPr>
        <w:pStyle w:val="FootnoteText"/>
      </w:pPr>
      <w:r>
        <w:rPr>
          <w:rStyle w:val="FootnoteReference"/>
          <w:rFonts w:cstheme="minorHAnsi"/>
          <w:sz w:val="18"/>
        </w:rPr>
        <w:footnoteRef/>
      </w:r>
      <w:r>
        <w:tab/>
      </w:r>
      <w:r>
        <w:t xml:space="preserve">EBA:s reviderade riktlinjer EBA/GL/2018/03 av den 19 juli 2018 om gemensamma förfaranden och metoder för översyns- och utvärderingsprocessen (ÖuP) och stresstester för tillsynsändamål.</w:t>
      </w:r>
    </w:p>
  </w:footnote>
  <w:footnote w:id="4">
    <w:p w14:paraId="6EEE1EF0" w14:textId="468CF1D3" w:rsidR="00254EDB" w:rsidRPr="00222AAB" w:rsidRDefault="00254EDB" w:rsidP="004B070F">
      <w:pPr>
        <w:pStyle w:val="FootnoteText"/>
      </w:pPr>
      <w:r>
        <w:rPr>
          <w:rStyle w:val="FootnoteReference"/>
          <w:rFonts w:cstheme="minorHAnsi"/>
          <w:sz w:val="18"/>
        </w:rPr>
        <w:footnoteRef/>
      </w:r>
      <w:r>
        <w:t xml:space="preserve"> Kommissionens delegerade förordning (EU) 2015/61 av den 10 oktober 2014 om komplettering av Europaparlamentets och rådets förordning (EU) nr 575/2013 när det gäller likviditetstäckningskravet för kreditinstitut (EUT L 11, 17.1.2015, s. 1).</w:t>
      </w:r>
    </w:p>
  </w:footnote>
  <w:footnote w:id="5">
    <w:p w14:paraId="2A17ED68" w14:textId="5745B56A" w:rsidR="00254EDB" w:rsidRPr="00222AAB" w:rsidRDefault="00254EDB" w:rsidP="004B070F">
      <w:pPr>
        <w:pStyle w:val="FootnoteText"/>
      </w:pPr>
      <w:r>
        <w:rPr>
          <w:rStyle w:val="FootnoteReference"/>
          <w:rFonts w:cstheme="minorHAnsi"/>
          <w:sz w:val="18"/>
        </w:rPr>
        <w:footnoteRef/>
      </w:r>
      <w:r>
        <w:t xml:space="preserve"> Europaparlamentets och rådets direktiv 2002/87/EG av den 16 december 2002 om extra tillsyn över kreditinstitut, försäkringsföretag och värdepappersföretag i ett finansiellt konglomerat och om ändring av rådets direktiv 73/239/EEG, 79/267/EEG, 92/49/EEG, 92/96/EEG, 93/6/EEG och 93/22/EEG samt Europaparlamentets och rådets direktiv 98/78/EG och 2000/12/EG (EUT L 35, 11.2.2003, s.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891064" w14:textId="7F521004" w:rsidR="00254EDB" w:rsidRDefault="00254EDB">
    <w:r>
      <mc:AlternateContent>
        <mc:Choice Requires="wps">
          <w:drawing>
            <wp:anchor distT="0" distB="0" distL="0" distR="0" simplePos="0" relativeHeight="251658242" behindDoc="0" locked="0" layoutInCell="1" allowOverlap="1" wp14:anchorId="0A3D713A" wp14:editId="56E35EDE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3175" b="9525"/>
              <wp:wrapNone/>
              <wp:docPr id="2" name="Text Box 2" descr="EBA Regular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67F3083" w14:textId="1874E0DE" w:rsidR="00254EDB" w:rsidRPr="006411EB" w:rsidRDefault="00254EDB" w:rsidP="006411EB">
                          <w:pPr>
                            <w:rPr>
                              <w:noProof/>
                              <w:color w:val="000000"/>
                              <w:sz w:val="24"/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color w:val="000000"/>
                              <w:sz w:val="24"/>
                              <w:rFonts w:ascii="Calibri" w:hAnsi="Calibri"/>
                            </w:rPr>
                            <w:t xml:space="preserve">EBA Regular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A3D713A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Title:  - Description: EBA Regular Use" style="position:absolute;margin-left:0;margin-top:0;width:34.95pt;height:34.95pt;z-index:251658242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" filled="f" stroked="f">
              <v:textbox style="mso-fit-shape-to-text:t" inset="20pt,15pt,0,0">
                <w:txbxContent>
                  <w:p w14:paraId="467F3083" w14:textId="1874E0DE" w:rsidR="00254EDB" w:rsidRPr="006411EB" w:rsidRDefault="00254EDB" w:rsidP="006411EB">
                    <w:pPr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EBA Regular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sdt>
      <w:sdtPr>
        <w:id w:val="-1905980668"/>
        <w:temporary/>
        <w:showingPlcHdr/>
      </w:sdtPr>
      <w:sdtEndPr/>
      <w:sdtContent>
        <w:r>
          <w:t xml:space="preserve">[Type text]</w:t>
        </w:r>
      </w:sdtContent>
    </w:sdt>
    <w:r>
      <w:ptab w:relativeTo="margin" w:alignment="center" w:leader="none"/>
    </w:r>
    <w:sdt>
      <w:sdtPr>
        <w:id w:val="-476227318"/>
        <w:temporary/>
        <w:showingPlcHdr/>
      </w:sdtPr>
      <w:sdtEndPr/>
      <w:sdtContent>
        <w:r>
          <w:t xml:space="preserve">[Type text]</w:t>
        </w:r>
      </w:sdtContent>
    </w:sdt>
    <w:r>
      <w:ptab w:relativeTo="margin" w:alignment="right" w:leader="none"/>
    </w:r>
    <w:sdt>
      <w:sdtPr>
        <w:id w:val="807362839"/>
        <w:temporary/>
        <w:showingPlcHdr/>
      </w:sdtPr>
      <w:sdtEndPr/>
      <w:sdtContent>
        <w:r>
          <w:t xml:space="preserve">[Type text]</w:t>
        </w:r>
      </w:sdtContent>
    </w:sdt>
  </w:p>
  <w:p w14:paraId="3846A006" w14:textId="77777777" w:rsidR="00254EDB" w:rsidRDefault="00254ED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87A80E" w14:textId="1630B4FC" w:rsidR="00254EDB" w:rsidRDefault="00254EDB">
    <w:pPr>
      <w:pStyle w:val="Header"/>
    </w:pPr>
    <w:r>
      <mc:AlternateContent>
        <mc:Choice Requires="wps">
          <w:drawing>
            <wp:anchor distT="0" distB="0" distL="0" distR="0" simplePos="0" relativeHeight="251658243" behindDoc="0" locked="0" layoutInCell="1" allowOverlap="1" wp14:anchorId="70AB268C" wp14:editId="659BD2B4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3175" b="9525"/>
              <wp:wrapNone/>
              <wp:docPr id="4" name="Text Box 4" descr="EBA Regular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0DE414A" w14:textId="197B9E22" w:rsidR="00254EDB" w:rsidRPr="006411EB" w:rsidRDefault="00254EDB" w:rsidP="006411EB">
                          <w:pPr>
                            <w:rPr>
                              <w:noProof/>
                              <w:color w:val="000000"/>
                              <w:sz w:val="24"/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color w:val="000000"/>
                              <w:sz w:val="24"/>
                              <w:rFonts w:ascii="Calibri" w:hAnsi="Calibri"/>
                            </w:rPr>
                            <w:t xml:space="preserve">EBA Regular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0AB268C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alt="Title:  - Description: EBA Regular Use" style="position:absolute;margin-left:0;margin-top:0;width:34.95pt;height:34.95pt;z-index:251658243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" filled="f" stroked="f">
              <v:textbox style="mso-fit-shape-to-text:t" inset="20pt,15pt,0,0">
                <w:txbxContent>
                  <w:p w14:paraId="70DE414A" w14:textId="197B9E22" w:rsidR="00254EDB" w:rsidRPr="006411EB" w:rsidRDefault="00254EDB" w:rsidP="006411EB">
                    <w:pPr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EBA Regular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6DC0F8" w14:textId="16D1A1B7" w:rsidR="00254EDB" w:rsidRDefault="00254EDB" w:rsidP="00E677EF">
    <w:pPr>
      <w:pStyle w:val="Runningtitle"/>
    </w:pPr>
    <w:r>
      <mc:AlternateContent>
        <mc:Choice Requires="wps">
          <w:drawing>
            <wp:anchor distT="0" distB="0" distL="0" distR="0" simplePos="0" relativeHeight="251658241" behindDoc="0" locked="0" layoutInCell="1" allowOverlap="1" wp14:anchorId="0335A966" wp14:editId="49888EB9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3175" b="9525"/>
              <wp:wrapNone/>
              <wp:docPr id="1" name="Text Box 1" descr="EBA Regular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643CD0C" w14:textId="321E2545" w:rsidR="00254EDB" w:rsidRPr="006411EB" w:rsidRDefault="00254EDB" w:rsidP="006411EB">
                          <w:pPr>
                            <w:rPr>
                              <w:noProof/>
                              <w:color w:val="000000"/>
                              <w:sz w:val="24"/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color w:val="000000"/>
                              <w:sz w:val="24"/>
                              <w:rFonts w:ascii="Calibri" w:hAnsi="Calibri"/>
                            </w:rPr>
                            <w:t xml:space="preserve">EBA Regular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335A966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Title:  - Description: EBA Regular Use" style="position:absolute;margin-left:0;margin-top:0;width:34.95pt;height:34.95pt;z-index:251658241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" filled="f" stroked="f">
              <v:textbox style="mso-fit-shape-to-text:t" inset="20pt,15pt,0,0">
                <w:txbxContent>
                  <w:p w14:paraId="4643CD0C" w14:textId="321E2545" w:rsidR="00254EDB" w:rsidRPr="006411EB" w:rsidRDefault="00254EDB" w:rsidP="006411EB">
                    <w:pPr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EBA Regular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här anges titel med löpande titelstil</w:t>
    </w:r>
    <w:r>
      <w:drawing>
        <wp:anchor distT="0" distB="0" distL="114300" distR="114300" simplePos="0" relativeHeight="251658244" behindDoc="1" locked="1" layoutInCell="1" allowOverlap="0" wp14:anchorId="2996C648" wp14:editId="18418F86">
          <wp:simplePos x="0" y="0"/>
          <wp:positionH relativeFrom="page">
            <wp:posOffset>4702175</wp:posOffset>
          </wp:positionH>
          <wp:positionV relativeFrom="page">
            <wp:posOffset>450215</wp:posOffset>
          </wp:positionV>
          <wp:extent cx="1941830" cy="719455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BA-logo-full-colou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41830" cy="719455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aclsh="http://schemas.microsoft.com/office/drawing/2020/classificationShape" xmlns:arto="http://schemas.microsoft.com/office/word/2006/arto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ve="http://schemas.openxmlformats.org/markup-compatibility/2006" xmlns:a14="http://schemas.microsoft.com/office/drawing/2010/main" val="1"/>
                    </a:ext>
                  </a:extLst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D698048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singleLevel"/>
    <w:tmpl w:val="5B7860F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E5078C"/>
    <w:multiLevelType w:val="hybridMultilevel"/>
    <w:tmpl w:val="D53853DA"/>
    <w:lvl w:ilvl="0" w:tplc="AFE0D250">
      <w:start w:val="1"/>
      <w:numFmt w:val="bullet"/>
      <w:pStyle w:val="List"/>
      <w:lvlText w:val=""/>
      <w:lvlJc w:val="left"/>
      <w:pPr>
        <w:tabs>
          <w:tab w:val="num" w:pos="680"/>
        </w:tabs>
        <w:ind w:left="680" w:hanging="6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0F860DA"/>
    <w:multiLevelType w:val="hybridMultilevel"/>
    <w:tmpl w:val="C55009F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06619D"/>
    <w:multiLevelType w:val="hybridMultilevel"/>
    <w:tmpl w:val="2BD055A6"/>
    <w:lvl w:ilvl="0" w:tplc="2C16BB8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D04614"/>
    <w:multiLevelType w:val="multilevel"/>
    <w:tmpl w:val="6CB617BE"/>
    <w:lvl w:ilvl="0">
      <w:start w:val="1"/>
      <w:numFmt w:val="bullet"/>
      <w:lvlText w:val="—"/>
      <w:lvlJc w:val="left"/>
      <w:rPr>
        <w:rFonts w:ascii="Book Antiqua" w:eastAsia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5664B1B"/>
    <w:multiLevelType w:val="hybridMultilevel"/>
    <w:tmpl w:val="1BC46E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58313DF"/>
    <w:multiLevelType w:val="hybridMultilevel"/>
    <w:tmpl w:val="A8C659F6"/>
    <w:lvl w:ilvl="0" w:tplc="9174AD42">
      <w:start w:val="1"/>
      <w:numFmt w:val="bullet"/>
      <w:pStyle w:val="bullet1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63C69CF"/>
    <w:multiLevelType w:val="multilevel"/>
    <w:tmpl w:val="D076B8E6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GB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0BC35AD1"/>
    <w:multiLevelType w:val="multilevel"/>
    <w:tmpl w:val="A2E6F4C6"/>
    <w:lvl w:ilvl="0">
      <w:start w:val="1"/>
      <w:numFmt w:val="lowerLetter"/>
      <w:lvlText w:val="(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0C5F4C79"/>
    <w:multiLevelType w:val="hybridMultilevel"/>
    <w:tmpl w:val="7554BD1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CA66190"/>
    <w:multiLevelType w:val="hybridMultilevel"/>
    <w:tmpl w:val="273CA8E8"/>
    <w:lvl w:ilvl="0" w:tplc="CF300D9A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E672EAB"/>
    <w:multiLevelType w:val="multilevel"/>
    <w:tmpl w:val="A8706E62"/>
    <w:lvl w:ilvl="0">
      <w:start w:val="61"/>
      <w:numFmt w:val="lowerLetter"/>
      <w:lvlText w:val="(%1)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3" w15:restartNumberingAfterBreak="0">
    <w:nsid w:val="13710F59"/>
    <w:multiLevelType w:val="hybridMultilevel"/>
    <w:tmpl w:val="7EE44EDA"/>
    <w:lvl w:ilvl="0" w:tplc="5B7E6066">
      <w:start w:val="1"/>
      <w:numFmt w:val="decimal"/>
      <w:pStyle w:val="Baseparagraphnumbered"/>
      <w:lvlText w:val="%1."/>
      <w:lvlJc w:val="left"/>
      <w:pPr>
        <w:ind w:left="786" w:hanging="360"/>
      </w:pPr>
      <w:rPr>
        <w:rFonts w:hint="default"/>
        <w:lang w:val="en-US"/>
      </w:rPr>
    </w:lvl>
    <w:lvl w:ilvl="1" w:tplc="E8245F5A">
      <w:start w:val="1"/>
      <w:numFmt w:val="lowerLetter"/>
      <w:lvlText w:val="(%2)"/>
      <w:lvlJc w:val="left"/>
      <w:pPr>
        <w:ind w:left="1494" w:hanging="360"/>
      </w:pPr>
      <w:rPr>
        <w:rFonts w:ascii="Times New Roman" w:eastAsia="Times New Roman" w:hAnsi="Times New Roman" w:cs="Times New Roman"/>
      </w:rPr>
    </w:lvl>
    <w:lvl w:ilvl="2" w:tplc="5BE4D2A0">
      <w:start w:val="1"/>
      <w:numFmt w:val="lowerRoman"/>
      <w:lvlText w:val="%3."/>
      <w:lvlJc w:val="right"/>
      <w:pPr>
        <w:ind w:left="2225" w:hanging="180"/>
      </w:pPr>
    </w:lvl>
    <w:lvl w:ilvl="3" w:tplc="E8A6BEAE" w:tentative="1">
      <w:start w:val="1"/>
      <w:numFmt w:val="decimal"/>
      <w:lvlText w:val="%4."/>
      <w:lvlJc w:val="left"/>
      <w:pPr>
        <w:ind w:left="2945" w:hanging="360"/>
      </w:pPr>
    </w:lvl>
    <w:lvl w:ilvl="4" w:tplc="9A703294" w:tentative="1">
      <w:start w:val="1"/>
      <w:numFmt w:val="lowerLetter"/>
      <w:lvlText w:val="%5."/>
      <w:lvlJc w:val="left"/>
      <w:pPr>
        <w:ind w:left="3665" w:hanging="360"/>
      </w:pPr>
    </w:lvl>
    <w:lvl w:ilvl="5" w:tplc="B14C4D10" w:tentative="1">
      <w:start w:val="1"/>
      <w:numFmt w:val="lowerRoman"/>
      <w:lvlText w:val="%6."/>
      <w:lvlJc w:val="right"/>
      <w:pPr>
        <w:ind w:left="4385" w:hanging="180"/>
      </w:pPr>
    </w:lvl>
    <w:lvl w:ilvl="6" w:tplc="EECA4DA6" w:tentative="1">
      <w:start w:val="1"/>
      <w:numFmt w:val="decimal"/>
      <w:lvlText w:val="%7."/>
      <w:lvlJc w:val="left"/>
      <w:pPr>
        <w:ind w:left="5105" w:hanging="360"/>
      </w:pPr>
    </w:lvl>
    <w:lvl w:ilvl="7" w:tplc="444C72AC" w:tentative="1">
      <w:start w:val="1"/>
      <w:numFmt w:val="lowerLetter"/>
      <w:lvlText w:val="%8."/>
      <w:lvlJc w:val="left"/>
      <w:pPr>
        <w:ind w:left="5825" w:hanging="360"/>
      </w:pPr>
    </w:lvl>
    <w:lvl w:ilvl="8" w:tplc="C9C872DC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4" w15:restartNumberingAfterBreak="0">
    <w:nsid w:val="139F5E95"/>
    <w:multiLevelType w:val="hybridMultilevel"/>
    <w:tmpl w:val="CFAEE1A8"/>
    <w:lvl w:ilvl="0" w:tplc="711EFBD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3BC3F8F"/>
    <w:multiLevelType w:val="hybridMultilevel"/>
    <w:tmpl w:val="2AD46E2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3FD1785"/>
    <w:multiLevelType w:val="hybridMultilevel"/>
    <w:tmpl w:val="06983DAE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-180"/>
        </w:tabs>
        <w:ind w:left="-18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540"/>
        </w:tabs>
        <w:ind w:left="540" w:hanging="180"/>
      </w:pPr>
    </w:lvl>
    <w:lvl w:ilvl="3" w:tplc="0809000F">
      <w:start w:val="1"/>
      <w:numFmt w:val="decimal"/>
      <w:lvlText w:val="%4."/>
      <w:lvlJc w:val="left"/>
      <w:pPr>
        <w:tabs>
          <w:tab w:val="num" w:pos="1260"/>
        </w:tabs>
        <w:ind w:left="12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1980"/>
        </w:tabs>
        <w:ind w:left="19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2700"/>
        </w:tabs>
        <w:ind w:left="27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4140"/>
        </w:tabs>
        <w:ind w:left="41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4860"/>
        </w:tabs>
        <w:ind w:left="4860" w:hanging="180"/>
      </w:pPr>
    </w:lvl>
  </w:abstractNum>
  <w:abstractNum w:abstractNumId="17" w15:restartNumberingAfterBreak="0">
    <w:nsid w:val="16974E21"/>
    <w:multiLevelType w:val="hybridMultilevel"/>
    <w:tmpl w:val="168440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6E6367A"/>
    <w:multiLevelType w:val="hybridMultilevel"/>
    <w:tmpl w:val="2B98C612"/>
    <w:lvl w:ilvl="0" w:tplc="4C24500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C04A11E">
      <w:start w:val="130"/>
      <w:numFmt w:val="bullet"/>
      <w:lvlText w:val="-"/>
      <w:lvlJc w:val="left"/>
      <w:pPr>
        <w:ind w:left="1080" w:hanging="360"/>
      </w:pPr>
      <w:rPr>
        <w:rFonts w:ascii="Calibri" w:eastAsiaTheme="minorEastAsia" w:hAnsi="Calibri" w:cstheme="minorBidi" w:hint="default"/>
      </w:r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1AF56781"/>
    <w:multiLevelType w:val="hybridMultilevel"/>
    <w:tmpl w:val="136C5D58"/>
    <w:lvl w:ilvl="0" w:tplc="8D14D124">
      <w:start w:val="1"/>
      <w:numFmt w:val="lowerRoman"/>
      <w:lvlText w:val="(%1)"/>
      <w:lvlJc w:val="left"/>
      <w:pPr>
        <w:ind w:left="753" w:hanging="720"/>
      </w:pPr>
    </w:lvl>
    <w:lvl w:ilvl="1" w:tplc="08090019">
      <w:start w:val="1"/>
      <w:numFmt w:val="lowerLetter"/>
      <w:lvlText w:val="%2."/>
      <w:lvlJc w:val="left"/>
      <w:pPr>
        <w:ind w:left="1113" w:hanging="360"/>
      </w:pPr>
    </w:lvl>
    <w:lvl w:ilvl="2" w:tplc="0809001B">
      <w:start w:val="1"/>
      <w:numFmt w:val="lowerRoman"/>
      <w:lvlText w:val="%3."/>
      <w:lvlJc w:val="right"/>
      <w:pPr>
        <w:ind w:left="1833" w:hanging="180"/>
      </w:pPr>
    </w:lvl>
    <w:lvl w:ilvl="3" w:tplc="0809000F">
      <w:start w:val="1"/>
      <w:numFmt w:val="decimal"/>
      <w:lvlText w:val="%4."/>
      <w:lvlJc w:val="left"/>
      <w:pPr>
        <w:ind w:left="2553" w:hanging="360"/>
      </w:pPr>
    </w:lvl>
    <w:lvl w:ilvl="4" w:tplc="08090019">
      <w:start w:val="1"/>
      <w:numFmt w:val="lowerLetter"/>
      <w:lvlText w:val="%5."/>
      <w:lvlJc w:val="left"/>
      <w:pPr>
        <w:ind w:left="3273" w:hanging="360"/>
      </w:pPr>
    </w:lvl>
    <w:lvl w:ilvl="5" w:tplc="0809001B">
      <w:start w:val="1"/>
      <w:numFmt w:val="lowerRoman"/>
      <w:lvlText w:val="%6."/>
      <w:lvlJc w:val="right"/>
      <w:pPr>
        <w:ind w:left="3993" w:hanging="180"/>
      </w:pPr>
    </w:lvl>
    <w:lvl w:ilvl="6" w:tplc="0809000F">
      <w:start w:val="1"/>
      <w:numFmt w:val="decimal"/>
      <w:lvlText w:val="%7."/>
      <w:lvlJc w:val="left"/>
      <w:pPr>
        <w:ind w:left="4713" w:hanging="360"/>
      </w:pPr>
    </w:lvl>
    <w:lvl w:ilvl="7" w:tplc="08090019">
      <w:start w:val="1"/>
      <w:numFmt w:val="lowerLetter"/>
      <w:lvlText w:val="%8."/>
      <w:lvlJc w:val="left"/>
      <w:pPr>
        <w:ind w:left="5433" w:hanging="360"/>
      </w:pPr>
    </w:lvl>
    <w:lvl w:ilvl="8" w:tplc="0809001B">
      <w:start w:val="1"/>
      <w:numFmt w:val="lowerRoman"/>
      <w:lvlText w:val="%9."/>
      <w:lvlJc w:val="right"/>
      <w:pPr>
        <w:ind w:left="6153" w:hanging="180"/>
      </w:pPr>
    </w:lvl>
  </w:abstractNum>
  <w:abstractNum w:abstractNumId="20" w15:restartNumberingAfterBreak="0">
    <w:nsid w:val="203E1B0B"/>
    <w:multiLevelType w:val="multilevel"/>
    <w:tmpl w:val="DA1024DE"/>
    <w:styleLink w:val="NumreradLista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74"/>
        </w:tabs>
        <w:ind w:left="1071" w:hanging="35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788"/>
        </w:tabs>
        <w:ind w:left="1785" w:hanging="35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02"/>
        </w:tabs>
        <w:ind w:left="2499" w:hanging="35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16"/>
        </w:tabs>
        <w:ind w:left="3213" w:hanging="35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30"/>
        </w:tabs>
        <w:ind w:left="3927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44"/>
        </w:tabs>
        <w:ind w:left="4641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358"/>
        </w:tabs>
        <w:ind w:left="5355" w:hanging="35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072"/>
        </w:tabs>
        <w:ind w:left="6069" w:hanging="357"/>
      </w:pPr>
      <w:rPr>
        <w:rFonts w:hint="default"/>
      </w:rPr>
    </w:lvl>
  </w:abstractNum>
  <w:abstractNum w:abstractNumId="21" w15:restartNumberingAfterBreak="0">
    <w:nsid w:val="25597EC3"/>
    <w:multiLevelType w:val="hybridMultilevel"/>
    <w:tmpl w:val="81D09E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5A44831"/>
    <w:multiLevelType w:val="hybridMultilevel"/>
    <w:tmpl w:val="8FBCC706"/>
    <w:lvl w:ilvl="0" w:tplc="A4E42E54">
      <w:start w:val="1"/>
      <w:numFmt w:val="decimal"/>
      <w:lvlText w:val="%1."/>
      <w:lvlJc w:val="left"/>
      <w:pPr>
        <w:ind w:left="1070" w:hanging="360"/>
      </w:pPr>
      <w:rPr>
        <w:b w:val="0"/>
        <w:color w:val="auto"/>
        <w:sz w:val="22"/>
        <w:szCs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7C3122A"/>
    <w:multiLevelType w:val="hybridMultilevel"/>
    <w:tmpl w:val="2F86A070"/>
    <w:lvl w:ilvl="0" w:tplc="2C16BB8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97A649D"/>
    <w:multiLevelType w:val="hybridMultilevel"/>
    <w:tmpl w:val="3140B62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2A7222FF"/>
    <w:multiLevelType w:val="multilevel"/>
    <w:tmpl w:val="905CB468"/>
    <w:lvl w:ilvl="0">
      <w:start w:val="1"/>
      <w:numFmt w:val="decimal"/>
      <w:lvlText w:val="(%1)"/>
      <w:lvlJc w:val="left"/>
      <w:rPr>
        <w:rFonts w:ascii="Book Antiqua" w:eastAsia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2B2B3A92"/>
    <w:multiLevelType w:val="singleLevel"/>
    <w:tmpl w:val="73D64A0E"/>
    <w:name w:val="Considérant__1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abstractNum w:abstractNumId="27" w15:restartNumberingAfterBreak="0">
    <w:nsid w:val="2B7971C3"/>
    <w:multiLevelType w:val="hybridMultilevel"/>
    <w:tmpl w:val="3942E0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BBC74DA"/>
    <w:multiLevelType w:val="multilevel"/>
    <w:tmpl w:val="A9824C30"/>
    <w:lvl w:ilvl="0">
      <w:start w:val="1"/>
      <w:numFmt w:val="lowerLetter"/>
      <w:lvlText w:val="(%1)"/>
      <w:lvlJc w:val="left"/>
      <w:rPr>
        <w:rFonts w:ascii="Times New Roman" w:eastAsia="Book Antiqua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en-GB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2D0B464E"/>
    <w:multiLevelType w:val="multilevel"/>
    <w:tmpl w:val="D26C2EE4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1.%1.%3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  <w:rPr>
        <w:rFonts w:hint="default"/>
      </w:rPr>
    </w:lvl>
  </w:abstractNum>
  <w:abstractNum w:abstractNumId="30" w15:restartNumberingAfterBreak="0">
    <w:nsid w:val="2D79254A"/>
    <w:multiLevelType w:val="hybridMultilevel"/>
    <w:tmpl w:val="78304D3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0E56DAD"/>
    <w:multiLevelType w:val="hybridMultilevel"/>
    <w:tmpl w:val="00065F84"/>
    <w:lvl w:ilvl="0" w:tplc="2C16BB8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29C464D"/>
    <w:multiLevelType w:val="hybridMultilevel"/>
    <w:tmpl w:val="7E3EA194"/>
    <w:lvl w:ilvl="0" w:tplc="C1D6BA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3057CB8"/>
    <w:multiLevelType w:val="hybridMultilevel"/>
    <w:tmpl w:val="760C1692"/>
    <w:lvl w:ilvl="0" w:tplc="236EA62C">
      <w:start w:val="1"/>
      <w:numFmt w:val="decimal"/>
      <w:pStyle w:val="InstructionsText2"/>
      <w:lvlText w:val="%1."/>
      <w:lvlJc w:val="left"/>
      <w:pPr>
        <w:ind w:left="1353" w:hanging="360"/>
      </w:pPr>
      <w:rPr>
        <w:rFonts w:cs="Times New Roman"/>
      </w:rPr>
    </w:lvl>
    <w:lvl w:ilvl="1" w:tplc="5F56F3B6">
      <w:start w:val="1"/>
      <w:numFmt w:val="lowerLetter"/>
      <w:lvlText w:val="(%2)"/>
      <w:lvlJc w:val="left"/>
      <w:pPr>
        <w:ind w:left="1440" w:hanging="360"/>
      </w:pPr>
      <w:rPr>
        <w:rFonts w:cs="Times New Roman" w:hint="default"/>
      </w:rPr>
    </w:lvl>
    <w:lvl w:ilvl="2" w:tplc="0407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35CE6D49"/>
    <w:multiLevelType w:val="hybridMultilevel"/>
    <w:tmpl w:val="9B2A41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6D968FC"/>
    <w:multiLevelType w:val="multilevel"/>
    <w:tmpl w:val="65ACFB02"/>
    <w:lvl w:ilvl="0">
      <w:start w:val="1"/>
      <w:numFmt w:val="lowerLetter"/>
      <w:lvlText w:val="(%1)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39E303DB"/>
    <w:multiLevelType w:val="hybridMultilevel"/>
    <w:tmpl w:val="00065F84"/>
    <w:lvl w:ilvl="0" w:tplc="2C16BB8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A0333F1"/>
    <w:multiLevelType w:val="hybridMultilevel"/>
    <w:tmpl w:val="8B967D4E"/>
    <w:lvl w:ilvl="0" w:tplc="963C153A">
      <w:start w:val="1"/>
      <w:numFmt w:val="lowerLetter"/>
      <w:pStyle w:val="Numberedtitlelevel4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CCE5A82"/>
    <w:multiLevelType w:val="multilevel"/>
    <w:tmpl w:val="732A87CE"/>
    <w:lvl w:ilvl="0">
      <w:start w:val="35"/>
      <w:numFmt w:val="lowerLetter"/>
      <w:lvlText w:val="(%1)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9" w15:restartNumberingAfterBreak="0">
    <w:nsid w:val="40CC24BB"/>
    <w:multiLevelType w:val="hybridMultilevel"/>
    <w:tmpl w:val="205491E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1162F44"/>
    <w:multiLevelType w:val="hybridMultilevel"/>
    <w:tmpl w:val="1714D0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27E2570"/>
    <w:multiLevelType w:val="hybridMultilevel"/>
    <w:tmpl w:val="EA70559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35B48EC"/>
    <w:multiLevelType w:val="multilevel"/>
    <w:tmpl w:val="77406D4E"/>
    <w:lvl w:ilvl="0">
      <w:start w:val="1"/>
      <w:numFmt w:val="lowerRoman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435C5D60"/>
    <w:multiLevelType w:val="hybridMultilevel"/>
    <w:tmpl w:val="DF9C1E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35E38C4"/>
    <w:multiLevelType w:val="hybridMultilevel"/>
    <w:tmpl w:val="BAEA4D44"/>
    <w:lvl w:ilvl="0" w:tplc="08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45" w15:restartNumberingAfterBreak="0">
    <w:nsid w:val="443E43DC"/>
    <w:multiLevelType w:val="hybridMultilevel"/>
    <w:tmpl w:val="2F22B10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445521B9"/>
    <w:multiLevelType w:val="hybridMultilevel"/>
    <w:tmpl w:val="CD82A310"/>
    <w:lvl w:ilvl="0" w:tplc="21C049FE">
      <w:start w:val="1"/>
      <w:numFmt w:val="lowerRoman"/>
      <w:lvlText w:val="(%1)"/>
      <w:lvlJc w:val="left"/>
      <w:pPr>
        <w:ind w:left="753" w:hanging="720"/>
      </w:pPr>
    </w:lvl>
    <w:lvl w:ilvl="1" w:tplc="08090019">
      <w:start w:val="1"/>
      <w:numFmt w:val="lowerLetter"/>
      <w:lvlText w:val="%2."/>
      <w:lvlJc w:val="left"/>
      <w:pPr>
        <w:ind w:left="1113" w:hanging="360"/>
      </w:pPr>
    </w:lvl>
    <w:lvl w:ilvl="2" w:tplc="0809001B">
      <w:start w:val="1"/>
      <w:numFmt w:val="lowerRoman"/>
      <w:lvlText w:val="%3."/>
      <w:lvlJc w:val="right"/>
      <w:pPr>
        <w:ind w:left="1833" w:hanging="180"/>
      </w:pPr>
    </w:lvl>
    <w:lvl w:ilvl="3" w:tplc="0809000F">
      <w:start w:val="1"/>
      <w:numFmt w:val="decimal"/>
      <w:lvlText w:val="%4."/>
      <w:lvlJc w:val="left"/>
      <w:pPr>
        <w:ind w:left="2553" w:hanging="360"/>
      </w:pPr>
    </w:lvl>
    <w:lvl w:ilvl="4" w:tplc="08090019">
      <w:start w:val="1"/>
      <w:numFmt w:val="lowerLetter"/>
      <w:lvlText w:val="%5."/>
      <w:lvlJc w:val="left"/>
      <w:pPr>
        <w:ind w:left="3273" w:hanging="360"/>
      </w:pPr>
    </w:lvl>
    <w:lvl w:ilvl="5" w:tplc="0809001B">
      <w:start w:val="1"/>
      <w:numFmt w:val="lowerRoman"/>
      <w:lvlText w:val="%6."/>
      <w:lvlJc w:val="right"/>
      <w:pPr>
        <w:ind w:left="3993" w:hanging="180"/>
      </w:pPr>
    </w:lvl>
    <w:lvl w:ilvl="6" w:tplc="0809000F">
      <w:start w:val="1"/>
      <w:numFmt w:val="decimal"/>
      <w:lvlText w:val="%7."/>
      <w:lvlJc w:val="left"/>
      <w:pPr>
        <w:ind w:left="4713" w:hanging="360"/>
      </w:pPr>
    </w:lvl>
    <w:lvl w:ilvl="7" w:tplc="08090019">
      <w:start w:val="1"/>
      <w:numFmt w:val="lowerLetter"/>
      <w:lvlText w:val="%8."/>
      <w:lvlJc w:val="left"/>
      <w:pPr>
        <w:ind w:left="5433" w:hanging="360"/>
      </w:pPr>
    </w:lvl>
    <w:lvl w:ilvl="8" w:tplc="0809001B">
      <w:start w:val="1"/>
      <w:numFmt w:val="lowerRoman"/>
      <w:lvlText w:val="%9."/>
      <w:lvlJc w:val="right"/>
      <w:pPr>
        <w:ind w:left="6153" w:hanging="180"/>
      </w:pPr>
    </w:lvl>
  </w:abstractNum>
  <w:abstractNum w:abstractNumId="47" w15:restartNumberingAfterBreak="0">
    <w:nsid w:val="44694517"/>
    <w:multiLevelType w:val="hybridMultilevel"/>
    <w:tmpl w:val="205491E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4C27D48"/>
    <w:multiLevelType w:val="hybridMultilevel"/>
    <w:tmpl w:val="B15CC8FC"/>
    <w:lvl w:ilvl="0" w:tplc="090C4D3E">
      <w:start w:val="1"/>
      <w:numFmt w:val="bullet"/>
      <w:pStyle w:val="bullet2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4838547F"/>
    <w:multiLevelType w:val="hybridMultilevel"/>
    <w:tmpl w:val="437A060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8CE15E1"/>
    <w:multiLevelType w:val="multilevel"/>
    <w:tmpl w:val="3948D1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(%1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8FB7BE8"/>
    <w:multiLevelType w:val="hybridMultilevel"/>
    <w:tmpl w:val="DA2A1476"/>
    <w:lvl w:ilvl="0" w:tplc="3F82BFBA">
      <w:start w:val="1"/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2" w15:restartNumberingAfterBreak="0">
    <w:nsid w:val="4DC846D4"/>
    <w:multiLevelType w:val="multilevel"/>
    <w:tmpl w:val="5A0C0808"/>
    <w:lvl w:ilvl="0">
      <w:start w:val="1"/>
      <w:numFmt w:val="lowerLetter"/>
      <w:lvlText w:val="(%1)"/>
      <w:lvlJc w:val="left"/>
      <w:rPr>
        <w:rFonts w:ascii="Times New Roman" w:eastAsia="Book Antiqu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" w15:restartNumberingAfterBreak="0">
    <w:nsid w:val="4F1B0208"/>
    <w:multiLevelType w:val="hybridMultilevel"/>
    <w:tmpl w:val="0502690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0227369"/>
    <w:multiLevelType w:val="hybridMultilevel"/>
    <w:tmpl w:val="C2D88122"/>
    <w:lvl w:ilvl="0" w:tplc="4A2A8390">
      <w:start w:val="1"/>
      <w:numFmt w:val="decimal"/>
      <w:pStyle w:val="numberedparagraph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2FD7464"/>
    <w:multiLevelType w:val="hybridMultilevel"/>
    <w:tmpl w:val="F7D070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54823D0A"/>
    <w:multiLevelType w:val="multilevel"/>
    <w:tmpl w:val="CD6893E4"/>
    <w:lvl w:ilvl="0">
      <w:start w:val="1"/>
      <w:numFmt w:val="lowerLetter"/>
      <w:lvlText w:val="(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" w15:restartNumberingAfterBreak="0">
    <w:nsid w:val="565D7F1B"/>
    <w:multiLevelType w:val="multilevel"/>
    <w:tmpl w:val="0409001D"/>
    <w:styleLink w:val="Style3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58" w15:restartNumberingAfterBreak="0">
    <w:nsid w:val="56E4204C"/>
    <w:multiLevelType w:val="hybridMultilevel"/>
    <w:tmpl w:val="68141CD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74B1E8E"/>
    <w:multiLevelType w:val="multilevel"/>
    <w:tmpl w:val="E5882BE0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" w15:restartNumberingAfterBreak="0">
    <w:nsid w:val="57DD727D"/>
    <w:multiLevelType w:val="hybridMultilevel"/>
    <w:tmpl w:val="A352F802"/>
    <w:lvl w:ilvl="0" w:tplc="42DA0218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ADD1127"/>
    <w:multiLevelType w:val="hybridMultilevel"/>
    <w:tmpl w:val="44722EE6"/>
    <w:lvl w:ilvl="0" w:tplc="7D5EEB9C">
      <w:start w:val="1"/>
      <w:numFmt w:val="lowerRoman"/>
      <w:lvlText w:val="(%1)"/>
      <w:lvlJc w:val="left"/>
      <w:pPr>
        <w:ind w:left="753" w:hanging="720"/>
      </w:pPr>
    </w:lvl>
    <w:lvl w:ilvl="1" w:tplc="08090019">
      <w:start w:val="1"/>
      <w:numFmt w:val="lowerLetter"/>
      <w:lvlText w:val="%2."/>
      <w:lvlJc w:val="left"/>
      <w:pPr>
        <w:ind w:left="1113" w:hanging="360"/>
      </w:pPr>
    </w:lvl>
    <w:lvl w:ilvl="2" w:tplc="0809001B">
      <w:start w:val="1"/>
      <w:numFmt w:val="lowerRoman"/>
      <w:lvlText w:val="%3."/>
      <w:lvlJc w:val="right"/>
      <w:pPr>
        <w:ind w:left="1833" w:hanging="180"/>
      </w:pPr>
    </w:lvl>
    <w:lvl w:ilvl="3" w:tplc="0809000F">
      <w:start w:val="1"/>
      <w:numFmt w:val="decimal"/>
      <w:lvlText w:val="%4."/>
      <w:lvlJc w:val="left"/>
      <w:pPr>
        <w:ind w:left="2553" w:hanging="360"/>
      </w:pPr>
    </w:lvl>
    <w:lvl w:ilvl="4" w:tplc="08090019">
      <w:start w:val="1"/>
      <w:numFmt w:val="lowerLetter"/>
      <w:lvlText w:val="%5."/>
      <w:lvlJc w:val="left"/>
      <w:pPr>
        <w:ind w:left="3273" w:hanging="360"/>
      </w:pPr>
    </w:lvl>
    <w:lvl w:ilvl="5" w:tplc="0809001B">
      <w:start w:val="1"/>
      <w:numFmt w:val="lowerRoman"/>
      <w:lvlText w:val="%6."/>
      <w:lvlJc w:val="right"/>
      <w:pPr>
        <w:ind w:left="3993" w:hanging="180"/>
      </w:pPr>
    </w:lvl>
    <w:lvl w:ilvl="6" w:tplc="0809000F">
      <w:start w:val="1"/>
      <w:numFmt w:val="decimal"/>
      <w:lvlText w:val="%7."/>
      <w:lvlJc w:val="left"/>
      <w:pPr>
        <w:ind w:left="4713" w:hanging="360"/>
      </w:pPr>
    </w:lvl>
    <w:lvl w:ilvl="7" w:tplc="08090019">
      <w:start w:val="1"/>
      <w:numFmt w:val="lowerLetter"/>
      <w:lvlText w:val="%8."/>
      <w:lvlJc w:val="left"/>
      <w:pPr>
        <w:ind w:left="5433" w:hanging="360"/>
      </w:pPr>
    </w:lvl>
    <w:lvl w:ilvl="8" w:tplc="0809001B">
      <w:start w:val="1"/>
      <w:numFmt w:val="lowerRoman"/>
      <w:lvlText w:val="%9."/>
      <w:lvlJc w:val="right"/>
      <w:pPr>
        <w:ind w:left="6153" w:hanging="180"/>
      </w:pPr>
    </w:lvl>
  </w:abstractNum>
  <w:abstractNum w:abstractNumId="62" w15:restartNumberingAfterBreak="0">
    <w:nsid w:val="5B4A725B"/>
    <w:multiLevelType w:val="hybridMultilevel"/>
    <w:tmpl w:val="B25E71E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BB62C96"/>
    <w:multiLevelType w:val="multilevel"/>
    <w:tmpl w:val="1AACA432"/>
    <w:lvl w:ilvl="0">
      <w:start w:val="1"/>
      <w:numFmt w:val="lowerLetter"/>
      <w:lvlText w:val="(%1)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" w15:restartNumberingAfterBreak="0">
    <w:nsid w:val="5BC85E36"/>
    <w:multiLevelType w:val="hybridMultilevel"/>
    <w:tmpl w:val="F7ECA9FE"/>
    <w:lvl w:ilvl="0" w:tplc="0809000F">
      <w:start w:val="1"/>
      <w:numFmt w:val="decimal"/>
      <w:lvlText w:val="%1."/>
      <w:lvlJc w:val="left"/>
      <w:pPr>
        <w:ind w:left="8865" w:hanging="360"/>
      </w:pPr>
    </w:lvl>
    <w:lvl w:ilvl="1" w:tplc="08090019" w:tentative="1">
      <w:start w:val="1"/>
      <w:numFmt w:val="lowerLetter"/>
      <w:lvlText w:val="%2."/>
      <w:lvlJc w:val="left"/>
      <w:pPr>
        <w:ind w:left="1506" w:hanging="360"/>
      </w:pPr>
    </w:lvl>
    <w:lvl w:ilvl="2" w:tplc="0809001B" w:tentative="1">
      <w:start w:val="1"/>
      <w:numFmt w:val="lowerRoman"/>
      <w:lvlText w:val="%3."/>
      <w:lvlJc w:val="right"/>
      <w:pPr>
        <w:ind w:left="2226" w:hanging="180"/>
      </w:pPr>
    </w:lvl>
    <w:lvl w:ilvl="3" w:tplc="0809000F" w:tentative="1">
      <w:start w:val="1"/>
      <w:numFmt w:val="decimal"/>
      <w:lvlText w:val="%4."/>
      <w:lvlJc w:val="left"/>
      <w:pPr>
        <w:ind w:left="2946" w:hanging="360"/>
      </w:pPr>
    </w:lvl>
    <w:lvl w:ilvl="4" w:tplc="08090019" w:tentative="1">
      <w:start w:val="1"/>
      <w:numFmt w:val="lowerLetter"/>
      <w:lvlText w:val="%5."/>
      <w:lvlJc w:val="left"/>
      <w:pPr>
        <w:ind w:left="3666" w:hanging="360"/>
      </w:pPr>
    </w:lvl>
    <w:lvl w:ilvl="5" w:tplc="0809001B" w:tentative="1">
      <w:start w:val="1"/>
      <w:numFmt w:val="lowerRoman"/>
      <w:lvlText w:val="%6."/>
      <w:lvlJc w:val="right"/>
      <w:pPr>
        <w:ind w:left="4386" w:hanging="180"/>
      </w:pPr>
    </w:lvl>
    <w:lvl w:ilvl="6" w:tplc="0809000F" w:tentative="1">
      <w:start w:val="1"/>
      <w:numFmt w:val="decimal"/>
      <w:lvlText w:val="%7."/>
      <w:lvlJc w:val="left"/>
      <w:pPr>
        <w:ind w:left="5106" w:hanging="360"/>
      </w:pPr>
    </w:lvl>
    <w:lvl w:ilvl="7" w:tplc="08090019" w:tentative="1">
      <w:start w:val="1"/>
      <w:numFmt w:val="lowerLetter"/>
      <w:lvlText w:val="%8."/>
      <w:lvlJc w:val="left"/>
      <w:pPr>
        <w:ind w:left="5826" w:hanging="360"/>
      </w:pPr>
    </w:lvl>
    <w:lvl w:ilvl="8" w:tplc="0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5" w15:restartNumberingAfterBreak="0">
    <w:nsid w:val="68537505"/>
    <w:multiLevelType w:val="hybridMultilevel"/>
    <w:tmpl w:val="4566BE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6A0E5E13"/>
    <w:multiLevelType w:val="hybridMultilevel"/>
    <w:tmpl w:val="37763C9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A1B56EB"/>
    <w:multiLevelType w:val="hybridMultilevel"/>
    <w:tmpl w:val="84B82DAE"/>
    <w:lvl w:ilvl="0" w:tplc="58B80B0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A4767C0"/>
    <w:multiLevelType w:val="hybridMultilevel"/>
    <w:tmpl w:val="06983DAE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-180"/>
        </w:tabs>
        <w:ind w:left="-1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540"/>
        </w:tabs>
        <w:ind w:left="5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1260"/>
        </w:tabs>
        <w:ind w:left="12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1980"/>
        </w:tabs>
        <w:ind w:left="19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2700"/>
        </w:tabs>
        <w:ind w:left="27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4140"/>
        </w:tabs>
        <w:ind w:left="41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4860"/>
        </w:tabs>
        <w:ind w:left="4860" w:hanging="180"/>
      </w:pPr>
    </w:lvl>
  </w:abstractNum>
  <w:abstractNum w:abstractNumId="69" w15:restartNumberingAfterBreak="0">
    <w:nsid w:val="6B486FF3"/>
    <w:multiLevelType w:val="multilevel"/>
    <w:tmpl w:val="351A9156"/>
    <w:lvl w:ilvl="0">
      <w:start w:val="1"/>
      <w:numFmt w:val="bullet"/>
      <w:lvlText w:val="—"/>
      <w:lvlJc w:val="left"/>
      <w:rPr>
        <w:rFonts w:ascii="Book Antiqua" w:eastAsia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" w15:restartNumberingAfterBreak="0">
    <w:nsid w:val="6BCD57BB"/>
    <w:multiLevelType w:val="multilevel"/>
    <w:tmpl w:val="5AD2A3CC"/>
    <w:lvl w:ilvl="0">
      <w:start w:val="1"/>
      <w:numFmt w:val="decimal"/>
      <w:pStyle w:val="Numberedtilelevel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umberedtitlelevel2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Numberedtitlelevel3"/>
      <w:lvlText w:val="%1.%2.%3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hint="default"/>
      </w:rPr>
    </w:lvl>
  </w:abstractNum>
  <w:abstractNum w:abstractNumId="71" w15:restartNumberingAfterBreak="0">
    <w:nsid w:val="6EE0459A"/>
    <w:multiLevelType w:val="multilevel"/>
    <w:tmpl w:val="A1247F16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2"/>
        <w:szCs w:val="22"/>
        <w:u w:val="none"/>
        <w:lang w:val="en-US"/>
      </w:rPr>
    </w:lvl>
    <w:lvl w:ilvl="1">
      <w:start w:val="1"/>
      <w:numFmt w:val="decimal"/>
      <w:lvlText w:val="%1.%2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9"/>
        <w:szCs w:val="29"/>
        <w:u w:val="none"/>
        <w:lang w:val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" w15:restartNumberingAfterBreak="0">
    <w:nsid w:val="71064D88"/>
    <w:multiLevelType w:val="hybridMultilevel"/>
    <w:tmpl w:val="DACEA436"/>
    <w:lvl w:ilvl="0" w:tplc="3502039C">
      <w:start w:val="1"/>
      <w:numFmt w:val="bullet"/>
      <w:pStyle w:val="List1"/>
      <w:lvlText w:val=""/>
      <w:lvlJc w:val="left"/>
      <w:pPr>
        <w:ind w:left="720" w:hanging="7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72DC1F7D"/>
    <w:multiLevelType w:val="multilevel"/>
    <w:tmpl w:val="1FA8F3C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74"/>
        </w:tabs>
        <w:ind w:left="1071" w:hanging="35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788"/>
        </w:tabs>
        <w:ind w:left="1785" w:hanging="35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02"/>
        </w:tabs>
        <w:ind w:left="2499" w:hanging="35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16"/>
        </w:tabs>
        <w:ind w:left="3213" w:hanging="35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30"/>
        </w:tabs>
        <w:ind w:left="3927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44"/>
        </w:tabs>
        <w:ind w:left="4641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358"/>
        </w:tabs>
        <w:ind w:left="5355" w:hanging="35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072"/>
        </w:tabs>
        <w:ind w:left="6069" w:hanging="357"/>
      </w:pPr>
      <w:rPr>
        <w:rFonts w:hint="default"/>
      </w:rPr>
    </w:lvl>
  </w:abstractNum>
  <w:abstractNum w:abstractNumId="74" w15:restartNumberingAfterBreak="0">
    <w:nsid w:val="76C5464B"/>
    <w:multiLevelType w:val="hybridMultilevel"/>
    <w:tmpl w:val="66CAAE08"/>
    <w:lvl w:ilvl="0" w:tplc="1BE4675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7FD6839"/>
    <w:multiLevelType w:val="hybridMultilevel"/>
    <w:tmpl w:val="4CE8BEBA"/>
    <w:lvl w:ilvl="0" w:tplc="E1168B16">
      <w:start w:val="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C79739D"/>
    <w:multiLevelType w:val="hybridMultilevel"/>
    <w:tmpl w:val="6ED8BC8C"/>
    <w:lvl w:ilvl="0" w:tplc="1768339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61239037">
    <w:abstractNumId w:val="50"/>
  </w:num>
  <w:num w:numId="2" w16cid:durableId="2034720164">
    <w:abstractNumId w:val="48"/>
  </w:num>
  <w:num w:numId="3" w16cid:durableId="634917962">
    <w:abstractNumId w:val="7"/>
  </w:num>
  <w:num w:numId="4" w16cid:durableId="1625036184">
    <w:abstractNumId w:val="29"/>
  </w:num>
  <w:num w:numId="5" w16cid:durableId="501313629">
    <w:abstractNumId w:val="37"/>
  </w:num>
  <w:num w:numId="6" w16cid:durableId="125977460">
    <w:abstractNumId w:val="72"/>
  </w:num>
  <w:num w:numId="7" w16cid:durableId="1492795710">
    <w:abstractNumId w:val="2"/>
  </w:num>
  <w:num w:numId="8" w16cid:durableId="848526939">
    <w:abstractNumId w:val="70"/>
  </w:num>
  <w:num w:numId="9" w16cid:durableId="984771423">
    <w:abstractNumId w:val="54"/>
  </w:num>
  <w:num w:numId="10" w16cid:durableId="1745374140">
    <w:abstractNumId w:val="1"/>
  </w:num>
  <w:num w:numId="11" w16cid:durableId="435634678">
    <w:abstractNumId w:val="26"/>
  </w:num>
  <w:num w:numId="12" w16cid:durableId="182566249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081324398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925844411">
    <w:abstractNumId w:val="23"/>
  </w:num>
  <w:num w:numId="15" w16cid:durableId="454912513">
    <w:abstractNumId w:val="46"/>
  </w:num>
  <w:num w:numId="16" w16cid:durableId="247931651">
    <w:abstractNumId w:val="11"/>
  </w:num>
  <w:num w:numId="17" w16cid:durableId="629675290">
    <w:abstractNumId w:val="76"/>
  </w:num>
  <w:num w:numId="18" w16cid:durableId="974874027">
    <w:abstractNumId w:val="58"/>
  </w:num>
  <w:num w:numId="19" w16cid:durableId="1402370064">
    <w:abstractNumId w:val="15"/>
  </w:num>
  <w:num w:numId="20" w16cid:durableId="849754039">
    <w:abstractNumId w:val="68"/>
  </w:num>
  <w:num w:numId="21" w16cid:durableId="1555045502">
    <w:abstractNumId w:val="16"/>
  </w:num>
  <w:num w:numId="22" w16cid:durableId="1983996845">
    <w:abstractNumId w:val="18"/>
  </w:num>
  <w:num w:numId="23" w16cid:durableId="1147625497">
    <w:abstractNumId w:val="53"/>
  </w:num>
  <w:num w:numId="24" w16cid:durableId="1494492982">
    <w:abstractNumId w:val="69"/>
  </w:num>
  <w:num w:numId="25" w16cid:durableId="1590187734">
    <w:abstractNumId w:val="5"/>
  </w:num>
  <w:num w:numId="26" w16cid:durableId="344672669">
    <w:abstractNumId w:val="28"/>
  </w:num>
  <w:num w:numId="27" w16cid:durableId="1398357806">
    <w:abstractNumId w:val="52"/>
  </w:num>
  <w:num w:numId="28" w16cid:durableId="1492793236">
    <w:abstractNumId w:val="25"/>
  </w:num>
  <w:num w:numId="29" w16cid:durableId="1828474610">
    <w:abstractNumId w:val="64"/>
  </w:num>
  <w:num w:numId="30" w16cid:durableId="1626891959">
    <w:abstractNumId w:val="14"/>
  </w:num>
  <w:num w:numId="31" w16cid:durableId="1056274108">
    <w:abstractNumId w:val="0"/>
  </w:num>
  <w:num w:numId="32" w16cid:durableId="696277863">
    <w:abstractNumId w:val="8"/>
  </w:num>
  <w:num w:numId="33" w16cid:durableId="797451239">
    <w:abstractNumId w:val="56"/>
  </w:num>
  <w:num w:numId="34" w16cid:durableId="533270072">
    <w:abstractNumId w:val="9"/>
  </w:num>
  <w:num w:numId="35" w16cid:durableId="1297645551">
    <w:abstractNumId w:val="40"/>
  </w:num>
  <w:num w:numId="36" w16cid:durableId="69499067">
    <w:abstractNumId w:val="20"/>
  </w:num>
  <w:num w:numId="37" w16cid:durableId="1786077219">
    <w:abstractNumId w:val="73"/>
  </w:num>
  <w:num w:numId="38" w16cid:durableId="1849715892">
    <w:abstractNumId w:val="44"/>
  </w:num>
  <w:num w:numId="39" w16cid:durableId="470027272">
    <w:abstractNumId w:val="43"/>
  </w:num>
  <w:num w:numId="40" w16cid:durableId="2091150559">
    <w:abstractNumId w:val="34"/>
  </w:num>
  <w:num w:numId="41" w16cid:durableId="1097024714">
    <w:abstractNumId w:val="55"/>
  </w:num>
  <w:num w:numId="42" w16cid:durableId="265041195">
    <w:abstractNumId w:val="65"/>
  </w:num>
  <w:num w:numId="43" w16cid:durableId="1298531767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856378793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060060838">
    <w:abstractNumId w:val="57"/>
  </w:num>
  <w:num w:numId="46" w16cid:durableId="650133405">
    <w:abstractNumId w:val="13"/>
  </w:num>
  <w:num w:numId="47" w16cid:durableId="1201744292">
    <w:abstractNumId w:val="39"/>
  </w:num>
  <w:num w:numId="48" w16cid:durableId="647905348">
    <w:abstractNumId w:val="41"/>
  </w:num>
  <w:num w:numId="49" w16cid:durableId="1246379891">
    <w:abstractNumId w:val="47"/>
  </w:num>
  <w:num w:numId="50" w16cid:durableId="1353142639">
    <w:abstractNumId w:val="30"/>
  </w:num>
  <w:num w:numId="51" w16cid:durableId="1033925350">
    <w:abstractNumId w:val="60"/>
  </w:num>
  <w:num w:numId="52" w16cid:durableId="530728398">
    <w:abstractNumId w:val="17"/>
  </w:num>
  <w:num w:numId="53" w16cid:durableId="1722052236">
    <w:abstractNumId w:val="75"/>
  </w:num>
  <w:num w:numId="54" w16cid:durableId="1314481135">
    <w:abstractNumId w:val="67"/>
  </w:num>
  <w:num w:numId="55" w16cid:durableId="497500178">
    <w:abstractNumId w:val="51"/>
  </w:num>
  <w:num w:numId="56" w16cid:durableId="1023288254">
    <w:abstractNumId w:val="66"/>
  </w:num>
  <w:num w:numId="57" w16cid:durableId="320694590">
    <w:abstractNumId w:val="74"/>
  </w:num>
  <w:num w:numId="58" w16cid:durableId="427307897">
    <w:abstractNumId w:val="6"/>
  </w:num>
  <w:num w:numId="59" w16cid:durableId="2117291170">
    <w:abstractNumId w:val="49"/>
  </w:num>
  <w:num w:numId="60" w16cid:durableId="1085302267">
    <w:abstractNumId w:val="32"/>
  </w:num>
  <w:num w:numId="61" w16cid:durableId="79260767">
    <w:abstractNumId w:val="22"/>
  </w:num>
  <w:num w:numId="62" w16cid:durableId="1940403543">
    <w:abstractNumId w:val="33"/>
  </w:num>
  <w:num w:numId="63" w16cid:durableId="139688166">
    <w:abstractNumId w:val="3"/>
  </w:num>
  <w:num w:numId="64" w16cid:durableId="1830436411">
    <w:abstractNumId w:val="21"/>
  </w:num>
  <w:num w:numId="65" w16cid:durableId="2121678578">
    <w:abstractNumId w:val="27"/>
  </w:num>
  <w:num w:numId="66" w16cid:durableId="374044681">
    <w:abstractNumId w:val="10"/>
  </w:num>
  <w:num w:numId="67" w16cid:durableId="1605650266">
    <w:abstractNumId w:val="59"/>
  </w:num>
  <w:num w:numId="68" w16cid:durableId="1737975728">
    <w:abstractNumId w:val="71"/>
  </w:num>
  <w:num w:numId="69" w16cid:durableId="2002196286">
    <w:abstractNumId w:val="63"/>
  </w:num>
  <w:num w:numId="70" w16cid:durableId="1111634297">
    <w:abstractNumId w:val="35"/>
  </w:num>
  <w:num w:numId="71" w16cid:durableId="1916090807">
    <w:abstractNumId w:val="42"/>
  </w:num>
  <w:num w:numId="72" w16cid:durableId="610163597">
    <w:abstractNumId w:val="38"/>
  </w:num>
  <w:num w:numId="73" w16cid:durableId="1496069310">
    <w:abstractNumId w:val="12"/>
  </w:num>
  <w:num w:numId="74" w16cid:durableId="977108779">
    <w:abstractNumId w:val="62"/>
  </w:num>
  <w:num w:numId="75" w16cid:durableId="18701256">
    <w:abstractNumId w:val="4"/>
  </w:num>
  <w:num w:numId="76" w16cid:durableId="1094519072">
    <w:abstractNumId w:val="31"/>
  </w:num>
  <w:num w:numId="77" w16cid:durableId="1617443384">
    <w:abstractNumId w:val="36"/>
  </w:num>
  <w:num w:numId="78" w16cid:durableId="1268926257">
    <w:abstractNumId w:val="45"/>
  </w:num>
  <w:num w:numId="79" w16cid:durableId="978068849">
    <w:abstractNumId w:val="46"/>
    <w:lvlOverride w:ilvl="0">
      <w:startOverride w:val="1"/>
    </w:lvlOverride>
  </w:num>
  <w:num w:numId="80" w16cid:durableId="232933388">
    <w:abstractNumId w:val="24"/>
  </w:num>
  <w:numIdMacAtCleanup w:val="7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activeWritingStyle w:appName="MSWord" w:lang="fr-FR" w:vendorID="64" w:dllVersion="0" w:nlCheck="1" w:checkStyle="0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fr-BE" w:vendorID="64" w:dllVersion="0" w:nlCheck="1" w:checkStyle="0"/>
  <w:defaultTabStop w:val="720"/>
  <w:hyphenationZone w:val="283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EBA GL-REC 20XX XX (FINAL GLS-REC ON"/>
  </w:docVars>
  <w:rsids>
    <w:rsidRoot w:val="006307A5"/>
    <w:rsid w:val="00001873"/>
    <w:rsid w:val="00003BF5"/>
    <w:rsid w:val="00003F50"/>
    <w:rsid w:val="00004C00"/>
    <w:rsid w:val="000056A3"/>
    <w:rsid w:val="00007927"/>
    <w:rsid w:val="00010D29"/>
    <w:rsid w:val="00011540"/>
    <w:rsid w:val="00013281"/>
    <w:rsid w:val="000148C4"/>
    <w:rsid w:val="0001574B"/>
    <w:rsid w:val="00015C54"/>
    <w:rsid w:val="00015DE4"/>
    <w:rsid w:val="00016A5F"/>
    <w:rsid w:val="00016FB4"/>
    <w:rsid w:val="0001712C"/>
    <w:rsid w:val="000231B7"/>
    <w:rsid w:val="00023204"/>
    <w:rsid w:val="0002717D"/>
    <w:rsid w:val="00027CA0"/>
    <w:rsid w:val="00030D65"/>
    <w:rsid w:val="00032609"/>
    <w:rsid w:val="0003602B"/>
    <w:rsid w:val="000372FB"/>
    <w:rsid w:val="00040129"/>
    <w:rsid w:val="000405FC"/>
    <w:rsid w:val="000416AD"/>
    <w:rsid w:val="00042451"/>
    <w:rsid w:val="00045BB0"/>
    <w:rsid w:val="00047D69"/>
    <w:rsid w:val="000506BF"/>
    <w:rsid w:val="000506DE"/>
    <w:rsid w:val="00051895"/>
    <w:rsid w:val="00052987"/>
    <w:rsid w:val="00052C7E"/>
    <w:rsid w:val="000540E0"/>
    <w:rsid w:val="00054554"/>
    <w:rsid w:val="00054B2E"/>
    <w:rsid w:val="000561D1"/>
    <w:rsid w:val="00060F40"/>
    <w:rsid w:val="0006264F"/>
    <w:rsid w:val="00062830"/>
    <w:rsid w:val="00062937"/>
    <w:rsid w:val="000638BD"/>
    <w:rsid w:val="000639E7"/>
    <w:rsid w:val="000646F8"/>
    <w:rsid w:val="00064A87"/>
    <w:rsid w:val="00066A9A"/>
    <w:rsid w:val="00067739"/>
    <w:rsid w:val="00071DAB"/>
    <w:rsid w:val="00072A8C"/>
    <w:rsid w:val="00074660"/>
    <w:rsid w:val="00075A38"/>
    <w:rsid w:val="000762E4"/>
    <w:rsid w:val="00076626"/>
    <w:rsid w:val="000774B3"/>
    <w:rsid w:val="00080665"/>
    <w:rsid w:val="00082163"/>
    <w:rsid w:val="00083C33"/>
    <w:rsid w:val="000843CD"/>
    <w:rsid w:val="00084D8B"/>
    <w:rsid w:val="00084EED"/>
    <w:rsid w:val="00086123"/>
    <w:rsid w:val="0008757E"/>
    <w:rsid w:val="00091AA5"/>
    <w:rsid w:val="00092B75"/>
    <w:rsid w:val="000935C4"/>
    <w:rsid w:val="00093A51"/>
    <w:rsid w:val="00094030"/>
    <w:rsid w:val="00094A22"/>
    <w:rsid w:val="00096020"/>
    <w:rsid w:val="00096F96"/>
    <w:rsid w:val="000A1AF7"/>
    <w:rsid w:val="000A1C81"/>
    <w:rsid w:val="000A2565"/>
    <w:rsid w:val="000A2CE0"/>
    <w:rsid w:val="000A3851"/>
    <w:rsid w:val="000A3A4A"/>
    <w:rsid w:val="000A4A93"/>
    <w:rsid w:val="000A5C66"/>
    <w:rsid w:val="000A5FC4"/>
    <w:rsid w:val="000A6D95"/>
    <w:rsid w:val="000A7015"/>
    <w:rsid w:val="000B0073"/>
    <w:rsid w:val="000B04C4"/>
    <w:rsid w:val="000B0BBD"/>
    <w:rsid w:val="000B1645"/>
    <w:rsid w:val="000B2958"/>
    <w:rsid w:val="000B3C05"/>
    <w:rsid w:val="000B6D18"/>
    <w:rsid w:val="000C1BEC"/>
    <w:rsid w:val="000C2398"/>
    <w:rsid w:val="000C288C"/>
    <w:rsid w:val="000C3CA2"/>
    <w:rsid w:val="000C3FD6"/>
    <w:rsid w:val="000C4F64"/>
    <w:rsid w:val="000C5A8A"/>
    <w:rsid w:val="000C7892"/>
    <w:rsid w:val="000C7FD8"/>
    <w:rsid w:val="000D1DA9"/>
    <w:rsid w:val="000D1FC3"/>
    <w:rsid w:val="000D3626"/>
    <w:rsid w:val="000D4898"/>
    <w:rsid w:val="000D49BF"/>
    <w:rsid w:val="000D68DC"/>
    <w:rsid w:val="000D7A44"/>
    <w:rsid w:val="000E0C27"/>
    <w:rsid w:val="000E31D8"/>
    <w:rsid w:val="000E6D15"/>
    <w:rsid w:val="000E6E57"/>
    <w:rsid w:val="000F1F90"/>
    <w:rsid w:val="000F2A65"/>
    <w:rsid w:val="000F2F6E"/>
    <w:rsid w:val="000F32BD"/>
    <w:rsid w:val="000F33D3"/>
    <w:rsid w:val="000F3E72"/>
    <w:rsid w:val="000F607B"/>
    <w:rsid w:val="000F6495"/>
    <w:rsid w:val="000F6FD8"/>
    <w:rsid w:val="000F7313"/>
    <w:rsid w:val="000F7E65"/>
    <w:rsid w:val="0010160A"/>
    <w:rsid w:val="001023C0"/>
    <w:rsid w:val="00102CDD"/>
    <w:rsid w:val="00105DF4"/>
    <w:rsid w:val="00106155"/>
    <w:rsid w:val="001061FA"/>
    <w:rsid w:val="00106D1E"/>
    <w:rsid w:val="00107403"/>
    <w:rsid w:val="0011148D"/>
    <w:rsid w:val="00112469"/>
    <w:rsid w:val="0011517F"/>
    <w:rsid w:val="00115E0F"/>
    <w:rsid w:val="00116FC4"/>
    <w:rsid w:val="00120B38"/>
    <w:rsid w:val="00120BFF"/>
    <w:rsid w:val="00121BB0"/>
    <w:rsid w:val="00121C58"/>
    <w:rsid w:val="00121E46"/>
    <w:rsid w:val="001227EB"/>
    <w:rsid w:val="001266BE"/>
    <w:rsid w:val="0012686C"/>
    <w:rsid w:val="0013090C"/>
    <w:rsid w:val="00131820"/>
    <w:rsid w:val="00131C5D"/>
    <w:rsid w:val="001359DC"/>
    <w:rsid w:val="00135BA6"/>
    <w:rsid w:val="00141684"/>
    <w:rsid w:val="001418CA"/>
    <w:rsid w:val="00142ACD"/>
    <w:rsid w:val="00142DF6"/>
    <w:rsid w:val="00143A8B"/>
    <w:rsid w:val="00145D1A"/>
    <w:rsid w:val="00145D24"/>
    <w:rsid w:val="001460F4"/>
    <w:rsid w:val="00150734"/>
    <w:rsid w:val="00151991"/>
    <w:rsid w:val="00152593"/>
    <w:rsid w:val="00152832"/>
    <w:rsid w:val="00153D1C"/>
    <w:rsid w:val="00154596"/>
    <w:rsid w:val="00155718"/>
    <w:rsid w:val="001559B6"/>
    <w:rsid w:val="00155C96"/>
    <w:rsid w:val="00155EF6"/>
    <w:rsid w:val="00156E14"/>
    <w:rsid w:val="001600FC"/>
    <w:rsid w:val="00160C3E"/>
    <w:rsid w:val="001613AA"/>
    <w:rsid w:val="0016228C"/>
    <w:rsid w:val="00162381"/>
    <w:rsid w:val="001624C3"/>
    <w:rsid w:val="00162769"/>
    <w:rsid w:val="001639AB"/>
    <w:rsid w:val="001641E0"/>
    <w:rsid w:val="001649C3"/>
    <w:rsid w:val="0016737A"/>
    <w:rsid w:val="001703D3"/>
    <w:rsid w:val="00172007"/>
    <w:rsid w:val="00172621"/>
    <w:rsid w:val="001738A5"/>
    <w:rsid w:val="0017446F"/>
    <w:rsid w:val="00177CB9"/>
    <w:rsid w:val="00180606"/>
    <w:rsid w:val="00181C00"/>
    <w:rsid w:val="001828B1"/>
    <w:rsid w:val="001834D4"/>
    <w:rsid w:val="0018442D"/>
    <w:rsid w:val="00184DBF"/>
    <w:rsid w:val="00185341"/>
    <w:rsid w:val="00186588"/>
    <w:rsid w:val="00187C4B"/>
    <w:rsid w:val="00192044"/>
    <w:rsid w:val="00192287"/>
    <w:rsid w:val="00194611"/>
    <w:rsid w:val="00194BCC"/>
    <w:rsid w:val="00194F95"/>
    <w:rsid w:val="0019796E"/>
    <w:rsid w:val="001A016C"/>
    <w:rsid w:val="001A0C8D"/>
    <w:rsid w:val="001A1C04"/>
    <w:rsid w:val="001A2A81"/>
    <w:rsid w:val="001A32A3"/>
    <w:rsid w:val="001A4B58"/>
    <w:rsid w:val="001A5BD4"/>
    <w:rsid w:val="001A70A8"/>
    <w:rsid w:val="001A79EB"/>
    <w:rsid w:val="001B05D2"/>
    <w:rsid w:val="001B0CBA"/>
    <w:rsid w:val="001B2C0D"/>
    <w:rsid w:val="001B30FD"/>
    <w:rsid w:val="001B6017"/>
    <w:rsid w:val="001B703F"/>
    <w:rsid w:val="001B7A0B"/>
    <w:rsid w:val="001B7EB3"/>
    <w:rsid w:val="001C05E6"/>
    <w:rsid w:val="001C1FD9"/>
    <w:rsid w:val="001C2B69"/>
    <w:rsid w:val="001C2D18"/>
    <w:rsid w:val="001C2E4C"/>
    <w:rsid w:val="001C5BC2"/>
    <w:rsid w:val="001C76ED"/>
    <w:rsid w:val="001D0179"/>
    <w:rsid w:val="001D1E81"/>
    <w:rsid w:val="001D39CC"/>
    <w:rsid w:val="001D5526"/>
    <w:rsid w:val="001D6D89"/>
    <w:rsid w:val="001D6D9D"/>
    <w:rsid w:val="001D6E22"/>
    <w:rsid w:val="001D723A"/>
    <w:rsid w:val="001E0565"/>
    <w:rsid w:val="001E06A3"/>
    <w:rsid w:val="001E08AC"/>
    <w:rsid w:val="001E1188"/>
    <w:rsid w:val="001E194E"/>
    <w:rsid w:val="001E2AB8"/>
    <w:rsid w:val="001E3599"/>
    <w:rsid w:val="001E4698"/>
    <w:rsid w:val="001E7B53"/>
    <w:rsid w:val="001F0077"/>
    <w:rsid w:val="001F0720"/>
    <w:rsid w:val="001F13DC"/>
    <w:rsid w:val="001F16BB"/>
    <w:rsid w:val="001F18AA"/>
    <w:rsid w:val="001F1CB9"/>
    <w:rsid w:val="001F3BDC"/>
    <w:rsid w:val="001F53F8"/>
    <w:rsid w:val="001F7501"/>
    <w:rsid w:val="002003D9"/>
    <w:rsid w:val="00200A65"/>
    <w:rsid w:val="00200A9F"/>
    <w:rsid w:val="00201A16"/>
    <w:rsid w:val="00203C1C"/>
    <w:rsid w:val="00205139"/>
    <w:rsid w:val="00205878"/>
    <w:rsid w:val="00206A6B"/>
    <w:rsid w:val="00206BB0"/>
    <w:rsid w:val="0020758C"/>
    <w:rsid w:val="002079C0"/>
    <w:rsid w:val="002110ED"/>
    <w:rsid w:val="0021137D"/>
    <w:rsid w:val="00213620"/>
    <w:rsid w:val="00213D7B"/>
    <w:rsid w:val="00214DEC"/>
    <w:rsid w:val="002160C2"/>
    <w:rsid w:val="00221AC8"/>
    <w:rsid w:val="00222056"/>
    <w:rsid w:val="00222AAB"/>
    <w:rsid w:val="00223D0E"/>
    <w:rsid w:val="00224293"/>
    <w:rsid w:val="00224761"/>
    <w:rsid w:val="00224A3F"/>
    <w:rsid w:val="00224D96"/>
    <w:rsid w:val="00226B9B"/>
    <w:rsid w:val="0022771D"/>
    <w:rsid w:val="00227D8B"/>
    <w:rsid w:val="002306C7"/>
    <w:rsid w:val="00230CCE"/>
    <w:rsid w:val="00232C88"/>
    <w:rsid w:val="00232DF5"/>
    <w:rsid w:val="00234EEB"/>
    <w:rsid w:val="00235422"/>
    <w:rsid w:val="002354AB"/>
    <w:rsid w:val="002358D6"/>
    <w:rsid w:val="0023633E"/>
    <w:rsid w:val="0023741B"/>
    <w:rsid w:val="00237CC4"/>
    <w:rsid w:val="00241BD8"/>
    <w:rsid w:val="002434B0"/>
    <w:rsid w:val="0025111D"/>
    <w:rsid w:val="00251280"/>
    <w:rsid w:val="00251512"/>
    <w:rsid w:val="00251DE4"/>
    <w:rsid w:val="00253301"/>
    <w:rsid w:val="00254CA9"/>
    <w:rsid w:val="00254E82"/>
    <w:rsid w:val="00254EDB"/>
    <w:rsid w:val="00257472"/>
    <w:rsid w:val="00260404"/>
    <w:rsid w:val="00261F94"/>
    <w:rsid w:val="0026213C"/>
    <w:rsid w:val="00262FE8"/>
    <w:rsid w:val="002635C4"/>
    <w:rsid w:val="00263733"/>
    <w:rsid w:val="00265F47"/>
    <w:rsid w:val="00266A53"/>
    <w:rsid w:val="00266F94"/>
    <w:rsid w:val="00267DE5"/>
    <w:rsid w:val="002726E1"/>
    <w:rsid w:val="0027321E"/>
    <w:rsid w:val="0027418E"/>
    <w:rsid w:val="00275B5E"/>
    <w:rsid w:val="0027618C"/>
    <w:rsid w:val="002767AA"/>
    <w:rsid w:val="00277DFA"/>
    <w:rsid w:val="002804A6"/>
    <w:rsid w:val="00282104"/>
    <w:rsid w:val="0028290C"/>
    <w:rsid w:val="0028295F"/>
    <w:rsid w:val="00285768"/>
    <w:rsid w:val="00290DA3"/>
    <w:rsid w:val="002913DD"/>
    <w:rsid w:val="002921F0"/>
    <w:rsid w:val="00295952"/>
    <w:rsid w:val="002965CB"/>
    <w:rsid w:val="00296C53"/>
    <w:rsid w:val="00296DA9"/>
    <w:rsid w:val="00297196"/>
    <w:rsid w:val="00297BBD"/>
    <w:rsid w:val="00297D03"/>
    <w:rsid w:val="00297DC1"/>
    <w:rsid w:val="002A0424"/>
    <w:rsid w:val="002A0FF0"/>
    <w:rsid w:val="002A1EA1"/>
    <w:rsid w:val="002A351D"/>
    <w:rsid w:val="002A3A19"/>
    <w:rsid w:val="002A5938"/>
    <w:rsid w:val="002A5A3D"/>
    <w:rsid w:val="002A6C48"/>
    <w:rsid w:val="002B03F9"/>
    <w:rsid w:val="002B095B"/>
    <w:rsid w:val="002B2D10"/>
    <w:rsid w:val="002B6F7D"/>
    <w:rsid w:val="002B7ED3"/>
    <w:rsid w:val="002C0DCF"/>
    <w:rsid w:val="002C1D84"/>
    <w:rsid w:val="002C2DE0"/>
    <w:rsid w:val="002C308A"/>
    <w:rsid w:val="002C33D2"/>
    <w:rsid w:val="002C4B90"/>
    <w:rsid w:val="002C6C97"/>
    <w:rsid w:val="002D0A46"/>
    <w:rsid w:val="002D0C9D"/>
    <w:rsid w:val="002D13D3"/>
    <w:rsid w:val="002D1867"/>
    <w:rsid w:val="002D2E68"/>
    <w:rsid w:val="002D30B6"/>
    <w:rsid w:val="002D5297"/>
    <w:rsid w:val="002D56B7"/>
    <w:rsid w:val="002D5755"/>
    <w:rsid w:val="002D6BCB"/>
    <w:rsid w:val="002D7A65"/>
    <w:rsid w:val="002E24A1"/>
    <w:rsid w:val="002E327A"/>
    <w:rsid w:val="002E7E66"/>
    <w:rsid w:val="002F08A4"/>
    <w:rsid w:val="002F110A"/>
    <w:rsid w:val="002F1236"/>
    <w:rsid w:val="002F1302"/>
    <w:rsid w:val="002F1C66"/>
    <w:rsid w:val="002F2009"/>
    <w:rsid w:val="002F57E4"/>
    <w:rsid w:val="002F610D"/>
    <w:rsid w:val="002F6FCE"/>
    <w:rsid w:val="002F7090"/>
    <w:rsid w:val="00300859"/>
    <w:rsid w:val="00300924"/>
    <w:rsid w:val="0030153F"/>
    <w:rsid w:val="003023DA"/>
    <w:rsid w:val="003025A8"/>
    <w:rsid w:val="00305345"/>
    <w:rsid w:val="0030599F"/>
    <w:rsid w:val="00306353"/>
    <w:rsid w:val="00307662"/>
    <w:rsid w:val="00310C93"/>
    <w:rsid w:val="00311D86"/>
    <w:rsid w:val="003120EC"/>
    <w:rsid w:val="003129B6"/>
    <w:rsid w:val="00313821"/>
    <w:rsid w:val="00314152"/>
    <w:rsid w:val="00314D6E"/>
    <w:rsid w:val="003166E1"/>
    <w:rsid w:val="00317291"/>
    <w:rsid w:val="00320E57"/>
    <w:rsid w:val="00321967"/>
    <w:rsid w:val="003221EF"/>
    <w:rsid w:val="00322C23"/>
    <w:rsid w:val="00323781"/>
    <w:rsid w:val="003248A2"/>
    <w:rsid w:val="0032608C"/>
    <w:rsid w:val="00327D35"/>
    <w:rsid w:val="003305D3"/>
    <w:rsid w:val="00331C79"/>
    <w:rsid w:val="003333C5"/>
    <w:rsid w:val="00333C28"/>
    <w:rsid w:val="00334C85"/>
    <w:rsid w:val="00334EB8"/>
    <w:rsid w:val="00337D52"/>
    <w:rsid w:val="00340244"/>
    <w:rsid w:val="003414D7"/>
    <w:rsid w:val="00342320"/>
    <w:rsid w:val="00342529"/>
    <w:rsid w:val="00344101"/>
    <w:rsid w:val="00345633"/>
    <w:rsid w:val="00345F9C"/>
    <w:rsid w:val="00346640"/>
    <w:rsid w:val="003467E6"/>
    <w:rsid w:val="00347B65"/>
    <w:rsid w:val="00350D0D"/>
    <w:rsid w:val="00350FB6"/>
    <w:rsid w:val="00351A65"/>
    <w:rsid w:val="00352450"/>
    <w:rsid w:val="0035289D"/>
    <w:rsid w:val="0035477B"/>
    <w:rsid w:val="00355D90"/>
    <w:rsid w:val="003568B9"/>
    <w:rsid w:val="003604AA"/>
    <w:rsid w:val="003604F4"/>
    <w:rsid w:val="00360C8C"/>
    <w:rsid w:val="00360E38"/>
    <w:rsid w:val="003627BA"/>
    <w:rsid w:val="003631A5"/>
    <w:rsid w:val="00364E32"/>
    <w:rsid w:val="00365388"/>
    <w:rsid w:val="00365757"/>
    <w:rsid w:val="00370654"/>
    <w:rsid w:val="0037083D"/>
    <w:rsid w:val="00371795"/>
    <w:rsid w:val="00371F68"/>
    <w:rsid w:val="00372BEC"/>
    <w:rsid w:val="00373E86"/>
    <w:rsid w:val="00374FD3"/>
    <w:rsid w:val="00375DDC"/>
    <w:rsid w:val="0038076A"/>
    <w:rsid w:val="00381E59"/>
    <w:rsid w:val="0038336D"/>
    <w:rsid w:val="00384936"/>
    <w:rsid w:val="00386C4E"/>
    <w:rsid w:val="00386CBD"/>
    <w:rsid w:val="003906A4"/>
    <w:rsid w:val="00392385"/>
    <w:rsid w:val="00395966"/>
    <w:rsid w:val="00397D78"/>
    <w:rsid w:val="003A1224"/>
    <w:rsid w:val="003A2616"/>
    <w:rsid w:val="003A4578"/>
    <w:rsid w:val="003A6482"/>
    <w:rsid w:val="003A6FCC"/>
    <w:rsid w:val="003B0579"/>
    <w:rsid w:val="003B0D09"/>
    <w:rsid w:val="003B2F1D"/>
    <w:rsid w:val="003B4C84"/>
    <w:rsid w:val="003B5CA1"/>
    <w:rsid w:val="003B6056"/>
    <w:rsid w:val="003B6A5A"/>
    <w:rsid w:val="003B7D75"/>
    <w:rsid w:val="003C01F6"/>
    <w:rsid w:val="003C0305"/>
    <w:rsid w:val="003C095D"/>
    <w:rsid w:val="003C1B00"/>
    <w:rsid w:val="003C1E4F"/>
    <w:rsid w:val="003C20CD"/>
    <w:rsid w:val="003C2B40"/>
    <w:rsid w:val="003C332D"/>
    <w:rsid w:val="003C6475"/>
    <w:rsid w:val="003D01F8"/>
    <w:rsid w:val="003D04AB"/>
    <w:rsid w:val="003D0920"/>
    <w:rsid w:val="003D10B5"/>
    <w:rsid w:val="003D1ACD"/>
    <w:rsid w:val="003D450D"/>
    <w:rsid w:val="003D5072"/>
    <w:rsid w:val="003D6865"/>
    <w:rsid w:val="003D6DC8"/>
    <w:rsid w:val="003D6F47"/>
    <w:rsid w:val="003D7A72"/>
    <w:rsid w:val="003D7CC4"/>
    <w:rsid w:val="003E23AF"/>
    <w:rsid w:val="003E318D"/>
    <w:rsid w:val="003E4BF1"/>
    <w:rsid w:val="003E4CBD"/>
    <w:rsid w:val="003E5177"/>
    <w:rsid w:val="003F5644"/>
    <w:rsid w:val="003F5866"/>
    <w:rsid w:val="003F72E2"/>
    <w:rsid w:val="003F7A89"/>
    <w:rsid w:val="00402F34"/>
    <w:rsid w:val="004060AB"/>
    <w:rsid w:val="004077B1"/>
    <w:rsid w:val="00407991"/>
    <w:rsid w:val="00412567"/>
    <w:rsid w:val="004130C7"/>
    <w:rsid w:val="004131BA"/>
    <w:rsid w:val="00413EF0"/>
    <w:rsid w:val="004143EE"/>
    <w:rsid w:val="00415A7F"/>
    <w:rsid w:val="004164DF"/>
    <w:rsid w:val="00416DAD"/>
    <w:rsid w:val="004172D1"/>
    <w:rsid w:val="00424530"/>
    <w:rsid w:val="0042486A"/>
    <w:rsid w:val="00430599"/>
    <w:rsid w:val="00434252"/>
    <w:rsid w:val="00434289"/>
    <w:rsid w:val="0043432B"/>
    <w:rsid w:val="0043556A"/>
    <w:rsid w:val="0043577F"/>
    <w:rsid w:val="0043675A"/>
    <w:rsid w:val="004418CC"/>
    <w:rsid w:val="00441C8F"/>
    <w:rsid w:val="00441F85"/>
    <w:rsid w:val="00446E4F"/>
    <w:rsid w:val="004477A6"/>
    <w:rsid w:val="00451E45"/>
    <w:rsid w:val="00452468"/>
    <w:rsid w:val="0045301B"/>
    <w:rsid w:val="004541F3"/>
    <w:rsid w:val="0045539B"/>
    <w:rsid w:val="00455E0E"/>
    <w:rsid w:val="00456147"/>
    <w:rsid w:val="00457AB7"/>
    <w:rsid w:val="004600F5"/>
    <w:rsid w:val="0046019D"/>
    <w:rsid w:val="004606A7"/>
    <w:rsid w:val="00460FF6"/>
    <w:rsid w:val="00461836"/>
    <w:rsid w:val="00464BF3"/>
    <w:rsid w:val="00465D95"/>
    <w:rsid w:val="00466839"/>
    <w:rsid w:val="00466A4A"/>
    <w:rsid w:val="00471888"/>
    <w:rsid w:val="004719B4"/>
    <w:rsid w:val="00471CA1"/>
    <w:rsid w:val="00471CCE"/>
    <w:rsid w:val="0047368B"/>
    <w:rsid w:val="00474D9D"/>
    <w:rsid w:val="0047512D"/>
    <w:rsid w:val="00475381"/>
    <w:rsid w:val="00476A9A"/>
    <w:rsid w:val="00476E62"/>
    <w:rsid w:val="00476E72"/>
    <w:rsid w:val="00481AC4"/>
    <w:rsid w:val="00481C8A"/>
    <w:rsid w:val="00482FB6"/>
    <w:rsid w:val="00485C25"/>
    <w:rsid w:val="004919C9"/>
    <w:rsid w:val="004920DA"/>
    <w:rsid w:val="0049216F"/>
    <w:rsid w:val="004955E7"/>
    <w:rsid w:val="0049647A"/>
    <w:rsid w:val="0049781D"/>
    <w:rsid w:val="004A0B20"/>
    <w:rsid w:val="004A2B2B"/>
    <w:rsid w:val="004A2F42"/>
    <w:rsid w:val="004A3EB1"/>
    <w:rsid w:val="004A48EF"/>
    <w:rsid w:val="004A5BCD"/>
    <w:rsid w:val="004A5D8B"/>
    <w:rsid w:val="004A63D7"/>
    <w:rsid w:val="004A7312"/>
    <w:rsid w:val="004A7965"/>
    <w:rsid w:val="004B070F"/>
    <w:rsid w:val="004B089B"/>
    <w:rsid w:val="004B0974"/>
    <w:rsid w:val="004B15A9"/>
    <w:rsid w:val="004B15C1"/>
    <w:rsid w:val="004B2FC0"/>
    <w:rsid w:val="004B3092"/>
    <w:rsid w:val="004B55FB"/>
    <w:rsid w:val="004B62E8"/>
    <w:rsid w:val="004B634B"/>
    <w:rsid w:val="004B6869"/>
    <w:rsid w:val="004B7517"/>
    <w:rsid w:val="004B7784"/>
    <w:rsid w:val="004C098A"/>
    <w:rsid w:val="004C1B19"/>
    <w:rsid w:val="004C2561"/>
    <w:rsid w:val="004C320A"/>
    <w:rsid w:val="004C56D5"/>
    <w:rsid w:val="004C6392"/>
    <w:rsid w:val="004C6BB5"/>
    <w:rsid w:val="004C7D8D"/>
    <w:rsid w:val="004D1624"/>
    <w:rsid w:val="004D3523"/>
    <w:rsid w:val="004D4296"/>
    <w:rsid w:val="004D513A"/>
    <w:rsid w:val="004D588F"/>
    <w:rsid w:val="004D58B3"/>
    <w:rsid w:val="004D7668"/>
    <w:rsid w:val="004E19D2"/>
    <w:rsid w:val="004E1BFA"/>
    <w:rsid w:val="004E202D"/>
    <w:rsid w:val="004E360B"/>
    <w:rsid w:val="004E405B"/>
    <w:rsid w:val="004E64F1"/>
    <w:rsid w:val="004E6FA8"/>
    <w:rsid w:val="004E71F4"/>
    <w:rsid w:val="004E79EC"/>
    <w:rsid w:val="004F09DC"/>
    <w:rsid w:val="004F0AB6"/>
    <w:rsid w:val="004F33FD"/>
    <w:rsid w:val="004F55AC"/>
    <w:rsid w:val="004F5AB7"/>
    <w:rsid w:val="004F63DB"/>
    <w:rsid w:val="004F6EB1"/>
    <w:rsid w:val="004F7817"/>
    <w:rsid w:val="00501BEB"/>
    <w:rsid w:val="00501CEC"/>
    <w:rsid w:val="00501E35"/>
    <w:rsid w:val="005032A7"/>
    <w:rsid w:val="00505066"/>
    <w:rsid w:val="00505188"/>
    <w:rsid w:val="00505C64"/>
    <w:rsid w:val="00506DEA"/>
    <w:rsid w:val="005105EF"/>
    <w:rsid w:val="00511500"/>
    <w:rsid w:val="005125AD"/>
    <w:rsid w:val="005126F5"/>
    <w:rsid w:val="00512C0B"/>
    <w:rsid w:val="005146F2"/>
    <w:rsid w:val="00515161"/>
    <w:rsid w:val="00515E20"/>
    <w:rsid w:val="0051708C"/>
    <w:rsid w:val="005171B3"/>
    <w:rsid w:val="00517BBF"/>
    <w:rsid w:val="00520233"/>
    <w:rsid w:val="00523895"/>
    <w:rsid w:val="0052494B"/>
    <w:rsid w:val="00526237"/>
    <w:rsid w:val="00527130"/>
    <w:rsid w:val="00527FB3"/>
    <w:rsid w:val="005302F1"/>
    <w:rsid w:val="005371E5"/>
    <w:rsid w:val="00537BEC"/>
    <w:rsid w:val="005410AB"/>
    <w:rsid w:val="0054260F"/>
    <w:rsid w:val="005439FD"/>
    <w:rsid w:val="00543A44"/>
    <w:rsid w:val="005445E0"/>
    <w:rsid w:val="00544FF5"/>
    <w:rsid w:val="005453D2"/>
    <w:rsid w:val="00546903"/>
    <w:rsid w:val="005475A5"/>
    <w:rsid w:val="00550CE9"/>
    <w:rsid w:val="00550FA0"/>
    <w:rsid w:val="00553275"/>
    <w:rsid w:val="00553DB4"/>
    <w:rsid w:val="005541D9"/>
    <w:rsid w:val="00555DE1"/>
    <w:rsid w:val="00557482"/>
    <w:rsid w:val="00557747"/>
    <w:rsid w:val="0056332E"/>
    <w:rsid w:val="00563BE7"/>
    <w:rsid w:val="00563C4F"/>
    <w:rsid w:val="00563DEC"/>
    <w:rsid w:val="00564584"/>
    <w:rsid w:val="00565691"/>
    <w:rsid w:val="005672ED"/>
    <w:rsid w:val="005673AC"/>
    <w:rsid w:val="005710A4"/>
    <w:rsid w:val="00571BB6"/>
    <w:rsid w:val="0057356B"/>
    <w:rsid w:val="00574B91"/>
    <w:rsid w:val="00574FB1"/>
    <w:rsid w:val="005752E4"/>
    <w:rsid w:val="005753E4"/>
    <w:rsid w:val="00575BA7"/>
    <w:rsid w:val="005761F3"/>
    <w:rsid w:val="00576B59"/>
    <w:rsid w:val="00576BDE"/>
    <w:rsid w:val="00582578"/>
    <w:rsid w:val="00582827"/>
    <w:rsid w:val="00582AA7"/>
    <w:rsid w:val="0058477C"/>
    <w:rsid w:val="0058568F"/>
    <w:rsid w:val="00586094"/>
    <w:rsid w:val="00591A53"/>
    <w:rsid w:val="00591C4C"/>
    <w:rsid w:val="00592DF9"/>
    <w:rsid w:val="00593D83"/>
    <w:rsid w:val="005947B9"/>
    <w:rsid w:val="00594B24"/>
    <w:rsid w:val="00596AA4"/>
    <w:rsid w:val="00596AB8"/>
    <w:rsid w:val="00597D20"/>
    <w:rsid w:val="005A079D"/>
    <w:rsid w:val="005A49A4"/>
    <w:rsid w:val="005A6911"/>
    <w:rsid w:val="005A6F1E"/>
    <w:rsid w:val="005A7CA0"/>
    <w:rsid w:val="005A7D64"/>
    <w:rsid w:val="005B1430"/>
    <w:rsid w:val="005B335E"/>
    <w:rsid w:val="005B4448"/>
    <w:rsid w:val="005B5C09"/>
    <w:rsid w:val="005B7CFD"/>
    <w:rsid w:val="005B7D63"/>
    <w:rsid w:val="005C0254"/>
    <w:rsid w:val="005C1518"/>
    <w:rsid w:val="005C2774"/>
    <w:rsid w:val="005C2E82"/>
    <w:rsid w:val="005C326D"/>
    <w:rsid w:val="005C3DFF"/>
    <w:rsid w:val="005C498B"/>
    <w:rsid w:val="005C4F0A"/>
    <w:rsid w:val="005C56D3"/>
    <w:rsid w:val="005C590A"/>
    <w:rsid w:val="005C7636"/>
    <w:rsid w:val="005D19A9"/>
    <w:rsid w:val="005D3A37"/>
    <w:rsid w:val="005D4005"/>
    <w:rsid w:val="005D40D1"/>
    <w:rsid w:val="005D6F4D"/>
    <w:rsid w:val="005D7532"/>
    <w:rsid w:val="005D775D"/>
    <w:rsid w:val="005E39B6"/>
    <w:rsid w:val="005E40A0"/>
    <w:rsid w:val="005E451E"/>
    <w:rsid w:val="005E6D2B"/>
    <w:rsid w:val="005E73F3"/>
    <w:rsid w:val="005F001B"/>
    <w:rsid w:val="005F0534"/>
    <w:rsid w:val="005F06BF"/>
    <w:rsid w:val="005F1675"/>
    <w:rsid w:val="005F3A66"/>
    <w:rsid w:val="005F3D24"/>
    <w:rsid w:val="005F3D92"/>
    <w:rsid w:val="005F41FE"/>
    <w:rsid w:val="005F6037"/>
    <w:rsid w:val="005F6F2A"/>
    <w:rsid w:val="005F7007"/>
    <w:rsid w:val="005F7A18"/>
    <w:rsid w:val="00600593"/>
    <w:rsid w:val="00600DDD"/>
    <w:rsid w:val="00601608"/>
    <w:rsid w:val="00601738"/>
    <w:rsid w:val="006017FA"/>
    <w:rsid w:val="006042D1"/>
    <w:rsid w:val="006048B7"/>
    <w:rsid w:val="00605635"/>
    <w:rsid w:val="006059B2"/>
    <w:rsid w:val="00606B03"/>
    <w:rsid w:val="00610305"/>
    <w:rsid w:val="00610419"/>
    <w:rsid w:val="00611D91"/>
    <w:rsid w:val="00611DDB"/>
    <w:rsid w:val="006127E4"/>
    <w:rsid w:val="00612C7B"/>
    <w:rsid w:val="006133C5"/>
    <w:rsid w:val="00615CA4"/>
    <w:rsid w:val="00616925"/>
    <w:rsid w:val="00620784"/>
    <w:rsid w:val="006209BD"/>
    <w:rsid w:val="00621DCF"/>
    <w:rsid w:val="006223C9"/>
    <w:rsid w:val="006224C1"/>
    <w:rsid w:val="00622726"/>
    <w:rsid w:val="00623545"/>
    <w:rsid w:val="00623C5B"/>
    <w:rsid w:val="006245D6"/>
    <w:rsid w:val="00625C96"/>
    <w:rsid w:val="006269B7"/>
    <w:rsid w:val="00626A11"/>
    <w:rsid w:val="00626EF8"/>
    <w:rsid w:val="00627DCB"/>
    <w:rsid w:val="00627FC1"/>
    <w:rsid w:val="006307A5"/>
    <w:rsid w:val="00631845"/>
    <w:rsid w:val="00632041"/>
    <w:rsid w:val="006322BD"/>
    <w:rsid w:val="00633DC7"/>
    <w:rsid w:val="00634158"/>
    <w:rsid w:val="00636E1D"/>
    <w:rsid w:val="00636FF7"/>
    <w:rsid w:val="0063793A"/>
    <w:rsid w:val="006400F5"/>
    <w:rsid w:val="00640342"/>
    <w:rsid w:val="006411EB"/>
    <w:rsid w:val="00641F64"/>
    <w:rsid w:val="006420A5"/>
    <w:rsid w:val="006420C4"/>
    <w:rsid w:val="00644388"/>
    <w:rsid w:val="00644661"/>
    <w:rsid w:val="00645F2E"/>
    <w:rsid w:val="006463CE"/>
    <w:rsid w:val="00650599"/>
    <w:rsid w:val="00650E07"/>
    <w:rsid w:val="00653220"/>
    <w:rsid w:val="00653B0D"/>
    <w:rsid w:val="00655112"/>
    <w:rsid w:val="00657A42"/>
    <w:rsid w:val="0066076D"/>
    <w:rsid w:val="0066145B"/>
    <w:rsid w:val="006617FE"/>
    <w:rsid w:val="00662487"/>
    <w:rsid w:val="00663106"/>
    <w:rsid w:val="00663B0A"/>
    <w:rsid w:val="006641F8"/>
    <w:rsid w:val="00664317"/>
    <w:rsid w:val="006671A5"/>
    <w:rsid w:val="006672B7"/>
    <w:rsid w:val="00670254"/>
    <w:rsid w:val="00670CD3"/>
    <w:rsid w:val="00671A56"/>
    <w:rsid w:val="00671AEF"/>
    <w:rsid w:val="00671B39"/>
    <w:rsid w:val="00672B8E"/>
    <w:rsid w:val="00676D73"/>
    <w:rsid w:val="00677BB2"/>
    <w:rsid w:val="00677CC7"/>
    <w:rsid w:val="00680674"/>
    <w:rsid w:val="00680D1E"/>
    <w:rsid w:val="00680E3F"/>
    <w:rsid w:val="006819CE"/>
    <w:rsid w:val="0068628A"/>
    <w:rsid w:val="00686DA5"/>
    <w:rsid w:val="006909C0"/>
    <w:rsid w:val="00692026"/>
    <w:rsid w:val="006924DA"/>
    <w:rsid w:val="00692E67"/>
    <w:rsid w:val="006937AC"/>
    <w:rsid w:val="006973AC"/>
    <w:rsid w:val="00697E73"/>
    <w:rsid w:val="006A0C31"/>
    <w:rsid w:val="006A0D6A"/>
    <w:rsid w:val="006A1213"/>
    <w:rsid w:val="006A12E0"/>
    <w:rsid w:val="006A6226"/>
    <w:rsid w:val="006B10D4"/>
    <w:rsid w:val="006B216E"/>
    <w:rsid w:val="006B29DC"/>
    <w:rsid w:val="006B5580"/>
    <w:rsid w:val="006B5FC0"/>
    <w:rsid w:val="006B762C"/>
    <w:rsid w:val="006C0184"/>
    <w:rsid w:val="006C068B"/>
    <w:rsid w:val="006C186D"/>
    <w:rsid w:val="006C2101"/>
    <w:rsid w:val="006C27A8"/>
    <w:rsid w:val="006C2ED8"/>
    <w:rsid w:val="006C4B59"/>
    <w:rsid w:val="006D005E"/>
    <w:rsid w:val="006D2179"/>
    <w:rsid w:val="006D2245"/>
    <w:rsid w:val="006D42F8"/>
    <w:rsid w:val="006D48B6"/>
    <w:rsid w:val="006D6654"/>
    <w:rsid w:val="006D7393"/>
    <w:rsid w:val="006D7A2B"/>
    <w:rsid w:val="006E02CE"/>
    <w:rsid w:val="006E1970"/>
    <w:rsid w:val="006E206F"/>
    <w:rsid w:val="006E3324"/>
    <w:rsid w:val="006E418C"/>
    <w:rsid w:val="006E48FA"/>
    <w:rsid w:val="006E55E1"/>
    <w:rsid w:val="006E5B84"/>
    <w:rsid w:val="006E5BB5"/>
    <w:rsid w:val="006E7646"/>
    <w:rsid w:val="006F0504"/>
    <w:rsid w:val="006F0B70"/>
    <w:rsid w:val="006F289E"/>
    <w:rsid w:val="006F2E13"/>
    <w:rsid w:val="006F445D"/>
    <w:rsid w:val="006F4922"/>
    <w:rsid w:val="006F72C6"/>
    <w:rsid w:val="007001D1"/>
    <w:rsid w:val="00700A5A"/>
    <w:rsid w:val="00701227"/>
    <w:rsid w:val="007018D2"/>
    <w:rsid w:val="0070213E"/>
    <w:rsid w:val="00702A38"/>
    <w:rsid w:val="00703E4E"/>
    <w:rsid w:val="00704085"/>
    <w:rsid w:val="0070442B"/>
    <w:rsid w:val="007047F5"/>
    <w:rsid w:val="007071C6"/>
    <w:rsid w:val="00710212"/>
    <w:rsid w:val="00711E1C"/>
    <w:rsid w:val="00712D06"/>
    <w:rsid w:val="00712D2C"/>
    <w:rsid w:val="00714810"/>
    <w:rsid w:val="007169EF"/>
    <w:rsid w:val="00716AB8"/>
    <w:rsid w:val="00716CBE"/>
    <w:rsid w:val="007174D6"/>
    <w:rsid w:val="00717607"/>
    <w:rsid w:val="00717705"/>
    <w:rsid w:val="00720050"/>
    <w:rsid w:val="00721557"/>
    <w:rsid w:val="00721FBA"/>
    <w:rsid w:val="00723270"/>
    <w:rsid w:val="00724E16"/>
    <w:rsid w:val="00726C67"/>
    <w:rsid w:val="00730352"/>
    <w:rsid w:val="00731F9A"/>
    <w:rsid w:val="00733C3F"/>
    <w:rsid w:val="007373E1"/>
    <w:rsid w:val="00742839"/>
    <w:rsid w:val="00743240"/>
    <w:rsid w:val="00743A14"/>
    <w:rsid w:val="00743C39"/>
    <w:rsid w:val="0074740A"/>
    <w:rsid w:val="007479E6"/>
    <w:rsid w:val="00750449"/>
    <w:rsid w:val="00752710"/>
    <w:rsid w:val="0075400D"/>
    <w:rsid w:val="007541A4"/>
    <w:rsid w:val="00754B35"/>
    <w:rsid w:val="00755505"/>
    <w:rsid w:val="00756492"/>
    <w:rsid w:val="00757F6D"/>
    <w:rsid w:val="0076078D"/>
    <w:rsid w:val="007614BF"/>
    <w:rsid w:val="0076316D"/>
    <w:rsid w:val="00764687"/>
    <w:rsid w:val="00765051"/>
    <w:rsid w:val="007653CB"/>
    <w:rsid w:val="00765ADE"/>
    <w:rsid w:val="00766737"/>
    <w:rsid w:val="007727DF"/>
    <w:rsid w:val="00772993"/>
    <w:rsid w:val="0077689B"/>
    <w:rsid w:val="007815FB"/>
    <w:rsid w:val="00781D80"/>
    <w:rsid w:val="00782DFF"/>
    <w:rsid w:val="00785478"/>
    <w:rsid w:val="007856BB"/>
    <w:rsid w:val="00786B1B"/>
    <w:rsid w:val="00787592"/>
    <w:rsid w:val="00791891"/>
    <w:rsid w:val="00791DE5"/>
    <w:rsid w:val="00792D0C"/>
    <w:rsid w:val="007934A8"/>
    <w:rsid w:val="00794978"/>
    <w:rsid w:val="00796CFC"/>
    <w:rsid w:val="007978E0"/>
    <w:rsid w:val="00797C68"/>
    <w:rsid w:val="007A0054"/>
    <w:rsid w:val="007A0354"/>
    <w:rsid w:val="007A0E5C"/>
    <w:rsid w:val="007A2A87"/>
    <w:rsid w:val="007A3415"/>
    <w:rsid w:val="007A38F2"/>
    <w:rsid w:val="007A3CAA"/>
    <w:rsid w:val="007A44A6"/>
    <w:rsid w:val="007A5353"/>
    <w:rsid w:val="007A57D6"/>
    <w:rsid w:val="007A588E"/>
    <w:rsid w:val="007A7DC0"/>
    <w:rsid w:val="007B082B"/>
    <w:rsid w:val="007B0F28"/>
    <w:rsid w:val="007B1A6B"/>
    <w:rsid w:val="007B3757"/>
    <w:rsid w:val="007B3827"/>
    <w:rsid w:val="007B3D63"/>
    <w:rsid w:val="007B415C"/>
    <w:rsid w:val="007B50BA"/>
    <w:rsid w:val="007B62AC"/>
    <w:rsid w:val="007B69D6"/>
    <w:rsid w:val="007B72C6"/>
    <w:rsid w:val="007B780E"/>
    <w:rsid w:val="007C0510"/>
    <w:rsid w:val="007C082D"/>
    <w:rsid w:val="007C2C69"/>
    <w:rsid w:val="007C38AF"/>
    <w:rsid w:val="007C3CD2"/>
    <w:rsid w:val="007C3D93"/>
    <w:rsid w:val="007C458A"/>
    <w:rsid w:val="007C55D0"/>
    <w:rsid w:val="007C6089"/>
    <w:rsid w:val="007C7C7B"/>
    <w:rsid w:val="007D0398"/>
    <w:rsid w:val="007D06F0"/>
    <w:rsid w:val="007D2991"/>
    <w:rsid w:val="007D2FDE"/>
    <w:rsid w:val="007D56C6"/>
    <w:rsid w:val="007D5D17"/>
    <w:rsid w:val="007D5EA0"/>
    <w:rsid w:val="007E14C6"/>
    <w:rsid w:val="007E17FF"/>
    <w:rsid w:val="007E24C2"/>
    <w:rsid w:val="007E2D51"/>
    <w:rsid w:val="007E39E1"/>
    <w:rsid w:val="007E3CA8"/>
    <w:rsid w:val="007E458E"/>
    <w:rsid w:val="007E4614"/>
    <w:rsid w:val="007E54AD"/>
    <w:rsid w:val="007E57CE"/>
    <w:rsid w:val="007E682F"/>
    <w:rsid w:val="007E6BF0"/>
    <w:rsid w:val="007E702D"/>
    <w:rsid w:val="007E704B"/>
    <w:rsid w:val="007E7246"/>
    <w:rsid w:val="007F3334"/>
    <w:rsid w:val="007F4CC8"/>
    <w:rsid w:val="007F5865"/>
    <w:rsid w:val="007F7B8E"/>
    <w:rsid w:val="00801891"/>
    <w:rsid w:val="00801A54"/>
    <w:rsid w:val="008033A1"/>
    <w:rsid w:val="00803BB4"/>
    <w:rsid w:val="00804563"/>
    <w:rsid w:val="008046A4"/>
    <w:rsid w:val="00804837"/>
    <w:rsid w:val="00805A13"/>
    <w:rsid w:val="00806A4C"/>
    <w:rsid w:val="008073A2"/>
    <w:rsid w:val="00810F8E"/>
    <w:rsid w:val="00811C0D"/>
    <w:rsid w:val="008123E1"/>
    <w:rsid w:val="00813BAC"/>
    <w:rsid w:val="00813CD4"/>
    <w:rsid w:val="008154B5"/>
    <w:rsid w:val="00815541"/>
    <w:rsid w:val="0081579E"/>
    <w:rsid w:val="00816970"/>
    <w:rsid w:val="00816C37"/>
    <w:rsid w:val="008171B5"/>
    <w:rsid w:val="00821B9D"/>
    <w:rsid w:val="008229B8"/>
    <w:rsid w:val="008239CF"/>
    <w:rsid w:val="00823AC0"/>
    <w:rsid w:val="00823FF9"/>
    <w:rsid w:val="00825D7E"/>
    <w:rsid w:val="008274B6"/>
    <w:rsid w:val="0082753B"/>
    <w:rsid w:val="00830C7A"/>
    <w:rsid w:val="00831BFB"/>
    <w:rsid w:val="0084180E"/>
    <w:rsid w:val="00843373"/>
    <w:rsid w:val="0084468C"/>
    <w:rsid w:val="00844EE2"/>
    <w:rsid w:val="008459B7"/>
    <w:rsid w:val="008461B5"/>
    <w:rsid w:val="00846679"/>
    <w:rsid w:val="008467D2"/>
    <w:rsid w:val="0084689D"/>
    <w:rsid w:val="00846C63"/>
    <w:rsid w:val="00850101"/>
    <w:rsid w:val="0085041F"/>
    <w:rsid w:val="0085052A"/>
    <w:rsid w:val="00850CDC"/>
    <w:rsid w:val="00851DC4"/>
    <w:rsid w:val="00852142"/>
    <w:rsid w:val="008539BB"/>
    <w:rsid w:val="00854452"/>
    <w:rsid w:val="008552A0"/>
    <w:rsid w:val="0085591A"/>
    <w:rsid w:val="008559E8"/>
    <w:rsid w:val="00855AC9"/>
    <w:rsid w:val="00856198"/>
    <w:rsid w:val="0085648F"/>
    <w:rsid w:val="008564DC"/>
    <w:rsid w:val="00856927"/>
    <w:rsid w:val="008572F0"/>
    <w:rsid w:val="0086003C"/>
    <w:rsid w:val="00862D23"/>
    <w:rsid w:val="00865492"/>
    <w:rsid w:val="00866385"/>
    <w:rsid w:val="008670A9"/>
    <w:rsid w:val="00867519"/>
    <w:rsid w:val="00867CB4"/>
    <w:rsid w:val="008708AB"/>
    <w:rsid w:val="00870C48"/>
    <w:rsid w:val="00874ED5"/>
    <w:rsid w:val="00880BCD"/>
    <w:rsid w:val="008810BC"/>
    <w:rsid w:val="00884510"/>
    <w:rsid w:val="00884DC4"/>
    <w:rsid w:val="00884EF0"/>
    <w:rsid w:val="00886EA4"/>
    <w:rsid w:val="008903CA"/>
    <w:rsid w:val="00892096"/>
    <w:rsid w:val="00894E62"/>
    <w:rsid w:val="00895131"/>
    <w:rsid w:val="00896D04"/>
    <w:rsid w:val="00896EF0"/>
    <w:rsid w:val="00897CC1"/>
    <w:rsid w:val="008A13D3"/>
    <w:rsid w:val="008A3B4F"/>
    <w:rsid w:val="008A40BC"/>
    <w:rsid w:val="008A5DA7"/>
    <w:rsid w:val="008A7074"/>
    <w:rsid w:val="008B0845"/>
    <w:rsid w:val="008B0FA6"/>
    <w:rsid w:val="008B1748"/>
    <w:rsid w:val="008B248A"/>
    <w:rsid w:val="008B269B"/>
    <w:rsid w:val="008B2816"/>
    <w:rsid w:val="008B6B85"/>
    <w:rsid w:val="008C1700"/>
    <w:rsid w:val="008C1A94"/>
    <w:rsid w:val="008C231E"/>
    <w:rsid w:val="008C27E6"/>
    <w:rsid w:val="008C47B2"/>
    <w:rsid w:val="008C5B82"/>
    <w:rsid w:val="008C672C"/>
    <w:rsid w:val="008C6A4E"/>
    <w:rsid w:val="008D04B4"/>
    <w:rsid w:val="008D08E6"/>
    <w:rsid w:val="008D0CBA"/>
    <w:rsid w:val="008D2C6D"/>
    <w:rsid w:val="008D2FFB"/>
    <w:rsid w:val="008D4828"/>
    <w:rsid w:val="008D5ED6"/>
    <w:rsid w:val="008D7CD4"/>
    <w:rsid w:val="008E13F9"/>
    <w:rsid w:val="008E292A"/>
    <w:rsid w:val="008E3D64"/>
    <w:rsid w:val="008E5652"/>
    <w:rsid w:val="008E60F6"/>
    <w:rsid w:val="008E6407"/>
    <w:rsid w:val="008E7970"/>
    <w:rsid w:val="008F0F53"/>
    <w:rsid w:val="008F1BEA"/>
    <w:rsid w:val="008F1F77"/>
    <w:rsid w:val="008F27B9"/>
    <w:rsid w:val="008F3908"/>
    <w:rsid w:val="008F44EB"/>
    <w:rsid w:val="008F61C1"/>
    <w:rsid w:val="009000F3"/>
    <w:rsid w:val="009008FD"/>
    <w:rsid w:val="009012CB"/>
    <w:rsid w:val="009014B6"/>
    <w:rsid w:val="0090166B"/>
    <w:rsid w:val="00905D8E"/>
    <w:rsid w:val="0090605F"/>
    <w:rsid w:val="00906A17"/>
    <w:rsid w:val="00906BC5"/>
    <w:rsid w:val="0090729F"/>
    <w:rsid w:val="00910181"/>
    <w:rsid w:val="00912882"/>
    <w:rsid w:val="00912895"/>
    <w:rsid w:val="00913FC8"/>
    <w:rsid w:val="00916227"/>
    <w:rsid w:val="0091630D"/>
    <w:rsid w:val="00916645"/>
    <w:rsid w:val="00920072"/>
    <w:rsid w:val="009210DE"/>
    <w:rsid w:val="0092311E"/>
    <w:rsid w:val="00923509"/>
    <w:rsid w:val="009247C0"/>
    <w:rsid w:val="009251B5"/>
    <w:rsid w:val="009251C2"/>
    <w:rsid w:val="0092541C"/>
    <w:rsid w:val="00925BA6"/>
    <w:rsid w:val="00925F13"/>
    <w:rsid w:val="009260D6"/>
    <w:rsid w:val="009273BC"/>
    <w:rsid w:val="00930C30"/>
    <w:rsid w:val="009313A8"/>
    <w:rsid w:val="00931B46"/>
    <w:rsid w:val="00933038"/>
    <w:rsid w:val="00933AEE"/>
    <w:rsid w:val="00935472"/>
    <w:rsid w:val="009360B2"/>
    <w:rsid w:val="009360C9"/>
    <w:rsid w:val="00937718"/>
    <w:rsid w:val="00937854"/>
    <w:rsid w:val="00940268"/>
    <w:rsid w:val="0094125D"/>
    <w:rsid w:val="00943B87"/>
    <w:rsid w:val="00943C57"/>
    <w:rsid w:val="009448BC"/>
    <w:rsid w:val="009501D6"/>
    <w:rsid w:val="00950346"/>
    <w:rsid w:val="00950374"/>
    <w:rsid w:val="00952710"/>
    <w:rsid w:val="009531CB"/>
    <w:rsid w:val="009559E1"/>
    <w:rsid w:val="0095719B"/>
    <w:rsid w:val="0095789C"/>
    <w:rsid w:val="00960F30"/>
    <w:rsid w:val="00961460"/>
    <w:rsid w:val="0096160F"/>
    <w:rsid w:val="00962BEA"/>
    <w:rsid w:val="00964393"/>
    <w:rsid w:val="00965B6B"/>
    <w:rsid w:val="00965B80"/>
    <w:rsid w:val="00965BEA"/>
    <w:rsid w:val="009662C5"/>
    <w:rsid w:val="00967458"/>
    <w:rsid w:val="009674E9"/>
    <w:rsid w:val="00971B4D"/>
    <w:rsid w:val="00971F67"/>
    <w:rsid w:val="00972012"/>
    <w:rsid w:val="00973859"/>
    <w:rsid w:val="00974607"/>
    <w:rsid w:val="00974F4E"/>
    <w:rsid w:val="00974FF4"/>
    <w:rsid w:val="0097538A"/>
    <w:rsid w:val="009761BB"/>
    <w:rsid w:val="009774B6"/>
    <w:rsid w:val="00977676"/>
    <w:rsid w:val="0097793C"/>
    <w:rsid w:val="00982373"/>
    <w:rsid w:val="0098401F"/>
    <w:rsid w:val="00984D23"/>
    <w:rsid w:val="00987078"/>
    <w:rsid w:val="00987120"/>
    <w:rsid w:val="00990058"/>
    <w:rsid w:val="00990A8A"/>
    <w:rsid w:val="00991278"/>
    <w:rsid w:val="009927CC"/>
    <w:rsid w:val="00992BEF"/>
    <w:rsid w:val="00993B1E"/>
    <w:rsid w:val="009944B4"/>
    <w:rsid w:val="009947D6"/>
    <w:rsid w:val="00994B4F"/>
    <w:rsid w:val="009953F9"/>
    <w:rsid w:val="00997339"/>
    <w:rsid w:val="00997406"/>
    <w:rsid w:val="009976D7"/>
    <w:rsid w:val="00997826"/>
    <w:rsid w:val="00997B3E"/>
    <w:rsid w:val="009A2610"/>
    <w:rsid w:val="009A3EE8"/>
    <w:rsid w:val="009A4635"/>
    <w:rsid w:val="009A5D7A"/>
    <w:rsid w:val="009A6978"/>
    <w:rsid w:val="009B033C"/>
    <w:rsid w:val="009B1BD7"/>
    <w:rsid w:val="009B71C6"/>
    <w:rsid w:val="009B747C"/>
    <w:rsid w:val="009B7766"/>
    <w:rsid w:val="009B7ED5"/>
    <w:rsid w:val="009C12C9"/>
    <w:rsid w:val="009C1931"/>
    <w:rsid w:val="009C1CE7"/>
    <w:rsid w:val="009C23C8"/>
    <w:rsid w:val="009C319B"/>
    <w:rsid w:val="009C39EE"/>
    <w:rsid w:val="009C3A8F"/>
    <w:rsid w:val="009C4983"/>
    <w:rsid w:val="009C6B20"/>
    <w:rsid w:val="009C741F"/>
    <w:rsid w:val="009D0637"/>
    <w:rsid w:val="009D10AD"/>
    <w:rsid w:val="009D1372"/>
    <w:rsid w:val="009D1C5F"/>
    <w:rsid w:val="009D2A94"/>
    <w:rsid w:val="009D2ABE"/>
    <w:rsid w:val="009D2F9B"/>
    <w:rsid w:val="009D3166"/>
    <w:rsid w:val="009D55F7"/>
    <w:rsid w:val="009D693E"/>
    <w:rsid w:val="009D7D01"/>
    <w:rsid w:val="009D7FCB"/>
    <w:rsid w:val="009E0794"/>
    <w:rsid w:val="009E18E8"/>
    <w:rsid w:val="009E1A3F"/>
    <w:rsid w:val="009E1F4E"/>
    <w:rsid w:val="009E325D"/>
    <w:rsid w:val="009E327E"/>
    <w:rsid w:val="009E38A2"/>
    <w:rsid w:val="009E4107"/>
    <w:rsid w:val="009E420B"/>
    <w:rsid w:val="009E5245"/>
    <w:rsid w:val="009E5BB2"/>
    <w:rsid w:val="009E5CAA"/>
    <w:rsid w:val="009E70EF"/>
    <w:rsid w:val="009E76BE"/>
    <w:rsid w:val="009E79BF"/>
    <w:rsid w:val="009E7BA6"/>
    <w:rsid w:val="009E7E40"/>
    <w:rsid w:val="009F12DA"/>
    <w:rsid w:val="009F2AE6"/>
    <w:rsid w:val="009F3FE6"/>
    <w:rsid w:val="009F4E0E"/>
    <w:rsid w:val="009F53AF"/>
    <w:rsid w:val="009F6FF4"/>
    <w:rsid w:val="00A00793"/>
    <w:rsid w:val="00A00E34"/>
    <w:rsid w:val="00A02839"/>
    <w:rsid w:val="00A02E02"/>
    <w:rsid w:val="00A03D37"/>
    <w:rsid w:val="00A0415A"/>
    <w:rsid w:val="00A04FB4"/>
    <w:rsid w:val="00A060B7"/>
    <w:rsid w:val="00A062C7"/>
    <w:rsid w:val="00A077FE"/>
    <w:rsid w:val="00A1014D"/>
    <w:rsid w:val="00A10257"/>
    <w:rsid w:val="00A1040A"/>
    <w:rsid w:val="00A10DC8"/>
    <w:rsid w:val="00A11903"/>
    <w:rsid w:val="00A13383"/>
    <w:rsid w:val="00A14332"/>
    <w:rsid w:val="00A146D1"/>
    <w:rsid w:val="00A14E14"/>
    <w:rsid w:val="00A1502F"/>
    <w:rsid w:val="00A17AD1"/>
    <w:rsid w:val="00A21493"/>
    <w:rsid w:val="00A23608"/>
    <w:rsid w:val="00A239F6"/>
    <w:rsid w:val="00A25707"/>
    <w:rsid w:val="00A25A56"/>
    <w:rsid w:val="00A260BD"/>
    <w:rsid w:val="00A26EB4"/>
    <w:rsid w:val="00A27B9D"/>
    <w:rsid w:val="00A27D88"/>
    <w:rsid w:val="00A304D0"/>
    <w:rsid w:val="00A30AB0"/>
    <w:rsid w:val="00A31F22"/>
    <w:rsid w:val="00A3253E"/>
    <w:rsid w:val="00A342E8"/>
    <w:rsid w:val="00A3511F"/>
    <w:rsid w:val="00A36FE2"/>
    <w:rsid w:val="00A37FED"/>
    <w:rsid w:val="00A4409F"/>
    <w:rsid w:val="00A44A20"/>
    <w:rsid w:val="00A4547A"/>
    <w:rsid w:val="00A4607D"/>
    <w:rsid w:val="00A477D8"/>
    <w:rsid w:val="00A53163"/>
    <w:rsid w:val="00A53EC9"/>
    <w:rsid w:val="00A63886"/>
    <w:rsid w:val="00A65365"/>
    <w:rsid w:val="00A70C66"/>
    <w:rsid w:val="00A725D6"/>
    <w:rsid w:val="00A72C70"/>
    <w:rsid w:val="00A72C7D"/>
    <w:rsid w:val="00A731F2"/>
    <w:rsid w:val="00A744C3"/>
    <w:rsid w:val="00A81586"/>
    <w:rsid w:val="00A81B96"/>
    <w:rsid w:val="00A82137"/>
    <w:rsid w:val="00A83523"/>
    <w:rsid w:val="00A84F93"/>
    <w:rsid w:val="00A85168"/>
    <w:rsid w:val="00A86B82"/>
    <w:rsid w:val="00A86C90"/>
    <w:rsid w:val="00A87CC2"/>
    <w:rsid w:val="00A905E9"/>
    <w:rsid w:val="00A9116C"/>
    <w:rsid w:val="00A919FB"/>
    <w:rsid w:val="00A91A51"/>
    <w:rsid w:val="00A92440"/>
    <w:rsid w:val="00A92865"/>
    <w:rsid w:val="00A96F56"/>
    <w:rsid w:val="00AA03D6"/>
    <w:rsid w:val="00AA073A"/>
    <w:rsid w:val="00AA1005"/>
    <w:rsid w:val="00AA4533"/>
    <w:rsid w:val="00AA6023"/>
    <w:rsid w:val="00AA71FA"/>
    <w:rsid w:val="00AA755F"/>
    <w:rsid w:val="00AA7604"/>
    <w:rsid w:val="00AB104D"/>
    <w:rsid w:val="00AB10CF"/>
    <w:rsid w:val="00AB2476"/>
    <w:rsid w:val="00AB2B10"/>
    <w:rsid w:val="00AB3DDB"/>
    <w:rsid w:val="00AB6E04"/>
    <w:rsid w:val="00AB7318"/>
    <w:rsid w:val="00AC7521"/>
    <w:rsid w:val="00AC7855"/>
    <w:rsid w:val="00AD0C73"/>
    <w:rsid w:val="00AD18C7"/>
    <w:rsid w:val="00AD1D63"/>
    <w:rsid w:val="00AD264A"/>
    <w:rsid w:val="00AD2FD9"/>
    <w:rsid w:val="00AD339F"/>
    <w:rsid w:val="00AD4A4D"/>
    <w:rsid w:val="00AD50A9"/>
    <w:rsid w:val="00AD56DA"/>
    <w:rsid w:val="00AD7048"/>
    <w:rsid w:val="00AE1A2D"/>
    <w:rsid w:val="00AE24A6"/>
    <w:rsid w:val="00AE46E2"/>
    <w:rsid w:val="00AE5347"/>
    <w:rsid w:val="00AE55F6"/>
    <w:rsid w:val="00AE56DB"/>
    <w:rsid w:val="00AE56F4"/>
    <w:rsid w:val="00AE5E5A"/>
    <w:rsid w:val="00AE5F3C"/>
    <w:rsid w:val="00AE7702"/>
    <w:rsid w:val="00AE79FD"/>
    <w:rsid w:val="00AF09D9"/>
    <w:rsid w:val="00AF3FBC"/>
    <w:rsid w:val="00AF5BC7"/>
    <w:rsid w:val="00AF5BD3"/>
    <w:rsid w:val="00AF5FB0"/>
    <w:rsid w:val="00AF7442"/>
    <w:rsid w:val="00AF759F"/>
    <w:rsid w:val="00AF7F7B"/>
    <w:rsid w:val="00B022BD"/>
    <w:rsid w:val="00B02FAA"/>
    <w:rsid w:val="00B03C60"/>
    <w:rsid w:val="00B043DF"/>
    <w:rsid w:val="00B04D5C"/>
    <w:rsid w:val="00B05624"/>
    <w:rsid w:val="00B05A34"/>
    <w:rsid w:val="00B06E31"/>
    <w:rsid w:val="00B06E5A"/>
    <w:rsid w:val="00B10EE4"/>
    <w:rsid w:val="00B115D7"/>
    <w:rsid w:val="00B13C87"/>
    <w:rsid w:val="00B13EED"/>
    <w:rsid w:val="00B13F6E"/>
    <w:rsid w:val="00B14BF5"/>
    <w:rsid w:val="00B14F07"/>
    <w:rsid w:val="00B1710D"/>
    <w:rsid w:val="00B215CA"/>
    <w:rsid w:val="00B2180A"/>
    <w:rsid w:val="00B21D0B"/>
    <w:rsid w:val="00B225AD"/>
    <w:rsid w:val="00B2494F"/>
    <w:rsid w:val="00B25B60"/>
    <w:rsid w:val="00B27DE5"/>
    <w:rsid w:val="00B30607"/>
    <w:rsid w:val="00B32510"/>
    <w:rsid w:val="00B34DF5"/>
    <w:rsid w:val="00B35302"/>
    <w:rsid w:val="00B3595C"/>
    <w:rsid w:val="00B35EC3"/>
    <w:rsid w:val="00B36D5E"/>
    <w:rsid w:val="00B37911"/>
    <w:rsid w:val="00B41BA6"/>
    <w:rsid w:val="00B41F41"/>
    <w:rsid w:val="00B424AE"/>
    <w:rsid w:val="00B42808"/>
    <w:rsid w:val="00B42FCC"/>
    <w:rsid w:val="00B43E07"/>
    <w:rsid w:val="00B45EC6"/>
    <w:rsid w:val="00B46138"/>
    <w:rsid w:val="00B47342"/>
    <w:rsid w:val="00B50FAA"/>
    <w:rsid w:val="00B51FBE"/>
    <w:rsid w:val="00B526A8"/>
    <w:rsid w:val="00B55FAB"/>
    <w:rsid w:val="00B60B8B"/>
    <w:rsid w:val="00B61210"/>
    <w:rsid w:val="00B619B5"/>
    <w:rsid w:val="00B61E87"/>
    <w:rsid w:val="00B65627"/>
    <w:rsid w:val="00B66069"/>
    <w:rsid w:val="00B66725"/>
    <w:rsid w:val="00B6734E"/>
    <w:rsid w:val="00B702CB"/>
    <w:rsid w:val="00B7264B"/>
    <w:rsid w:val="00B73040"/>
    <w:rsid w:val="00B742ED"/>
    <w:rsid w:val="00B74E92"/>
    <w:rsid w:val="00B75B00"/>
    <w:rsid w:val="00B76198"/>
    <w:rsid w:val="00B77F75"/>
    <w:rsid w:val="00B80ACA"/>
    <w:rsid w:val="00B813A4"/>
    <w:rsid w:val="00B819E3"/>
    <w:rsid w:val="00B83D9D"/>
    <w:rsid w:val="00B84529"/>
    <w:rsid w:val="00B84C30"/>
    <w:rsid w:val="00B85D66"/>
    <w:rsid w:val="00B878E1"/>
    <w:rsid w:val="00B90CD4"/>
    <w:rsid w:val="00B90FA7"/>
    <w:rsid w:val="00B925A1"/>
    <w:rsid w:val="00B955D7"/>
    <w:rsid w:val="00B96040"/>
    <w:rsid w:val="00B96F7F"/>
    <w:rsid w:val="00BA16FE"/>
    <w:rsid w:val="00BA25D7"/>
    <w:rsid w:val="00BA3D4A"/>
    <w:rsid w:val="00BA3F02"/>
    <w:rsid w:val="00BA414B"/>
    <w:rsid w:val="00BB0828"/>
    <w:rsid w:val="00BB2111"/>
    <w:rsid w:val="00BB2F0A"/>
    <w:rsid w:val="00BB3630"/>
    <w:rsid w:val="00BB5993"/>
    <w:rsid w:val="00BB61BA"/>
    <w:rsid w:val="00BC17BA"/>
    <w:rsid w:val="00BC1BBB"/>
    <w:rsid w:val="00BC266E"/>
    <w:rsid w:val="00BC304C"/>
    <w:rsid w:val="00BC3279"/>
    <w:rsid w:val="00BC3DE2"/>
    <w:rsid w:val="00BC43CA"/>
    <w:rsid w:val="00BC59E3"/>
    <w:rsid w:val="00BC5D5C"/>
    <w:rsid w:val="00BC5EDF"/>
    <w:rsid w:val="00BC7891"/>
    <w:rsid w:val="00BC7FD2"/>
    <w:rsid w:val="00BD096A"/>
    <w:rsid w:val="00BD36EC"/>
    <w:rsid w:val="00BD47F0"/>
    <w:rsid w:val="00BD5160"/>
    <w:rsid w:val="00BD6316"/>
    <w:rsid w:val="00BD6CEB"/>
    <w:rsid w:val="00BD7BFA"/>
    <w:rsid w:val="00BE1E3D"/>
    <w:rsid w:val="00BE57B5"/>
    <w:rsid w:val="00BE5B8B"/>
    <w:rsid w:val="00BF0153"/>
    <w:rsid w:val="00BF4B43"/>
    <w:rsid w:val="00BF5A15"/>
    <w:rsid w:val="00C0296F"/>
    <w:rsid w:val="00C02B7D"/>
    <w:rsid w:val="00C03AE7"/>
    <w:rsid w:val="00C05D9D"/>
    <w:rsid w:val="00C06107"/>
    <w:rsid w:val="00C06196"/>
    <w:rsid w:val="00C06BF3"/>
    <w:rsid w:val="00C078D2"/>
    <w:rsid w:val="00C07AC6"/>
    <w:rsid w:val="00C12FA8"/>
    <w:rsid w:val="00C1369A"/>
    <w:rsid w:val="00C14E2E"/>
    <w:rsid w:val="00C21218"/>
    <w:rsid w:val="00C21F2D"/>
    <w:rsid w:val="00C23460"/>
    <w:rsid w:val="00C25EF9"/>
    <w:rsid w:val="00C261D1"/>
    <w:rsid w:val="00C2642F"/>
    <w:rsid w:val="00C269AF"/>
    <w:rsid w:val="00C27083"/>
    <w:rsid w:val="00C27533"/>
    <w:rsid w:val="00C27C47"/>
    <w:rsid w:val="00C31378"/>
    <w:rsid w:val="00C317C5"/>
    <w:rsid w:val="00C32BA3"/>
    <w:rsid w:val="00C336F2"/>
    <w:rsid w:val="00C34FA6"/>
    <w:rsid w:val="00C35592"/>
    <w:rsid w:val="00C356AF"/>
    <w:rsid w:val="00C35ADE"/>
    <w:rsid w:val="00C41927"/>
    <w:rsid w:val="00C41C25"/>
    <w:rsid w:val="00C423C6"/>
    <w:rsid w:val="00C439D6"/>
    <w:rsid w:val="00C43FD9"/>
    <w:rsid w:val="00C449CC"/>
    <w:rsid w:val="00C44EB2"/>
    <w:rsid w:val="00C47E8F"/>
    <w:rsid w:val="00C5067F"/>
    <w:rsid w:val="00C51ABA"/>
    <w:rsid w:val="00C521A7"/>
    <w:rsid w:val="00C5413F"/>
    <w:rsid w:val="00C54CC8"/>
    <w:rsid w:val="00C57BC4"/>
    <w:rsid w:val="00C57EDE"/>
    <w:rsid w:val="00C60915"/>
    <w:rsid w:val="00C60DC3"/>
    <w:rsid w:val="00C61ECA"/>
    <w:rsid w:val="00C647B4"/>
    <w:rsid w:val="00C653D1"/>
    <w:rsid w:val="00C672A2"/>
    <w:rsid w:val="00C67DA4"/>
    <w:rsid w:val="00C7005A"/>
    <w:rsid w:val="00C70386"/>
    <w:rsid w:val="00C73E7D"/>
    <w:rsid w:val="00C76093"/>
    <w:rsid w:val="00C764D4"/>
    <w:rsid w:val="00C77B80"/>
    <w:rsid w:val="00C83C5F"/>
    <w:rsid w:val="00C83CCD"/>
    <w:rsid w:val="00C85681"/>
    <w:rsid w:val="00C87617"/>
    <w:rsid w:val="00C91078"/>
    <w:rsid w:val="00C91A79"/>
    <w:rsid w:val="00C92333"/>
    <w:rsid w:val="00C9428A"/>
    <w:rsid w:val="00C964B8"/>
    <w:rsid w:val="00CA2627"/>
    <w:rsid w:val="00CA2EE1"/>
    <w:rsid w:val="00CA31E6"/>
    <w:rsid w:val="00CA3E30"/>
    <w:rsid w:val="00CA5681"/>
    <w:rsid w:val="00CA7C9C"/>
    <w:rsid w:val="00CB0067"/>
    <w:rsid w:val="00CB165B"/>
    <w:rsid w:val="00CB18B6"/>
    <w:rsid w:val="00CB380B"/>
    <w:rsid w:val="00CB467F"/>
    <w:rsid w:val="00CB5CCE"/>
    <w:rsid w:val="00CB5E7D"/>
    <w:rsid w:val="00CB6369"/>
    <w:rsid w:val="00CB75B7"/>
    <w:rsid w:val="00CB7616"/>
    <w:rsid w:val="00CB7909"/>
    <w:rsid w:val="00CC3440"/>
    <w:rsid w:val="00CC3CE0"/>
    <w:rsid w:val="00CC67A6"/>
    <w:rsid w:val="00CC6BF2"/>
    <w:rsid w:val="00CC7137"/>
    <w:rsid w:val="00CC78F6"/>
    <w:rsid w:val="00CC7F18"/>
    <w:rsid w:val="00CD0596"/>
    <w:rsid w:val="00CD11FD"/>
    <w:rsid w:val="00CD362D"/>
    <w:rsid w:val="00CD3A14"/>
    <w:rsid w:val="00CD405C"/>
    <w:rsid w:val="00CD4AF7"/>
    <w:rsid w:val="00CD4C1C"/>
    <w:rsid w:val="00CD5E13"/>
    <w:rsid w:val="00CD5F69"/>
    <w:rsid w:val="00CD6464"/>
    <w:rsid w:val="00CE019E"/>
    <w:rsid w:val="00CE0D13"/>
    <w:rsid w:val="00CE0E15"/>
    <w:rsid w:val="00CE10B8"/>
    <w:rsid w:val="00CE1421"/>
    <w:rsid w:val="00CE18D8"/>
    <w:rsid w:val="00CE24A0"/>
    <w:rsid w:val="00CE3517"/>
    <w:rsid w:val="00CE3697"/>
    <w:rsid w:val="00CE6381"/>
    <w:rsid w:val="00CE6407"/>
    <w:rsid w:val="00CE6D3F"/>
    <w:rsid w:val="00CE7B9B"/>
    <w:rsid w:val="00CF0F43"/>
    <w:rsid w:val="00CF1A52"/>
    <w:rsid w:val="00CF378E"/>
    <w:rsid w:val="00CF720A"/>
    <w:rsid w:val="00CF77AE"/>
    <w:rsid w:val="00D00E7F"/>
    <w:rsid w:val="00D01670"/>
    <w:rsid w:val="00D023D9"/>
    <w:rsid w:val="00D02B9D"/>
    <w:rsid w:val="00D0344C"/>
    <w:rsid w:val="00D05C26"/>
    <w:rsid w:val="00D062A3"/>
    <w:rsid w:val="00D062AC"/>
    <w:rsid w:val="00D07048"/>
    <w:rsid w:val="00D072CD"/>
    <w:rsid w:val="00D07969"/>
    <w:rsid w:val="00D120EF"/>
    <w:rsid w:val="00D152E7"/>
    <w:rsid w:val="00D15B1C"/>
    <w:rsid w:val="00D15B3E"/>
    <w:rsid w:val="00D169DB"/>
    <w:rsid w:val="00D17A3D"/>
    <w:rsid w:val="00D17AA8"/>
    <w:rsid w:val="00D21F91"/>
    <w:rsid w:val="00D235E1"/>
    <w:rsid w:val="00D241C6"/>
    <w:rsid w:val="00D261F9"/>
    <w:rsid w:val="00D26269"/>
    <w:rsid w:val="00D26F4C"/>
    <w:rsid w:val="00D26F70"/>
    <w:rsid w:val="00D277F2"/>
    <w:rsid w:val="00D312C4"/>
    <w:rsid w:val="00D33027"/>
    <w:rsid w:val="00D35D87"/>
    <w:rsid w:val="00D3796C"/>
    <w:rsid w:val="00D40254"/>
    <w:rsid w:val="00D41963"/>
    <w:rsid w:val="00D419B2"/>
    <w:rsid w:val="00D44171"/>
    <w:rsid w:val="00D44360"/>
    <w:rsid w:val="00D44595"/>
    <w:rsid w:val="00D44788"/>
    <w:rsid w:val="00D45137"/>
    <w:rsid w:val="00D451DC"/>
    <w:rsid w:val="00D45B2B"/>
    <w:rsid w:val="00D50D2F"/>
    <w:rsid w:val="00D51CB3"/>
    <w:rsid w:val="00D52BC8"/>
    <w:rsid w:val="00D53948"/>
    <w:rsid w:val="00D549B9"/>
    <w:rsid w:val="00D554A0"/>
    <w:rsid w:val="00D557EE"/>
    <w:rsid w:val="00D56058"/>
    <w:rsid w:val="00D57C2B"/>
    <w:rsid w:val="00D57D71"/>
    <w:rsid w:val="00D57F4B"/>
    <w:rsid w:val="00D619D1"/>
    <w:rsid w:val="00D6287E"/>
    <w:rsid w:val="00D6395D"/>
    <w:rsid w:val="00D647C0"/>
    <w:rsid w:val="00D65226"/>
    <w:rsid w:val="00D656AD"/>
    <w:rsid w:val="00D66977"/>
    <w:rsid w:val="00D66E5F"/>
    <w:rsid w:val="00D67004"/>
    <w:rsid w:val="00D67BF8"/>
    <w:rsid w:val="00D7026F"/>
    <w:rsid w:val="00D73660"/>
    <w:rsid w:val="00D73AC8"/>
    <w:rsid w:val="00D74376"/>
    <w:rsid w:val="00D74C07"/>
    <w:rsid w:val="00D76E91"/>
    <w:rsid w:val="00D80B84"/>
    <w:rsid w:val="00D81A0E"/>
    <w:rsid w:val="00D829C2"/>
    <w:rsid w:val="00D82B0B"/>
    <w:rsid w:val="00D82E5A"/>
    <w:rsid w:val="00D834F3"/>
    <w:rsid w:val="00D845D4"/>
    <w:rsid w:val="00D84643"/>
    <w:rsid w:val="00D849AA"/>
    <w:rsid w:val="00D84CC9"/>
    <w:rsid w:val="00D85025"/>
    <w:rsid w:val="00D872D1"/>
    <w:rsid w:val="00D9007B"/>
    <w:rsid w:val="00D90463"/>
    <w:rsid w:val="00D92B8D"/>
    <w:rsid w:val="00D93652"/>
    <w:rsid w:val="00D93B57"/>
    <w:rsid w:val="00D93DDB"/>
    <w:rsid w:val="00D95507"/>
    <w:rsid w:val="00D955EC"/>
    <w:rsid w:val="00D961EB"/>
    <w:rsid w:val="00D96782"/>
    <w:rsid w:val="00D96A21"/>
    <w:rsid w:val="00D975F5"/>
    <w:rsid w:val="00D97BBA"/>
    <w:rsid w:val="00DA02D6"/>
    <w:rsid w:val="00DA0899"/>
    <w:rsid w:val="00DA1750"/>
    <w:rsid w:val="00DA1988"/>
    <w:rsid w:val="00DA2298"/>
    <w:rsid w:val="00DA24E5"/>
    <w:rsid w:val="00DA2E87"/>
    <w:rsid w:val="00DA4228"/>
    <w:rsid w:val="00DA44B7"/>
    <w:rsid w:val="00DA58AA"/>
    <w:rsid w:val="00DA590B"/>
    <w:rsid w:val="00DA6122"/>
    <w:rsid w:val="00DA75DF"/>
    <w:rsid w:val="00DB0727"/>
    <w:rsid w:val="00DB0F14"/>
    <w:rsid w:val="00DB1245"/>
    <w:rsid w:val="00DB1F94"/>
    <w:rsid w:val="00DB2478"/>
    <w:rsid w:val="00DB2C3F"/>
    <w:rsid w:val="00DB3BA4"/>
    <w:rsid w:val="00DB40F8"/>
    <w:rsid w:val="00DB4809"/>
    <w:rsid w:val="00DB5C62"/>
    <w:rsid w:val="00DB5E8F"/>
    <w:rsid w:val="00DB70BC"/>
    <w:rsid w:val="00DB7371"/>
    <w:rsid w:val="00DB767C"/>
    <w:rsid w:val="00DC0972"/>
    <w:rsid w:val="00DC2C46"/>
    <w:rsid w:val="00DC31E2"/>
    <w:rsid w:val="00DC3E99"/>
    <w:rsid w:val="00DC58CE"/>
    <w:rsid w:val="00DC7C3E"/>
    <w:rsid w:val="00DD083C"/>
    <w:rsid w:val="00DD0A9E"/>
    <w:rsid w:val="00DD0C4D"/>
    <w:rsid w:val="00DD1BAA"/>
    <w:rsid w:val="00DD32A8"/>
    <w:rsid w:val="00DD70C0"/>
    <w:rsid w:val="00DD7C7A"/>
    <w:rsid w:val="00DE0B97"/>
    <w:rsid w:val="00DE30E0"/>
    <w:rsid w:val="00DE591A"/>
    <w:rsid w:val="00DE69D4"/>
    <w:rsid w:val="00DE70B4"/>
    <w:rsid w:val="00DE70F4"/>
    <w:rsid w:val="00DF2151"/>
    <w:rsid w:val="00DF2592"/>
    <w:rsid w:val="00DF3029"/>
    <w:rsid w:val="00DF4356"/>
    <w:rsid w:val="00DF6040"/>
    <w:rsid w:val="00DF7007"/>
    <w:rsid w:val="00E00FB2"/>
    <w:rsid w:val="00E010B0"/>
    <w:rsid w:val="00E027E0"/>
    <w:rsid w:val="00E06339"/>
    <w:rsid w:val="00E074D4"/>
    <w:rsid w:val="00E07A8C"/>
    <w:rsid w:val="00E10D35"/>
    <w:rsid w:val="00E13C1A"/>
    <w:rsid w:val="00E14AA0"/>
    <w:rsid w:val="00E157D6"/>
    <w:rsid w:val="00E16772"/>
    <w:rsid w:val="00E17906"/>
    <w:rsid w:val="00E202F8"/>
    <w:rsid w:val="00E20398"/>
    <w:rsid w:val="00E2251B"/>
    <w:rsid w:val="00E22BCE"/>
    <w:rsid w:val="00E258D8"/>
    <w:rsid w:val="00E25BE4"/>
    <w:rsid w:val="00E27DB4"/>
    <w:rsid w:val="00E31545"/>
    <w:rsid w:val="00E316B3"/>
    <w:rsid w:val="00E326FF"/>
    <w:rsid w:val="00E34B8E"/>
    <w:rsid w:val="00E3582F"/>
    <w:rsid w:val="00E35F30"/>
    <w:rsid w:val="00E361B0"/>
    <w:rsid w:val="00E361D1"/>
    <w:rsid w:val="00E374D9"/>
    <w:rsid w:val="00E40751"/>
    <w:rsid w:val="00E41216"/>
    <w:rsid w:val="00E41563"/>
    <w:rsid w:val="00E4274A"/>
    <w:rsid w:val="00E42943"/>
    <w:rsid w:val="00E42DA7"/>
    <w:rsid w:val="00E432CC"/>
    <w:rsid w:val="00E43903"/>
    <w:rsid w:val="00E44FA7"/>
    <w:rsid w:val="00E4695A"/>
    <w:rsid w:val="00E50210"/>
    <w:rsid w:val="00E52D11"/>
    <w:rsid w:val="00E53A75"/>
    <w:rsid w:val="00E53AA8"/>
    <w:rsid w:val="00E53BA2"/>
    <w:rsid w:val="00E54081"/>
    <w:rsid w:val="00E55AB5"/>
    <w:rsid w:val="00E572D1"/>
    <w:rsid w:val="00E574A1"/>
    <w:rsid w:val="00E577AC"/>
    <w:rsid w:val="00E61F96"/>
    <w:rsid w:val="00E62DB8"/>
    <w:rsid w:val="00E63010"/>
    <w:rsid w:val="00E63804"/>
    <w:rsid w:val="00E653BD"/>
    <w:rsid w:val="00E65948"/>
    <w:rsid w:val="00E677EF"/>
    <w:rsid w:val="00E70D84"/>
    <w:rsid w:val="00E7159B"/>
    <w:rsid w:val="00E71996"/>
    <w:rsid w:val="00E71BDD"/>
    <w:rsid w:val="00E72421"/>
    <w:rsid w:val="00E72D02"/>
    <w:rsid w:val="00E7380A"/>
    <w:rsid w:val="00E74C1B"/>
    <w:rsid w:val="00E81EF9"/>
    <w:rsid w:val="00E840B5"/>
    <w:rsid w:val="00E84451"/>
    <w:rsid w:val="00E84CFD"/>
    <w:rsid w:val="00E859DF"/>
    <w:rsid w:val="00E866CC"/>
    <w:rsid w:val="00E86C14"/>
    <w:rsid w:val="00E86C84"/>
    <w:rsid w:val="00E87041"/>
    <w:rsid w:val="00E91192"/>
    <w:rsid w:val="00E931ED"/>
    <w:rsid w:val="00E93B05"/>
    <w:rsid w:val="00E94AED"/>
    <w:rsid w:val="00E94B0F"/>
    <w:rsid w:val="00E95201"/>
    <w:rsid w:val="00E9631E"/>
    <w:rsid w:val="00E966DD"/>
    <w:rsid w:val="00EA0625"/>
    <w:rsid w:val="00EA10E7"/>
    <w:rsid w:val="00EA1574"/>
    <w:rsid w:val="00EA1807"/>
    <w:rsid w:val="00EA38FE"/>
    <w:rsid w:val="00EA4947"/>
    <w:rsid w:val="00EA5554"/>
    <w:rsid w:val="00EA6540"/>
    <w:rsid w:val="00EA7350"/>
    <w:rsid w:val="00EB0731"/>
    <w:rsid w:val="00EB5C1B"/>
    <w:rsid w:val="00EB5EE5"/>
    <w:rsid w:val="00EB7170"/>
    <w:rsid w:val="00EC0C41"/>
    <w:rsid w:val="00EC11F0"/>
    <w:rsid w:val="00EC14FA"/>
    <w:rsid w:val="00EC1594"/>
    <w:rsid w:val="00EC1C8C"/>
    <w:rsid w:val="00EC3DC7"/>
    <w:rsid w:val="00EC5FD5"/>
    <w:rsid w:val="00EC6377"/>
    <w:rsid w:val="00EC6FE0"/>
    <w:rsid w:val="00ED12E1"/>
    <w:rsid w:val="00ED2521"/>
    <w:rsid w:val="00ED2FB9"/>
    <w:rsid w:val="00ED34AC"/>
    <w:rsid w:val="00ED6873"/>
    <w:rsid w:val="00ED6F18"/>
    <w:rsid w:val="00ED73EF"/>
    <w:rsid w:val="00EE0293"/>
    <w:rsid w:val="00EE0AA4"/>
    <w:rsid w:val="00EE0C7D"/>
    <w:rsid w:val="00EE1F54"/>
    <w:rsid w:val="00EE40F7"/>
    <w:rsid w:val="00EE456B"/>
    <w:rsid w:val="00EE508D"/>
    <w:rsid w:val="00EE6446"/>
    <w:rsid w:val="00EE7CB2"/>
    <w:rsid w:val="00EF01B0"/>
    <w:rsid w:val="00EF0BB3"/>
    <w:rsid w:val="00EF20A6"/>
    <w:rsid w:val="00EF284B"/>
    <w:rsid w:val="00EF35BF"/>
    <w:rsid w:val="00EF381C"/>
    <w:rsid w:val="00EF5780"/>
    <w:rsid w:val="00EF741C"/>
    <w:rsid w:val="00EF7C61"/>
    <w:rsid w:val="00F00C37"/>
    <w:rsid w:val="00F011EF"/>
    <w:rsid w:val="00F034AC"/>
    <w:rsid w:val="00F03879"/>
    <w:rsid w:val="00F0416A"/>
    <w:rsid w:val="00F0439B"/>
    <w:rsid w:val="00F05C83"/>
    <w:rsid w:val="00F06745"/>
    <w:rsid w:val="00F06853"/>
    <w:rsid w:val="00F1066F"/>
    <w:rsid w:val="00F10D0F"/>
    <w:rsid w:val="00F11167"/>
    <w:rsid w:val="00F1163E"/>
    <w:rsid w:val="00F118ED"/>
    <w:rsid w:val="00F12979"/>
    <w:rsid w:val="00F148D9"/>
    <w:rsid w:val="00F160D2"/>
    <w:rsid w:val="00F16314"/>
    <w:rsid w:val="00F17EBA"/>
    <w:rsid w:val="00F2068C"/>
    <w:rsid w:val="00F20817"/>
    <w:rsid w:val="00F2335D"/>
    <w:rsid w:val="00F26F28"/>
    <w:rsid w:val="00F27A76"/>
    <w:rsid w:val="00F300F3"/>
    <w:rsid w:val="00F31F68"/>
    <w:rsid w:val="00F327C9"/>
    <w:rsid w:val="00F339A2"/>
    <w:rsid w:val="00F33E3A"/>
    <w:rsid w:val="00F35070"/>
    <w:rsid w:val="00F3523C"/>
    <w:rsid w:val="00F35EA5"/>
    <w:rsid w:val="00F40A8B"/>
    <w:rsid w:val="00F41EA7"/>
    <w:rsid w:val="00F45138"/>
    <w:rsid w:val="00F4580F"/>
    <w:rsid w:val="00F4748D"/>
    <w:rsid w:val="00F51143"/>
    <w:rsid w:val="00F515D4"/>
    <w:rsid w:val="00F53497"/>
    <w:rsid w:val="00F53841"/>
    <w:rsid w:val="00F53B21"/>
    <w:rsid w:val="00F53D9A"/>
    <w:rsid w:val="00F555D1"/>
    <w:rsid w:val="00F55CBB"/>
    <w:rsid w:val="00F57D0B"/>
    <w:rsid w:val="00F612B3"/>
    <w:rsid w:val="00F64D10"/>
    <w:rsid w:val="00F653FF"/>
    <w:rsid w:val="00F657C0"/>
    <w:rsid w:val="00F676C1"/>
    <w:rsid w:val="00F7064A"/>
    <w:rsid w:val="00F7383F"/>
    <w:rsid w:val="00F747AD"/>
    <w:rsid w:val="00F75FFC"/>
    <w:rsid w:val="00F766F2"/>
    <w:rsid w:val="00F829DE"/>
    <w:rsid w:val="00F83255"/>
    <w:rsid w:val="00F83D74"/>
    <w:rsid w:val="00F84674"/>
    <w:rsid w:val="00F86E04"/>
    <w:rsid w:val="00F87C1E"/>
    <w:rsid w:val="00F87F11"/>
    <w:rsid w:val="00F916A4"/>
    <w:rsid w:val="00F91DF5"/>
    <w:rsid w:val="00F930B1"/>
    <w:rsid w:val="00F93819"/>
    <w:rsid w:val="00F942CA"/>
    <w:rsid w:val="00F9452C"/>
    <w:rsid w:val="00F94EDA"/>
    <w:rsid w:val="00F96224"/>
    <w:rsid w:val="00F975CE"/>
    <w:rsid w:val="00FA02BC"/>
    <w:rsid w:val="00FA0964"/>
    <w:rsid w:val="00FA1376"/>
    <w:rsid w:val="00FA157C"/>
    <w:rsid w:val="00FA357C"/>
    <w:rsid w:val="00FA3F25"/>
    <w:rsid w:val="00FA53CB"/>
    <w:rsid w:val="00FA65ED"/>
    <w:rsid w:val="00FA7ECF"/>
    <w:rsid w:val="00FB11A6"/>
    <w:rsid w:val="00FB46C5"/>
    <w:rsid w:val="00FB535B"/>
    <w:rsid w:val="00FB7206"/>
    <w:rsid w:val="00FB745E"/>
    <w:rsid w:val="00FC0E1A"/>
    <w:rsid w:val="00FC1D72"/>
    <w:rsid w:val="00FC1F2A"/>
    <w:rsid w:val="00FC2827"/>
    <w:rsid w:val="00FC40CE"/>
    <w:rsid w:val="00FC5BDA"/>
    <w:rsid w:val="00FC5E60"/>
    <w:rsid w:val="00FC5ECD"/>
    <w:rsid w:val="00FD061B"/>
    <w:rsid w:val="00FD1DEB"/>
    <w:rsid w:val="00FD5310"/>
    <w:rsid w:val="00FD656A"/>
    <w:rsid w:val="00FD7616"/>
    <w:rsid w:val="00FE019A"/>
    <w:rsid w:val="00FE0384"/>
    <w:rsid w:val="00FE0C92"/>
    <w:rsid w:val="00FE10D6"/>
    <w:rsid w:val="00FE51ED"/>
    <w:rsid w:val="00FE5577"/>
    <w:rsid w:val="00FE5B17"/>
    <w:rsid w:val="00FE5EA2"/>
    <w:rsid w:val="00FF1BC1"/>
    <w:rsid w:val="00FF2C73"/>
    <w:rsid w:val="00FF34CA"/>
    <w:rsid w:val="00FF734C"/>
    <w:rsid w:val="00FF741A"/>
    <w:rsid w:val="011EB94E"/>
    <w:rsid w:val="0158CAAE"/>
    <w:rsid w:val="01729F59"/>
    <w:rsid w:val="01A5A38D"/>
    <w:rsid w:val="01C4795D"/>
    <w:rsid w:val="01EA3F61"/>
    <w:rsid w:val="02948503"/>
    <w:rsid w:val="029B38D6"/>
    <w:rsid w:val="02CEAAE1"/>
    <w:rsid w:val="02FD1F9E"/>
    <w:rsid w:val="0375B667"/>
    <w:rsid w:val="0418D01E"/>
    <w:rsid w:val="04D15067"/>
    <w:rsid w:val="059F3FDA"/>
    <w:rsid w:val="05DBA372"/>
    <w:rsid w:val="05E0432D"/>
    <w:rsid w:val="064EA782"/>
    <w:rsid w:val="066E43CF"/>
    <w:rsid w:val="067565B6"/>
    <w:rsid w:val="073E80CB"/>
    <w:rsid w:val="07936550"/>
    <w:rsid w:val="07A21C04"/>
    <w:rsid w:val="07D6FA60"/>
    <w:rsid w:val="07E8D75B"/>
    <w:rsid w:val="087AD0A2"/>
    <w:rsid w:val="08910383"/>
    <w:rsid w:val="090724F1"/>
    <w:rsid w:val="092F35B1"/>
    <w:rsid w:val="09C514EB"/>
    <w:rsid w:val="09C7423A"/>
    <w:rsid w:val="09FDC736"/>
    <w:rsid w:val="0AA3BC63"/>
    <w:rsid w:val="0AC4D0E5"/>
    <w:rsid w:val="0ACB0612"/>
    <w:rsid w:val="0B127E3B"/>
    <w:rsid w:val="0BDACBD0"/>
    <w:rsid w:val="0BE8301A"/>
    <w:rsid w:val="0BEB4DB1"/>
    <w:rsid w:val="0BF8AC3B"/>
    <w:rsid w:val="0C9409CA"/>
    <w:rsid w:val="0CC12875"/>
    <w:rsid w:val="0CEFFB03"/>
    <w:rsid w:val="0CF4BDBF"/>
    <w:rsid w:val="0D16D167"/>
    <w:rsid w:val="0D533000"/>
    <w:rsid w:val="0DEA4BE8"/>
    <w:rsid w:val="0E02A6D4"/>
    <w:rsid w:val="0E267E43"/>
    <w:rsid w:val="0E4D6C73"/>
    <w:rsid w:val="0EE2FAE1"/>
    <w:rsid w:val="0F1FD0DC"/>
    <w:rsid w:val="0F3DF06C"/>
    <w:rsid w:val="0F5D33E1"/>
    <w:rsid w:val="0F81387E"/>
    <w:rsid w:val="0F9231B7"/>
    <w:rsid w:val="10126B36"/>
    <w:rsid w:val="1080FB89"/>
    <w:rsid w:val="10C70F9D"/>
    <w:rsid w:val="11897AB6"/>
    <w:rsid w:val="119238F7"/>
    <w:rsid w:val="11BE2F02"/>
    <w:rsid w:val="12C8A0D3"/>
    <w:rsid w:val="1346BE8D"/>
    <w:rsid w:val="135EFF1E"/>
    <w:rsid w:val="140188BD"/>
    <w:rsid w:val="14B44DA7"/>
    <w:rsid w:val="157A8E5C"/>
    <w:rsid w:val="157ED670"/>
    <w:rsid w:val="15A479FF"/>
    <w:rsid w:val="15F08764"/>
    <w:rsid w:val="16345C44"/>
    <w:rsid w:val="1672A17F"/>
    <w:rsid w:val="1760375A"/>
    <w:rsid w:val="176FBF53"/>
    <w:rsid w:val="17BDEA5B"/>
    <w:rsid w:val="18871FC4"/>
    <w:rsid w:val="18888685"/>
    <w:rsid w:val="188DFE58"/>
    <w:rsid w:val="18950573"/>
    <w:rsid w:val="189D187F"/>
    <w:rsid w:val="1924F6C0"/>
    <w:rsid w:val="192AEF23"/>
    <w:rsid w:val="19BA6323"/>
    <w:rsid w:val="1A92E59C"/>
    <w:rsid w:val="1A957FEA"/>
    <w:rsid w:val="1AA3629F"/>
    <w:rsid w:val="1AD42AD8"/>
    <w:rsid w:val="1AE10747"/>
    <w:rsid w:val="1B061D51"/>
    <w:rsid w:val="1B2A5D39"/>
    <w:rsid w:val="1B6DE4D9"/>
    <w:rsid w:val="1B8BAD11"/>
    <w:rsid w:val="1BC5B7BA"/>
    <w:rsid w:val="1BE56CD4"/>
    <w:rsid w:val="1BF9D9BC"/>
    <w:rsid w:val="1CFB5751"/>
    <w:rsid w:val="1D034038"/>
    <w:rsid w:val="1DA4C039"/>
    <w:rsid w:val="1DCACE77"/>
    <w:rsid w:val="1E6506E0"/>
    <w:rsid w:val="1E81A1BA"/>
    <w:rsid w:val="1EA1B1C5"/>
    <w:rsid w:val="1F0D5365"/>
    <w:rsid w:val="1F4425E9"/>
    <w:rsid w:val="1F760897"/>
    <w:rsid w:val="20252006"/>
    <w:rsid w:val="20C27026"/>
    <w:rsid w:val="20F72472"/>
    <w:rsid w:val="2115996A"/>
    <w:rsid w:val="21273817"/>
    <w:rsid w:val="214AEF14"/>
    <w:rsid w:val="224923CC"/>
    <w:rsid w:val="22546D0B"/>
    <w:rsid w:val="226850BC"/>
    <w:rsid w:val="2293A27E"/>
    <w:rsid w:val="229F503C"/>
    <w:rsid w:val="22EB90F1"/>
    <w:rsid w:val="233ACBB4"/>
    <w:rsid w:val="2358AC1F"/>
    <w:rsid w:val="236B9E50"/>
    <w:rsid w:val="237522E8"/>
    <w:rsid w:val="23B75454"/>
    <w:rsid w:val="241D9EC5"/>
    <w:rsid w:val="242CACA5"/>
    <w:rsid w:val="24B9E96D"/>
    <w:rsid w:val="24D4CF55"/>
    <w:rsid w:val="24FB3019"/>
    <w:rsid w:val="252FDF1A"/>
    <w:rsid w:val="25F885F2"/>
    <w:rsid w:val="2608D44C"/>
    <w:rsid w:val="26904CE1"/>
    <w:rsid w:val="27833950"/>
    <w:rsid w:val="27858F3E"/>
    <w:rsid w:val="27B51660"/>
    <w:rsid w:val="27B60CAA"/>
    <w:rsid w:val="27C222AB"/>
    <w:rsid w:val="28006049"/>
    <w:rsid w:val="282F6BAE"/>
    <w:rsid w:val="28C794A6"/>
    <w:rsid w:val="290D057F"/>
    <w:rsid w:val="298882F6"/>
    <w:rsid w:val="2A039646"/>
    <w:rsid w:val="2A589D0B"/>
    <w:rsid w:val="2AD94C47"/>
    <w:rsid w:val="2ADD7A79"/>
    <w:rsid w:val="2B63221F"/>
    <w:rsid w:val="2BF274D2"/>
    <w:rsid w:val="2C215C67"/>
    <w:rsid w:val="2CA50614"/>
    <w:rsid w:val="2D539CE3"/>
    <w:rsid w:val="2D69FF0F"/>
    <w:rsid w:val="2D7BD561"/>
    <w:rsid w:val="2DC805BB"/>
    <w:rsid w:val="2E0397D7"/>
    <w:rsid w:val="2E8AE2A5"/>
    <w:rsid w:val="2E8FB911"/>
    <w:rsid w:val="2EB9EBC3"/>
    <w:rsid w:val="2EE6B69F"/>
    <w:rsid w:val="2F01D42E"/>
    <w:rsid w:val="2F927025"/>
    <w:rsid w:val="2FA30F8D"/>
    <w:rsid w:val="30490191"/>
    <w:rsid w:val="305D9E43"/>
    <w:rsid w:val="306A3A8B"/>
    <w:rsid w:val="30772495"/>
    <w:rsid w:val="30BE402E"/>
    <w:rsid w:val="314BD7BF"/>
    <w:rsid w:val="31A8073E"/>
    <w:rsid w:val="320CBAD1"/>
    <w:rsid w:val="326A1920"/>
    <w:rsid w:val="3295DB25"/>
    <w:rsid w:val="32CBBAA9"/>
    <w:rsid w:val="332AECF2"/>
    <w:rsid w:val="343D4541"/>
    <w:rsid w:val="34825C3E"/>
    <w:rsid w:val="3493AFA4"/>
    <w:rsid w:val="34F9A432"/>
    <w:rsid w:val="367CCC2D"/>
    <w:rsid w:val="37B2E115"/>
    <w:rsid w:val="37B7F2A1"/>
    <w:rsid w:val="3812DD51"/>
    <w:rsid w:val="38189C8E"/>
    <w:rsid w:val="383431B3"/>
    <w:rsid w:val="3853AA5F"/>
    <w:rsid w:val="38559E16"/>
    <w:rsid w:val="38FDE5FF"/>
    <w:rsid w:val="3A2677CE"/>
    <w:rsid w:val="3A54292B"/>
    <w:rsid w:val="3AF7B93D"/>
    <w:rsid w:val="3C4A4B8E"/>
    <w:rsid w:val="3C57CAD0"/>
    <w:rsid w:val="3C8B555F"/>
    <w:rsid w:val="3C8FEC0E"/>
    <w:rsid w:val="3CF6D9EF"/>
    <w:rsid w:val="3DC74B52"/>
    <w:rsid w:val="3DF39B31"/>
    <w:rsid w:val="3E8EFD63"/>
    <w:rsid w:val="3F1D28A5"/>
    <w:rsid w:val="3F1E9409"/>
    <w:rsid w:val="3F2FBA83"/>
    <w:rsid w:val="3FBF28E0"/>
    <w:rsid w:val="3FD76FAE"/>
    <w:rsid w:val="400C2540"/>
    <w:rsid w:val="4029D152"/>
    <w:rsid w:val="40889B85"/>
    <w:rsid w:val="40FC7C6D"/>
    <w:rsid w:val="410736E0"/>
    <w:rsid w:val="41B26DB6"/>
    <w:rsid w:val="41BFFFA5"/>
    <w:rsid w:val="42317B8B"/>
    <w:rsid w:val="42499FCC"/>
    <w:rsid w:val="4257A6BD"/>
    <w:rsid w:val="42EDB449"/>
    <w:rsid w:val="434AB769"/>
    <w:rsid w:val="437D79D9"/>
    <w:rsid w:val="438F5C9C"/>
    <w:rsid w:val="43EB62D7"/>
    <w:rsid w:val="43F593B2"/>
    <w:rsid w:val="444B4105"/>
    <w:rsid w:val="4462DCB5"/>
    <w:rsid w:val="44CF7327"/>
    <w:rsid w:val="4522E488"/>
    <w:rsid w:val="46888761"/>
    <w:rsid w:val="46DAD62F"/>
    <w:rsid w:val="46F27009"/>
    <w:rsid w:val="4856FF09"/>
    <w:rsid w:val="48604EBF"/>
    <w:rsid w:val="49364DD8"/>
    <w:rsid w:val="49406210"/>
    <w:rsid w:val="49BB7348"/>
    <w:rsid w:val="49BBA50F"/>
    <w:rsid w:val="4A488C42"/>
    <w:rsid w:val="4A6BB852"/>
    <w:rsid w:val="4AD21E39"/>
    <w:rsid w:val="4B12A314"/>
    <w:rsid w:val="4C11E031"/>
    <w:rsid w:val="4C6C4DE4"/>
    <w:rsid w:val="4C945797"/>
    <w:rsid w:val="4D769726"/>
    <w:rsid w:val="4E183227"/>
    <w:rsid w:val="4EB0F04C"/>
    <w:rsid w:val="4EC6E523"/>
    <w:rsid w:val="4F126787"/>
    <w:rsid w:val="4F95E4E7"/>
    <w:rsid w:val="50BFD341"/>
    <w:rsid w:val="50F78CFC"/>
    <w:rsid w:val="51356DF0"/>
    <w:rsid w:val="51C606F1"/>
    <w:rsid w:val="524A0849"/>
    <w:rsid w:val="5268180A"/>
    <w:rsid w:val="529EDDB8"/>
    <w:rsid w:val="52F215B7"/>
    <w:rsid w:val="5361D752"/>
    <w:rsid w:val="551786B0"/>
    <w:rsid w:val="5596F4ED"/>
    <w:rsid w:val="55B4BA10"/>
    <w:rsid w:val="55FC1717"/>
    <w:rsid w:val="564F8672"/>
    <w:rsid w:val="567D2889"/>
    <w:rsid w:val="56D9F13E"/>
    <w:rsid w:val="57367E53"/>
    <w:rsid w:val="57A0E310"/>
    <w:rsid w:val="58966BEA"/>
    <w:rsid w:val="58B949CD"/>
    <w:rsid w:val="59ACB6DD"/>
    <w:rsid w:val="59C8E997"/>
    <w:rsid w:val="5A47EC39"/>
    <w:rsid w:val="5A551A2E"/>
    <w:rsid w:val="5A82E686"/>
    <w:rsid w:val="5AF02F89"/>
    <w:rsid w:val="5B10DF4F"/>
    <w:rsid w:val="5BE3BC9A"/>
    <w:rsid w:val="5C1EB6E7"/>
    <w:rsid w:val="5C5F0D00"/>
    <w:rsid w:val="5C82E46C"/>
    <w:rsid w:val="5CD3BA00"/>
    <w:rsid w:val="5CEC6A0D"/>
    <w:rsid w:val="5D1C092A"/>
    <w:rsid w:val="5D24594A"/>
    <w:rsid w:val="5D9E3E54"/>
    <w:rsid w:val="5DAF4537"/>
    <w:rsid w:val="5E3E7C8C"/>
    <w:rsid w:val="5E883A6E"/>
    <w:rsid w:val="5EE16811"/>
    <w:rsid w:val="5F17B02B"/>
    <w:rsid w:val="5F288B51"/>
    <w:rsid w:val="5F3D2F4C"/>
    <w:rsid w:val="5FE3ECB9"/>
    <w:rsid w:val="60109554"/>
    <w:rsid w:val="6016A13E"/>
    <w:rsid w:val="60240ACF"/>
    <w:rsid w:val="603C1525"/>
    <w:rsid w:val="60686E33"/>
    <w:rsid w:val="615672BE"/>
    <w:rsid w:val="61BFDB30"/>
    <w:rsid w:val="61FADE14"/>
    <w:rsid w:val="633E1149"/>
    <w:rsid w:val="638BC0DA"/>
    <w:rsid w:val="64F41C31"/>
    <w:rsid w:val="652DD7F3"/>
    <w:rsid w:val="657D008E"/>
    <w:rsid w:val="65F04A31"/>
    <w:rsid w:val="65F46E0C"/>
    <w:rsid w:val="6608BB0B"/>
    <w:rsid w:val="6679BC7E"/>
    <w:rsid w:val="673610D2"/>
    <w:rsid w:val="67BB1379"/>
    <w:rsid w:val="68370A3A"/>
    <w:rsid w:val="68A4DA89"/>
    <w:rsid w:val="68AA1364"/>
    <w:rsid w:val="69048C70"/>
    <w:rsid w:val="69B9102E"/>
    <w:rsid w:val="6A22251C"/>
    <w:rsid w:val="6A3DBE6D"/>
    <w:rsid w:val="6AA8856B"/>
    <w:rsid w:val="6B09C282"/>
    <w:rsid w:val="6B19F664"/>
    <w:rsid w:val="6B474D68"/>
    <w:rsid w:val="6B4FCCD5"/>
    <w:rsid w:val="6B84787B"/>
    <w:rsid w:val="6B9BDC37"/>
    <w:rsid w:val="6C518B6A"/>
    <w:rsid w:val="6CB16966"/>
    <w:rsid w:val="6D7CBE4A"/>
    <w:rsid w:val="6E0E91B1"/>
    <w:rsid w:val="6E416344"/>
    <w:rsid w:val="6E93BF14"/>
    <w:rsid w:val="6FD90119"/>
    <w:rsid w:val="6FDD33A5"/>
    <w:rsid w:val="701949B1"/>
    <w:rsid w:val="7031397C"/>
    <w:rsid w:val="70421C1F"/>
    <w:rsid w:val="70425B95"/>
    <w:rsid w:val="70988B10"/>
    <w:rsid w:val="7143C398"/>
    <w:rsid w:val="719718FB"/>
    <w:rsid w:val="71B55015"/>
    <w:rsid w:val="721B136B"/>
    <w:rsid w:val="7284D14C"/>
    <w:rsid w:val="73924059"/>
    <w:rsid w:val="7456809E"/>
    <w:rsid w:val="748D4ACD"/>
    <w:rsid w:val="74B354EA"/>
    <w:rsid w:val="75135BB5"/>
    <w:rsid w:val="75D0C967"/>
    <w:rsid w:val="76C231EB"/>
    <w:rsid w:val="76F85752"/>
    <w:rsid w:val="772B5DB2"/>
    <w:rsid w:val="774C44EA"/>
    <w:rsid w:val="77877EA5"/>
    <w:rsid w:val="77A156BA"/>
    <w:rsid w:val="77E19EAF"/>
    <w:rsid w:val="780C907C"/>
    <w:rsid w:val="78424DDD"/>
    <w:rsid w:val="787D61BB"/>
    <w:rsid w:val="7881A9CF"/>
    <w:rsid w:val="78924C31"/>
    <w:rsid w:val="78927E07"/>
    <w:rsid w:val="7A2A077D"/>
    <w:rsid w:val="7A2E1C92"/>
    <w:rsid w:val="7A5B4152"/>
    <w:rsid w:val="7AED5704"/>
    <w:rsid w:val="7B688439"/>
    <w:rsid w:val="7B80AFEE"/>
    <w:rsid w:val="7BA63CC2"/>
    <w:rsid w:val="7BCA1EC9"/>
    <w:rsid w:val="7CB62396"/>
    <w:rsid w:val="7D0DC1F4"/>
    <w:rsid w:val="7D34DBDB"/>
    <w:rsid w:val="7DC5B9F4"/>
    <w:rsid w:val="7F4DE44F"/>
    <w:rsid w:val="7F705AF8"/>
    <w:rsid w:val="7F76E0FD"/>
    <w:rsid w:val="7F9AF996"/>
    <w:rsid w:val="7FFDDF4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578B88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sv-S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 w:qFormat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uiPriority="0" w:unhideWhenUsed="1" w:qFormat="1"/>
    <w:lsdException w:name="List Number" w:semiHidden="1" w:uiPriority="9" w:qFormat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7DA4"/>
    <w:rPr>
      <w:sz w:val="22"/>
      <w:lang w:val="sv-SE"/>
    </w:rPr>
  </w:style>
  <w:style w:type="paragraph" w:styleId="Heading1">
    <w:name w:val="heading 1"/>
    <w:aliases w:val="Cover title white"/>
    <w:next w:val="Normal"/>
    <w:link w:val="Heading1Char"/>
    <w:qFormat/>
    <w:rsid w:val="00B32510"/>
    <w:pPr>
      <w:keepNext/>
      <w:keepLines/>
      <w:outlineLvl w:val="0"/>
    </w:pPr>
    <w:rPr>
      <w:rFonts w:asciiTheme="majorHAnsi" w:eastAsiaTheme="majorEastAsia" w:hAnsiTheme="majorHAnsi" w:cstheme="majorBidi"/>
      <w:b/>
      <w:bCs/>
      <w:caps/>
      <w:color w:val="FFFFFF" w:themeColor="background1"/>
      <w:sz w:val="40"/>
      <w:szCs w:val="40"/>
    </w:rPr>
  </w:style>
  <w:style w:type="paragraph" w:styleId="Heading2">
    <w:name w:val="heading 2"/>
    <w:basedOn w:val="Numberedtilelevel1"/>
    <w:next w:val="Normal"/>
    <w:link w:val="Heading2Char"/>
    <w:uiPriority w:val="9"/>
    <w:semiHidden/>
    <w:qFormat/>
    <w:rsid w:val="002F2009"/>
    <w:pPr>
      <w:outlineLvl w:val="1"/>
    </w:pPr>
  </w:style>
  <w:style w:type="paragraph" w:styleId="Heading3">
    <w:name w:val="heading 3"/>
    <w:aliases w:val="Title 2"/>
    <w:basedOn w:val="Numberedtitlelevel2"/>
    <w:next w:val="Normal"/>
    <w:link w:val="Heading3Char"/>
    <w:uiPriority w:val="9"/>
    <w:semiHidden/>
    <w:rsid w:val="002F2009"/>
    <w:pPr>
      <w:outlineLvl w:val="2"/>
    </w:pPr>
  </w:style>
  <w:style w:type="paragraph" w:styleId="Heading4">
    <w:name w:val="heading 4"/>
    <w:basedOn w:val="Normal"/>
    <w:next w:val="Normal"/>
    <w:link w:val="Heading4Char"/>
    <w:uiPriority w:val="9"/>
    <w:semiHidden/>
    <w:qFormat/>
    <w:rsid w:val="001C5BC2"/>
    <w:pPr>
      <w:keepNext/>
      <w:keepLines/>
      <w:numPr>
        <w:ilvl w:val="3"/>
        <w:numId w:val="4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2F5773" w:themeColor="accent1"/>
    </w:rPr>
  </w:style>
  <w:style w:type="paragraph" w:styleId="Heading5">
    <w:name w:val="heading 5"/>
    <w:aliases w:val="Cover subtitle white"/>
    <w:next w:val="Normal"/>
    <w:link w:val="Heading5Char"/>
    <w:semiHidden/>
    <w:qFormat/>
    <w:rsid w:val="00B3251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aps/>
      <w:color w:val="FFFFFF" w:themeColor="background1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1C5BC2"/>
    <w:pPr>
      <w:keepNext/>
      <w:keepLines/>
      <w:numPr>
        <w:ilvl w:val="5"/>
        <w:numId w:val="4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172B39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1C5BC2"/>
    <w:pPr>
      <w:keepNext/>
      <w:keepLines/>
      <w:numPr>
        <w:ilvl w:val="6"/>
        <w:numId w:val="4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1C5BC2"/>
    <w:pPr>
      <w:keepNext/>
      <w:keepLines/>
      <w:numPr>
        <w:ilvl w:val="7"/>
        <w:numId w:val="4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1C5BC2"/>
    <w:pPr>
      <w:keepNext/>
      <w:keepLines/>
      <w:numPr>
        <w:ilvl w:val="8"/>
        <w:numId w:val="4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Cover title white Char"/>
    <w:basedOn w:val="DefaultParagraphFont"/>
    <w:link w:val="Heading1"/>
    <w:rsid w:val="00290DA3"/>
    <w:rPr>
      <w:rFonts w:asciiTheme="majorHAnsi" w:eastAsiaTheme="majorEastAsia" w:hAnsiTheme="majorHAnsi" w:cstheme="majorBidi"/>
      <w:b/>
      <w:bCs/>
      <w:caps/>
      <w:color w:val="FFFFFF" w:themeColor="background1"/>
      <w:sz w:val="40"/>
      <w:szCs w:val="40"/>
    </w:rPr>
  </w:style>
  <w:style w:type="paragraph" w:customStyle="1" w:styleId="Numberedtilelevel1">
    <w:name w:val="Numbered tile level 1"/>
    <w:basedOn w:val="Titlelevel1"/>
    <w:qFormat/>
    <w:rsid w:val="00482FB6"/>
    <w:pPr>
      <w:numPr>
        <w:numId w:val="8"/>
      </w:numPr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582AA7"/>
    <w:rPr>
      <w:rFonts w:asciiTheme="majorHAnsi" w:eastAsiaTheme="majorEastAsia" w:hAnsiTheme="majorHAnsi" w:cstheme="majorBidi"/>
      <w:color w:val="2F5773" w:themeColor="text2"/>
      <w:spacing w:val="5"/>
      <w:kern w:val="28"/>
      <w:sz w:val="52"/>
      <w:szCs w:val="52"/>
    </w:rPr>
  </w:style>
  <w:style w:type="paragraph" w:customStyle="1" w:styleId="Numberedtitlelevel2">
    <w:name w:val="Numbered title level 2"/>
    <w:basedOn w:val="Titlelevel2"/>
    <w:next w:val="body"/>
    <w:qFormat/>
    <w:rsid w:val="00482FB6"/>
    <w:pPr>
      <w:numPr>
        <w:ilvl w:val="1"/>
        <w:numId w:val="8"/>
      </w:numPr>
    </w:pPr>
  </w:style>
  <w:style w:type="paragraph" w:customStyle="1" w:styleId="Titlelevel2">
    <w:name w:val="Title level 2"/>
    <w:qFormat/>
    <w:rsid w:val="005D4005"/>
    <w:pPr>
      <w:spacing w:before="240" w:after="240"/>
    </w:pPr>
    <w:rPr>
      <w:rFonts w:asciiTheme="majorHAnsi" w:eastAsiaTheme="majorEastAsia" w:hAnsiTheme="majorHAnsi" w:cstheme="majorBidi"/>
      <w:bCs/>
      <w:color w:val="2F5773" w:themeColor="text2"/>
      <w:sz w:val="32"/>
    </w:rPr>
  </w:style>
  <w:style w:type="paragraph" w:customStyle="1" w:styleId="body">
    <w:name w:val="body"/>
    <w:qFormat/>
    <w:rsid w:val="00CD4AF7"/>
    <w:pPr>
      <w:spacing w:before="240" w:after="120" w:line="276" w:lineRule="auto"/>
      <w:jc w:val="both"/>
    </w:pPr>
    <w:rPr>
      <w:sz w:val="22"/>
    </w:rPr>
  </w:style>
  <w:style w:type="character" w:customStyle="1" w:styleId="Heading3Char">
    <w:name w:val="Heading 3 Char"/>
    <w:aliases w:val="Title 2 Char"/>
    <w:basedOn w:val="DefaultParagraphFont"/>
    <w:link w:val="Heading3"/>
    <w:uiPriority w:val="9"/>
    <w:semiHidden/>
    <w:rsid w:val="00582AA7"/>
    <w:rPr>
      <w:rFonts w:asciiTheme="majorHAnsi" w:eastAsiaTheme="majorEastAsia" w:hAnsiTheme="majorHAnsi" w:cstheme="majorBidi"/>
      <w:bCs/>
      <w:color w:val="2F5773" w:themeColor="text2"/>
      <w:sz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82AA7"/>
    <w:rPr>
      <w:rFonts w:asciiTheme="majorHAnsi" w:eastAsiaTheme="majorEastAsia" w:hAnsiTheme="majorHAnsi" w:cstheme="majorBidi"/>
      <w:b/>
      <w:bCs/>
      <w:i/>
      <w:iCs/>
      <w:color w:val="2F5773" w:themeColor="accent1"/>
      <w:sz w:val="22"/>
      <w:lang w:val="sv-SE"/>
    </w:rPr>
  </w:style>
  <w:style w:type="character" w:customStyle="1" w:styleId="Heading5Char">
    <w:name w:val="Heading 5 Char"/>
    <w:aliases w:val="Cover subtitle white Char"/>
    <w:basedOn w:val="DefaultParagraphFont"/>
    <w:link w:val="Heading5"/>
    <w:semiHidden/>
    <w:rsid w:val="00290DA3"/>
    <w:rPr>
      <w:rFonts w:asciiTheme="majorHAnsi" w:eastAsiaTheme="majorEastAsia" w:hAnsiTheme="majorHAnsi" w:cstheme="majorBidi"/>
      <w:caps/>
      <w:color w:val="FFFFFF" w:themeColor="background1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82AA7"/>
    <w:rPr>
      <w:rFonts w:asciiTheme="majorHAnsi" w:eastAsiaTheme="majorEastAsia" w:hAnsiTheme="majorHAnsi" w:cstheme="majorBidi"/>
      <w:i/>
      <w:iCs/>
      <w:color w:val="172B39" w:themeColor="accent1" w:themeShade="7F"/>
      <w:sz w:val="22"/>
      <w:lang w:val="sv-SE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82AA7"/>
    <w:rPr>
      <w:rFonts w:asciiTheme="majorHAnsi" w:eastAsiaTheme="majorEastAsia" w:hAnsiTheme="majorHAnsi" w:cstheme="majorBidi"/>
      <w:i/>
      <w:iCs/>
      <w:color w:val="404040" w:themeColor="text1" w:themeTint="BF"/>
      <w:sz w:val="22"/>
      <w:lang w:val="sv-SE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82AA7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sv-SE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82AA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sv-SE"/>
    </w:rPr>
  </w:style>
  <w:style w:type="paragraph" w:styleId="BalloonText">
    <w:name w:val="Balloon Text"/>
    <w:basedOn w:val="Normal"/>
    <w:link w:val="BalloonTextChar"/>
    <w:uiPriority w:val="99"/>
    <w:semiHidden/>
    <w:rsid w:val="00372BE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2AA7"/>
    <w:rPr>
      <w:rFonts w:ascii="Lucida Grande" w:hAnsi="Lucida Grande" w:cs="Lucida Grande"/>
      <w:sz w:val="18"/>
      <w:szCs w:val="18"/>
    </w:rPr>
  </w:style>
  <w:style w:type="paragraph" w:customStyle="1" w:styleId="Tableheader">
    <w:name w:val="Table header"/>
    <w:next w:val="Tabledata"/>
    <w:qFormat/>
    <w:rsid w:val="00813BAC"/>
    <w:pPr>
      <w:spacing w:after="80"/>
    </w:pPr>
    <w:rPr>
      <w:rFonts w:ascii="Calibri" w:eastAsia="Times New Roman" w:hAnsi="Calibri" w:cs="Times New Roman"/>
      <w:b/>
      <w:color w:val="000000"/>
      <w:sz w:val="22"/>
      <w:szCs w:val="22"/>
    </w:rPr>
  </w:style>
  <w:style w:type="paragraph" w:customStyle="1" w:styleId="Tabledata">
    <w:name w:val="Table data"/>
    <w:basedOn w:val="body"/>
    <w:qFormat/>
    <w:rsid w:val="00455E0E"/>
    <w:pPr>
      <w:spacing w:before="120" w:line="240" w:lineRule="auto"/>
    </w:pPr>
    <w:rPr>
      <w:rFonts w:eastAsia="Times New Roman" w:cstheme="minorHAnsi"/>
      <w:bCs/>
      <w:color w:val="000000"/>
      <w:sz w:val="20"/>
      <w:szCs w:val="22"/>
      <w:lang w:val="sv-SE" w:eastAsia="en-GB"/>
    </w:rPr>
  </w:style>
  <w:style w:type="paragraph" w:customStyle="1" w:styleId="List1">
    <w:name w:val="List1"/>
    <w:autoRedefine/>
    <w:qFormat/>
    <w:rsid w:val="008F3908"/>
    <w:pPr>
      <w:numPr>
        <w:numId w:val="6"/>
      </w:numPr>
    </w:pPr>
    <w:rPr>
      <w:sz w:val="22"/>
      <w:szCs w:val="22"/>
    </w:rPr>
  </w:style>
  <w:style w:type="paragraph" w:styleId="Footer">
    <w:name w:val="footer"/>
    <w:basedOn w:val="Normal"/>
    <w:link w:val="FooterChar"/>
    <w:rsid w:val="00A00E3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82AA7"/>
    <w:rPr>
      <w:sz w:val="22"/>
    </w:rPr>
  </w:style>
  <w:style w:type="table" w:styleId="TableGrid">
    <w:name w:val="Table Grid"/>
    <w:basedOn w:val="TableProfessional"/>
    <w:uiPriority w:val="59"/>
    <w:rsid w:val="00A14332"/>
    <w:rPr>
      <w:sz w:val="20"/>
      <w:szCs w:val="20"/>
      <w:lang w:val="sv-SE" w:eastAsia="en-GB"/>
    </w:rPr>
    <w:tblPr>
      <w:tblBorders>
        <w:top w:val="none" w:sz="0" w:space="0" w:color="auto"/>
        <w:left w:val="none" w:sz="0" w:space="0" w:color="auto"/>
        <w:bottom w:val="single" w:sz="4" w:space="0" w:color="auto"/>
        <w:right w:val="none" w:sz="0" w:space="0" w:color="auto"/>
        <w:insideH w:val="single" w:sz="4" w:space="0" w:color="auto"/>
        <w:insideV w:val="none" w:sz="0" w:space="0" w:color="auto"/>
      </w:tblBorders>
    </w:tblPr>
    <w:tcPr>
      <w:shd w:val="clear" w:color="auto" w:fill="auto"/>
      <w:vAlign w:val="center"/>
    </w:tcPr>
    <w:tblStylePr w:type="firstRow">
      <w:rPr>
        <w:rFonts w:asciiTheme="minorHAnsi" w:hAnsiTheme="minorHAnsi"/>
        <w:b w:val="0"/>
        <w:bCs/>
        <w:color w:val="auto"/>
        <w:sz w:val="22"/>
      </w:rPr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  <w:shd w:val="clear" w:color="000000" w:fill="auto"/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D56058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shd w:val="solid" w:color="000000" w:fill="FFFFFF"/>
      </w:tcPr>
    </w:tblStylePr>
  </w:style>
  <w:style w:type="paragraph" w:styleId="List">
    <w:name w:val="List"/>
    <w:autoRedefine/>
    <w:uiPriority w:val="99"/>
    <w:semiHidden/>
    <w:qFormat/>
    <w:rsid w:val="007A0054"/>
    <w:pPr>
      <w:numPr>
        <w:numId w:val="7"/>
      </w:numPr>
      <w:spacing w:before="240" w:after="120"/>
      <w:contextualSpacing/>
    </w:pPr>
    <w:rPr>
      <w:sz w:val="22"/>
    </w:rPr>
  </w:style>
  <w:style w:type="paragraph" w:customStyle="1" w:styleId="Titlelevel1">
    <w:name w:val="Title level 1"/>
    <w:autoRedefine/>
    <w:qFormat/>
    <w:rsid w:val="00471CA1"/>
    <w:pPr>
      <w:pBdr>
        <w:bottom w:val="single" w:sz="8" w:space="1" w:color="2F5773" w:themeColor="text2"/>
      </w:pBdr>
      <w:spacing w:before="360" w:after="600" w:line="560" w:lineRule="exact"/>
    </w:pPr>
    <w:rPr>
      <w:rFonts w:asciiTheme="majorHAnsi" w:eastAsiaTheme="majorEastAsia" w:hAnsiTheme="majorHAnsi" w:cstheme="majorBidi"/>
      <w:color w:val="2F5773" w:themeColor="text2"/>
      <w:spacing w:val="5"/>
      <w:kern w:val="28"/>
      <w:sz w:val="52"/>
      <w:szCs w:val="52"/>
    </w:rPr>
  </w:style>
  <w:style w:type="paragraph" w:customStyle="1" w:styleId="Titlelevel3">
    <w:name w:val="Title level 3"/>
    <w:qFormat/>
    <w:rsid w:val="005D4005"/>
    <w:pPr>
      <w:spacing w:before="240" w:after="240"/>
    </w:pPr>
    <w:rPr>
      <w:b/>
      <w:color w:val="2F5773" w:themeColor="text2"/>
    </w:rPr>
  </w:style>
  <w:style w:type="paragraph" w:customStyle="1" w:styleId="Titlelevel4">
    <w:name w:val="Title level 4"/>
    <w:next w:val="body"/>
    <w:qFormat/>
    <w:rsid w:val="00AE55F6"/>
    <w:pPr>
      <w:spacing w:before="240" w:after="240"/>
    </w:pPr>
    <w:rPr>
      <w:color w:val="E98E31" w:themeColor="background2"/>
    </w:rPr>
  </w:style>
  <w:style w:type="paragraph" w:customStyle="1" w:styleId="Figuretitle">
    <w:name w:val="Figure title"/>
    <w:basedOn w:val="body"/>
    <w:next w:val="Normal"/>
    <w:autoRedefine/>
    <w:qFormat/>
    <w:rsid w:val="003221EF"/>
    <w:pPr>
      <w:keepNext/>
      <w:spacing w:before="360" w:after="360"/>
    </w:pPr>
    <w:rPr>
      <w:rFonts w:eastAsia="Times New Roman" w:cs="Times New Roman"/>
      <w:bCs/>
      <w:noProof/>
      <w:color w:val="2F5773" w:themeColor="text2"/>
      <w:szCs w:val="20"/>
      <w:lang w:val="sv-SE" w:eastAsia="en-GB"/>
    </w:rPr>
  </w:style>
  <w:style w:type="table" w:customStyle="1" w:styleId="EBAtable">
    <w:name w:val="EBA table"/>
    <w:basedOn w:val="TableNormal"/>
    <w:uiPriority w:val="99"/>
    <w:rsid w:val="002434B0"/>
    <w:tblPr>
      <w:tblBorders>
        <w:bottom w:val="single" w:sz="2" w:space="0" w:color="000000" w:themeColor="text1"/>
        <w:insideH w:val="single" w:sz="2" w:space="0" w:color="000000" w:themeColor="text1"/>
      </w:tblBorders>
    </w:tblPr>
    <w:tcPr>
      <w:vAlign w:val="center"/>
    </w:tcPr>
    <w:tblStylePr w:type="firstRow">
      <w:pPr>
        <w:jc w:val="left"/>
      </w:pPr>
      <w:tblPr/>
      <w:trPr>
        <w:tblHeader/>
      </w:trPr>
      <w:tcPr>
        <w:tcBorders>
          <w:top w:val="nil"/>
          <w:left w:val="nil"/>
          <w:bottom w:val="single" w:sz="18" w:space="0" w:color="E98E31" w:themeColor="background2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nil"/>
          <w:left w:val="nil"/>
          <w:bottom w:val="single" w:sz="4" w:space="0" w:color="E98E31" w:themeColor="background2"/>
          <w:right w:val="nil"/>
          <w:insideH w:val="nil"/>
          <w:insideV w:val="nil"/>
          <w:tl2br w:val="nil"/>
          <w:tr2bl w:val="nil"/>
        </w:tcBorders>
      </w:tcPr>
    </w:tblStylePr>
  </w:style>
  <w:style w:type="character" w:styleId="PageNumber">
    <w:name w:val="page number"/>
    <w:basedOn w:val="DefaultParagraphFont"/>
    <w:uiPriority w:val="99"/>
    <w:semiHidden/>
    <w:rsid w:val="00610305"/>
    <w:rPr>
      <w:rFonts w:asciiTheme="minorHAnsi" w:hAnsiTheme="minorHAnsi"/>
      <w:color w:val="auto"/>
      <w:sz w:val="22"/>
    </w:rPr>
  </w:style>
  <w:style w:type="paragraph" w:customStyle="1" w:styleId="Runningtitle">
    <w:name w:val="Running title"/>
    <w:qFormat/>
    <w:rsid w:val="009F53AF"/>
    <w:rPr>
      <w:caps/>
      <w:sz w:val="16"/>
      <w:szCs w:val="18"/>
    </w:rPr>
  </w:style>
  <w:style w:type="paragraph" w:styleId="FootnoteText">
    <w:name w:val="footnote text"/>
    <w:basedOn w:val="body"/>
    <w:link w:val="FootnoteTextChar"/>
    <w:autoRedefine/>
    <w:qFormat/>
    <w:rsid w:val="004B070F"/>
    <w:pPr>
      <w:spacing w:before="80" w:after="0" w:line="200" w:lineRule="exact"/>
    </w:pPr>
    <w:rPr>
      <w:sz w:val="18"/>
      <w:szCs w:val="18"/>
    </w:rPr>
  </w:style>
  <w:style w:type="character" w:customStyle="1" w:styleId="FootnoteTextChar">
    <w:name w:val="Footnote Text Char"/>
    <w:basedOn w:val="DefaultParagraphFont"/>
    <w:link w:val="FootnoteText"/>
    <w:rsid w:val="004B070F"/>
    <w:rPr>
      <w:sz w:val="18"/>
      <w:szCs w:val="18"/>
    </w:rPr>
  </w:style>
  <w:style w:type="character" w:styleId="FootnoteReference">
    <w:name w:val="footnote reference"/>
    <w:aliases w:val="Footnote Reference Number,Footnote Reference_LVL6,Footnote Reference_LVL61,Footnote Reference_LVL62,Footnote Reference_LVL63,Footnote Reference_LVL64,Footnote symbol,Footnote reference number,Fußnotenzeichen3,Char1"/>
    <w:basedOn w:val="DefaultParagraphFont"/>
    <w:uiPriority w:val="99"/>
    <w:qFormat/>
    <w:rsid w:val="00B13C87"/>
    <w:rPr>
      <w:rFonts w:asciiTheme="minorHAnsi" w:hAnsiTheme="minorHAnsi"/>
      <w:sz w:val="22"/>
      <w:szCs w:val="18"/>
      <w:vertAlign w:val="superscript"/>
    </w:rPr>
  </w:style>
  <w:style w:type="paragraph" w:customStyle="1" w:styleId="bullet1">
    <w:name w:val="bullet 1"/>
    <w:basedOn w:val="body"/>
    <w:next w:val="body"/>
    <w:qFormat/>
    <w:rsid w:val="001C5BC2"/>
    <w:pPr>
      <w:numPr>
        <w:numId w:val="3"/>
      </w:numPr>
    </w:pPr>
    <w:rPr>
      <w:szCs w:val="22"/>
    </w:rPr>
  </w:style>
  <w:style w:type="paragraph" w:styleId="TOC1">
    <w:name w:val="toc 1"/>
    <w:autoRedefine/>
    <w:uiPriority w:val="39"/>
    <w:qFormat/>
    <w:rsid w:val="00C47E8F"/>
    <w:pPr>
      <w:tabs>
        <w:tab w:val="left" w:pos="312"/>
        <w:tab w:val="left" w:pos="421"/>
        <w:tab w:val="right" w:pos="8771"/>
      </w:tabs>
      <w:spacing w:before="120" w:after="120"/>
      <w:outlineLvl w:val="0"/>
    </w:pPr>
    <w:rPr>
      <w:b/>
      <w:bCs/>
      <w:noProof/>
      <w:color w:val="2F5773" w:themeColor="text2"/>
      <w:sz w:val="22"/>
      <w:szCs w:val="22"/>
    </w:rPr>
  </w:style>
  <w:style w:type="paragraph" w:styleId="TOC2">
    <w:name w:val="toc 2"/>
    <w:next w:val="Normal"/>
    <w:autoRedefine/>
    <w:uiPriority w:val="39"/>
    <w:qFormat/>
    <w:rsid w:val="00C41927"/>
    <w:pPr>
      <w:tabs>
        <w:tab w:val="left" w:pos="529"/>
        <w:tab w:val="right" w:pos="8771"/>
      </w:tabs>
      <w:spacing w:before="80" w:after="80"/>
    </w:pPr>
    <w:rPr>
      <w:noProof/>
      <w:sz w:val="22"/>
      <w:szCs w:val="22"/>
    </w:rPr>
  </w:style>
  <w:style w:type="paragraph" w:styleId="TOC3">
    <w:name w:val="toc 3"/>
    <w:basedOn w:val="Normal"/>
    <w:next w:val="Normal"/>
    <w:autoRedefine/>
    <w:uiPriority w:val="39"/>
    <w:qFormat/>
    <w:rsid w:val="00663B0A"/>
    <w:pPr>
      <w:tabs>
        <w:tab w:val="right" w:pos="8771"/>
      </w:tabs>
      <w:ind w:left="567"/>
    </w:pPr>
    <w:rPr>
      <w:szCs w:val="22"/>
    </w:rPr>
  </w:style>
  <w:style w:type="paragraph" w:styleId="TOC4">
    <w:name w:val="toc 4"/>
    <w:basedOn w:val="Normal"/>
    <w:next w:val="Normal"/>
    <w:autoRedefine/>
    <w:uiPriority w:val="39"/>
    <w:rsid w:val="00EE456B"/>
    <w:pPr>
      <w:tabs>
        <w:tab w:val="right" w:pos="8771"/>
      </w:tabs>
      <w:ind w:left="1134"/>
    </w:pPr>
    <w:rPr>
      <w:szCs w:val="22"/>
    </w:rPr>
  </w:style>
  <w:style w:type="paragraph" w:customStyle="1" w:styleId="bullet2">
    <w:name w:val="bullet 2"/>
    <w:basedOn w:val="body"/>
    <w:qFormat/>
    <w:rsid w:val="001C5BC2"/>
    <w:pPr>
      <w:numPr>
        <w:numId w:val="2"/>
      </w:numPr>
    </w:pPr>
    <w:rPr>
      <w:szCs w:val="22"/>
    </w:rPr>
  </w:style>
  <w:style w:type="paragraph" w:customStyle="1" w:styleId="Numberedtitlelevel3">
    <w:name w:val="Numbered title level 3"/>
    <w:basedOn w:val="Titlelevel3"/>
    <w:next w:val="body"/>
    <w:qFormat/>
    <w:rsid w:val="008F3908"/>
    <w:pPr>
      <w:numPr>
        <w:ilvl w:val="2"/>
        <w:numId w:val="8"/>
      </w:numPr>
    </w:pPr>
  </w:style>
  <w:style w:type="table" w:styleId="LightShading">
    <w:name w:val="Light Shading"/>
    <w:basedOn w:val="TableNormal"/>
    <w:uiPriority w:val="60"/>
    <w:rsid w:val="00F942CA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45301B"/>
    <w:rPr>
      <w:color w:val="234156" w:themeColor="accent1" w:themeShade="BF"/>
    </w:rPr>
    <w:tblPr>
      <w:tblStyleRowBandSize w:val="1"/>
      <w:tblStyleColBandSize w:val="1"/>
      <w:tblBorders>
        <w:top w:val="single" w:sz="8" w:space="0" w:color="2F5773" w:themeColor="accent1"/>
        <w:bottom w:val="single" w:sz="8" w:space="0" w:color="2F5773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2F5773" w:themeColor="accent1"/>
          <w:left w:val="nil"/>
          <w:bottom w:val="single" w:sz="8" w:space="0" w:color="2F5773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2F5773" w:themeColor="accent1"/>
          <w:left w:val="nil"/>
          <w:bottom w:val="single" w:sz="8" w:space="0" w:color="2F5773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1D7E6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1D7E6" w:themeFill="accent1" w:themeFillTint="3F"/>
      </w:tcPr>
    </w:tblStylePr>
  </w:style>
  <w:style w:type="paragraph" w:customStyle="1" w:styleId="Contenttitle">
    <w:name w:val="Content title"/>
    <w:basedOn w:val="Titlelevel1"/>
    <w:qFormat/>
    <w:rsid w:val="00172007"/>
  </w:style>
  <w:style w:type="paragraph" w:customStyle="1" w:styleId="Numberedtitlelevel4">
    <w:name w:val="Numbered title level 4"/>
    <w:basedOn w:val="Titlelevel4"/>
    <w:qFormat/>
    <w:rsid w:val="005D4005"/>
    <w:pPr>
      <w:numPr>
        <w:numId w:val="5"/>
      </w:numPr>
    </w:pPr>
  </w:style>
  <w:style w:type="paragraph" w:styleId="Header">
    <w:name w:val="header"/>
    <w:basedOn w:val="Normal"/>
    <w:link w:val="HeaderChar"/>
    <w:uiPriority w:val="99"/>
    <w:rsid w:val="00A9244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82AA7"/>
    <w:rPr>
      <w:sz w:val="22"/>
    </w:rPr>
  </w:style>
  <w:style w:type="paragraph" w:styleId="Title">
    <w:name w:val="Title"/>
    <w:basedOn w:val="Normal"/>
    <w:next w:val="Normal"/>
    <w:link w:val="TitleChar"/>
    <w:qFormat/>
    <w:rsid w:val="004719B4"/>
    <w:pPr>
      <w:pBdr>
        <w:bottom w:val="single" w:sz="8" w:space="4" w:color="2F5773" w:themeColor="accent1"/>
      </w:pBdr>
      <w:spacing w:after="300"/>
      <w:contextualSpacing/>
    </w:pPr>
    <w:rPr>
      <w:rFonts w:asciiTheme="majorHAnsi" w:eastAsiaTheme="majorEastAsia" w:hAnsiTheme="majorHAnsi" w:cstheme="majorBidi"/>
      <w:color w:val="2F5773" w:themeColor="text2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582AA7"/>
    <w:rPr>
      <w:rFonts w:asciiTheme="majorHAnsi" w:eastAsiaTheme="majorEastAsia" w:hAnsiTheme="majorHAnsi" w:cstheme="majorBidi"/>
      <w:color w:val="2F5773" w:themeColor="text2"/>
      <w:spacing w:val="5"/>
      <w:kern w:val="28"/>
      <w:sz w:val="52"/>
      <w:szCs w:val="52"/>
    </w:rPr>
  </w:style>
  <w:style w:type="paragraph" w:styleId="TableofFigures">
    <w:name w:val="table of figures"/>
    <w:basedOn w:val="Normal"/>
    <w:next w:val="Normal"/>
    <w:autoRedefine/>
    <w:uiPriority w:val="99"/>
    <w:qFormat/>
    <w:rsid w:val="00172007"/>
    <w:pPr>
      <w:spacing w:before="160"/>
    </w:pPr>
  </w:style>
  <w:style w:type="paragraph" w:styleId="Subtitle">
    <w:name w:val="Subtitle"/>
    <w:next w:val="Normal"/>
    <w:link w:val="SubtitleChar"/>
    <w:autoRedefine/>
    <w:uiPriority w:val="11"/>
    <w:qFormat/>
    <w:rsid w:val="004719B4"/>
    <w:pPr>
      <w:numPr>
        <w:ilvl w:val="1"/>
      </w:numPr>
      <w:spacing w:before="240" w:after="120"/>
    </w:pPr>
    <w:rPr>
      <w:rFonts w:asciiTheme="majorHAnsi" w:eastAsiaTheme="majorEastAsia" w:hAnsiTheme="majorHAnsi" w:cstheme="majorBidi"/>
      <w:color w:val="2F5773" w:themeColor="accent1"/>
      <w:sz w:val="32"/>
      <w:szCs w:val="32"/>
      <w:lang w:val="sv-SE"/>
    </w:rPr>
  </w:style>
  <w:style w:type="character" w:customStyle="1" w:styleId="SubtitleChar">
    <w:name w:val="Subtitle Char"/>
    <w:basedOn w:val="DefaultParagraphFont"/>
    <w:link w:val="Subtitle"/>
    <w:uiPriority w:val="11"/>
    <w:rsid w:val="00290DA3"/>
    <w:rPr>
      <w:rFonts w:asciiTheme="majorHAnsi" w:eastAsiaTheme="majorEastAsia" w:hAnsiTheme="majorHAnsi" w:cstheme="majorBidi"/>
      <w:color w:val="2F5773" w:themeColor="accent1"/>
      <w:sz w:val="32"/>
      <w:szCs w:val="32"/>
      <w:lang w:val="sv-SE"/>
    </w:rPr>
  </w:style>
  <w:style w:type="character" w:styleId="BookTitle">
    <w:name w:val="Book Title"/>
    <w:basedOn w:val="DefaultParagraphFont"/>
    <w:uiPriority w:val="33"/>
    <w:qFormat/>
    <w:rsid w:val="000D7A44"/>
    <w:rPr>
      <w:b/>
      <w:bCs/>
      <w:smallCaps/>
      <w:spacing w:val="5"/>
    </w:rPr>
  </w:style>
  <w:style w:type="character" w:customStyle="1" w:styleId="Highlighttext">
    <w:name w:val="Highlight text"/>
    <w:basedOn w:val="DefaultParagraphFont"/>
    <w:uiPriority w:val="1"/>
    <w:semiHidden/>
    <w:qFormat/>
    <w:rsid w:val="00AE55F6"/>
    <w:rPr>
      <w:rFonts w:asciiTheme="minorHAnsi" w:hAnsiTheme="minorHAnsi"/>
      <w:b/>
      <w:bCs/>
      <w:caps w:val="0"/>
      <w:smallCaps w:val="0"/>
      <w:color w:val="E98E31" w:themeColor="background2"/>
      <w:sz w:val="22"/>
      <w:szCs w:val="22"/>
    </w:rPr>
  </w:style>
  <w:style w:type="paragraph" w:customStyle="1" w:styleId="abbreviation">
    <w:name w:val="abbreviation"/>
    <w:basedOn w:val="Tableheader"/>
    <w:qFormat/>
    <w:rsid w:val="00455E0E"/>
    <w:rPr>
      <w:bCs/>
      <w:lang w:val="sv-SE" w:eastAsia="en-GB"/>
    </w:rPr>
  </w:style>
  <w:style w:type="paragraph" w:styleId="ListBullet">
    <w:name w:val="List Bullet"/>
    <w:basedOn w:val="Normal"/>
    <w:semiHidden/>
    <w:qFormat/>
    <w:rsid w:val="00A304D0"/>
    <w:pPr>
      <w:numPr>
        <w:numId w:val="10"/>
      </w:numPr>
      <w:contextualSpacing/>
    </w:pPr>
  </w:style>
  <w:style w:type="character" w:styleId="Hyperlink">
    <w:name w:val="Hyperlink"/>
    <w:basedOn w:val="DefaultParagraphFont"/>
    <w:uiPriority w:val="99"/>
    <w:rsid w:val="00392385"/>
    <w:rPr>
      <w:color w:val="2F5773" w:themeColor="hyperlink"/>
      <w:u w:val="single"/>
    </w:rPr>
  </w:style>
  <w:style w:type="paragraph" w:customStyle="1" w:styleId="numberedparagraph">
    <w:name w:val="numbered paragraph"/>
    <w:basedOn w:val="body"/>
    <w:qFormat/>
    <w:rsid w:val="00E22BCE"/>
    <w:pPr>
      <w:numPr>
        <w:numId w:val="9"/>
      </w:numPr>
    </w:pPr>
  </w:style>
  <w:style w:type="paragraph" w:styleId="TOC5">
    <w:name w:val="toc 5"/>
    <w:basedOn w:val="Normal"/>
    <w:next w:val="Normal"/>
    <w:autoRedefine/>
    <w:uiPriority w:val="39"/>
    <w:semiHidden/>
    <w:rsid w:val="00B526A8"/>
    <w:pPr>
      <w:ind w:left="880"/>
    </w:pPr>
  </w:style>
  <w:style w:type="paragraph" w:styleId="TOC6">
    <w:name w:val="toc 6"/>
    <w:basedOn w:val="Normal"/>
    <w:next w:val="Normal"/>
    <w:autoRedefine/>
    <w:uiPriority w:val="39"/>
    <w:semiHidden/>
    <w:rsid w:val="00B526A8"/>
    <w:pPr>
      <w:ind w:left="1100"/>
    </w:pPr>
  </w:style>
  <w:style w:type="paragraph" w:styleId="TOC7">
    <w:name w:val="toc 7"/>
    <w:basedOn w:val="Normal"/>
    <w:next w:val="Normal"/>
    <w:autoRedefine/>
    <w:uiPriority w:val="39"/>
    <w:semiHidden/>
    <w:rsid w:val="00B526A8"/>
    <w:pPr>
      <w:ind w:left="1320"/>
    </w:pPr>
  </w:style>
  <w:style w:type="paragraph" w:styleId="TOC8">
    <w:name w:val="toc 8"/>
    <w:basedOn w:val="Normal"/>
    <w:next w:val="Normal"/>
    <w:autoRedefine/>
    <w:uiPriority w:val="39"/>
    <w:semiHidden/>
    <w:rsid w:val="00B526A8"/>
    <w:pPr>
      <w:ind w:left="1540"/>
    </w:pPr>
  </w:style>
  <w:style w:type="paragraph" w:styleId="TOC9">
    <w:name w:val="toc 9"/>
    <w:basedOn w:val="Normal"/>
    <w:next w:val="Normal"/>
    <w:autoRedefine/>
    <w:uiPriority w:val="39"/>
    <w:semiHidden/>
    <w:rsid w:val="00B526A8"/>
    <w:pPr>
      <w:ind w:left="1760"/>
    </w:pPr>
  </w:style>
  <w:style w:type="paragraph" w:customStyle="1" w:styleId="Default">
    <w:name w:val="Default"/>
    <w:rsid w:val="000C7FD8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lang w:val="sv-SE"/>
    </w:rPr>
  </w:style>
  <w:style w:type="paragraph" w:styleId="TOCHeading">
    <w:name w:val="TOC Heading"/>
    <w:basedOn w:val="Heading1"/>
    <w:next w:val="Normal"/>
    <w:uiPriority w:val="39"/>
    <w:semiHidden/>
    <w:qFormat/>
    <w:rsid w:val="00B43E07"/>
    <w:pPr>
      <w:spacing w:before="480"/>
      <w:outlineLvl w:val="9"/>
    </w:pPr>
    <w:rPr>
      <w:caps w:val="0"/>
      <w:color w:val="234156" w:themeColor="accent1" w:themeShade="BF"/>
      <w:sz w:val="28"/>
      <w:szCs w:val="28"/>
    </w:rPr>
  </w:style>
  <w:style w:type="character" w:customStyle="1" w:styleId="Marker">
    <w:name w:val="Marker"/>
    <w:rsid w:val="00B43E07"/>
    <w:rPr>
      <w:color w:val="0000FF"/>
      <w:shd w:val="clear" w:color="auto" w:fill="auto"/>
    </w:rPr>
  </w:style>
  <w:style w:type="character" w:customStyle="1" w:styleId="Marker2">
    <w:name w:val="Marker2"/>
    <w:rsid w:val="00B43E07"/>
    <w:rPr>
      <w:color w:val="FF0000"/>
      <w:shd w:val="clear" w:color="auto" w:fill="auto"/>
    </w:rPr>
  </w:style>
  <w:style w:type="paragraph" w:customStyle="1" w:styleId="Annexetitre">
    <w:name w:val="Annexe titre"/>
    <w:basedOn w:val="Normal"/>
    <w:next w:val="Normal"/>
    <w:rsid w:val="00B43E07"/>
    <w:pPr>
      <w:spacing w:before="120" w:after="120"/>
      <w:jc w:val="center"/>
    </w:pPr>
    <w:rPr>
      <w:rFonts w:ascii="Times New Roman" w:eastAsia="Times New Roman" w:hAnsi="Times New Roman" w:cs="Times New Roman"/>
      <w:b/>
      <w:sz w:val="24"/>
      <w:u w:val="single"/>
    </w:rPr>
  </w:style>
  <w:style w:type="paragraph" w:customStyle="1" w:styleId="Applicationdirecte">
    <w:name w:val="Application directe"/>
    <w:basedOn w:val="Normal"/>
    <w:next w:val="Fait"/>
    <w:rsid w:val="00B43E07"/>
    <w:pPr>
      <w:spacing w:before="480" w:after="12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Considrant">
    <w:name w:val="Considérant"/>
    <w:basedOn w:val="Normal"/>
    <w:rsid w:val="00B43E07"/>
    <w:pPr>
      <w:numPr>
        <w:numId w:val="11"/>
      </w:numPr>
      <w:spacing w:before="120" w:after="12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Datedadoption">
    <w:name w:val="Date d'adoption"/>
    <w:basedOn w:val="Normal"/>
    <w:next w:val="Titreobjet"/>
    <w:rsid w:val="00B43E07"/>
    <w:pPr>
      <w:spacing w:before="360"/>
      <w:jc w:val="center"/>
    </w:pPr>
    <w:rPr>
      <w:rFonts w:ascii="Times New Roman" w:eastAsia="Times New Roman" w:hAnsi="Times New Roman" w:cs="Times New Roman"/>
      <w:b/>
      <w:sz w:val="24"/>
    </w:rPr>
  </w:style>
  <w:style w:type="paragraph" w:customStyle="1" w:styleId="Fait">
    <w:name w:val="Fait à"/>
    <w:basedOn w:val="Normal"/>
    <w:next w:val="Institutionquisigne"/>
    <w:rsid w:val="00B43E07"/>
    <w:pPr>
      <w:keepNext/>
      <w:spacing w:before="12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Formuledadoption">
    <w:name w:val="Formule d'adoption"/>
    <w:basedOn w:val="Normal"/>
    <w:next w:val="Titrearticle"/>
    <w:rsid w:val="00B43E07"/>
    <w:pPr>
      <w:keepNext/>
      <w:spacing w:before="120" w:after="12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Institutionquisigne">
    <w:name w:val="Institution qui signe"/>
    <w:basedOn w:val="Normal"/>
    <w:next w:val="Personnequisigne"/>
    <w:rsid w:val="00B43E07"/>
    <w:pPr>
      <w:keepNext/>
      <w:tabs>
        <w:tab w:val="left" w:pos="4252"/>
      </w:tabs>
      <w:spacing w:before="720"/>
      <w:jc w:val="both"/>
    </w:pPr>
    <w:rPr>
      <w:rFonts w:ascii="Times New Roman" w:eastAsia="Times New Roman" w:hAnsi="Times New Roman" w:cs="Times New Roman"/>
      <w:i/>
      <w:sz w:val="24"/>
    </w:rPr>
  </w:style>
  <w:style w:type="paragraph" w:customStyle="1" w:styleId="Personnequisigne">
    <w:name w:val="Personne qui signe"/>
    <w:basedOn w:val="Normal"/>
    <w:next w:val="Institutionquisigne"/>
    <w:rsid w:val="00B43E07"/>
    <w:pPr>
      <w:tabs>
        <w:tab w:val="left" w:pos="4252"/>
      </w:tabs>
    </w:pPr>
    <w:rPr>
      <w:rFonts w:ascii="Times New Roman" w:eastAsia="Times New Roman" w:hAnsi="Times New Roman" w:cs="Times New Roman"/>
      <w:i/>
      <w:sz w:val="24"/>
    </w:rPr>
  </w:style>
  <w:style w:type="paragraph" w:customStyle="1" w:styleId="Titrearticle">
    <w:name w:val="Titre article"/>
    <w:basedOn w:val="Normal"/>
    <w:next w:val="Normal"/>
    <w:rsid w:val="00B43E07"/>
    <w:pPr>
      <w:keepNext/>
      <w:spacing w:before="360" w:after="120"/>
      <w:jc w:val="center"/>
    </w:pPr>
    <w:rPr>
      <w:rFonts w:ascii="Times New Roman" w:eastAsia="Times New Roman" w:hAnsi="Times New Roman" w:cs="Times New Roman"/>
      <w:i/>
      <w:sz w:val="24"/>
    </w:rPr>
  </w:style>
  <w:style w:type="paragraph" w:customStyle="1" w:styleId="Titreobjet">
    <w:name w:val="Titre objet"/>
    <w:basedOn w:val="Normal"/>
    <w:next w:val="Normal"/>
    <w:rsid w:val="00B43E07"/>
    <w:pPr>
      <w:spacing w:before="360" w:after="360"/>
      <w:jc w:val="center"/>
    </w:pPr>
    <w:rPr>
      <w:rFonts w:ascii="Times New Roman" w:eastAsia="Times New Roman" w:hAnsi="Times New Roman" w:cs="Times New Roman"/>
      <w:b/>
      <w:sz w:val="24"/>
    </w:rPr>
  </w:style>
  <w:style w:type="paragraph" w:customStyle="1" w:styleId="Typedudocument">
    <w:name w:val="Type du document"/>
    <w:basedOn w:val="Normal"/>
    <w:next w:val="Titreobjet"/>
    <w:rsid w:val="00B43E07"/>
    <w:pPr>
      <w:spacing w:before="360"/>
      <w:jc w:val="center"/>
    </w:pPr>
    <w:rPr>
      <w:rFonts w:ascii="Times New Roman" w:eastAsia="Times New Roman" w:hAnsi="Times New Roman" w:cs="Times New Roman"/>
      <w:b/>
      <w:sz w:val="24"/>
    </w:rPr>
  </w:style>
  <w:style w:type="paragraph" w:customStyle="1" w:styleId="Pagedecouverture">
    <w:name w:val="Page de couverture"/>
    <w:basedOn w:val="Normal"/>
    <w:next w:val="Normal"/>
    <w:rsid w:val="00B43E07"/>
    <w:pPr>
      <w:spacing w:before="120" w:after="12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Institutionquiagit">
    <w:name w:val="Institution qui agit"/>
    <w:basedOn w:val="Normal"/>
    <w:next w:val="Normal"/>
    <w:rsid w:val="00B43E07"/>
    <w:pPr>
      <w:keepNext/>
      <w:spacing w:before="600" w:after="120"/>
      <w:jc w:val="both"/>
    </w:pPr>
    <w:rPr>
      <w:rFonts w:ascii="Times New Roman" w:eastAsia="Times New Roman" w:hAnsi="Times New Roman" w:cs="Times New Roman"/>
      <w:sz w:val="24"/>
    </w:rPr>
  </w:style>
  <w:style w:type="paragraph" w:styleId="ListParagraph">
    <w:name w:val="List Paragraph"/>
    <w:basedOn w:val="Normal"/>
    <w:uiPriority w:val="34"/>
    <w:qFormat/>
    <w:rsid w:val="009F12DA"/>
    <w:pPr>
      <w:ind w:left="720"/>
    </w:pPr>
    <w:rPr>
      <w:rFonts w:ascii="Calibri" w:eastAsia="Calibri" w:hAnsi="Calibri" w:cs="Times New Roman"/>
      <w:szCs w:val="22"/>
    </w:rPr>
  </w:style>
  <w:style w:type="character" w:styleId="CommentReference">
    <w:name w:val="annotation reference"/>
    <w:basedOn w:val="DefaultParagraphFont"/>
    <w:uiPriority w:val="99"/>
    <w:unhideWhenUsed/>
    <w:rsid w:val="00E7159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7159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7159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7159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7159B"/>
    <w:rPr>
      <w:b/>
      <w:bCs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D120EF"/>
    <w:pPr>
      <w:spacing w:after="200"/>
    </w:pPr>
    <w:rPr>
      <w:b/>
      <w:bCs/>
      <w:color w:val="2F5773" w:themeColor="accent1"/>
      <w:sz w:val="18"/>
      <w:szCs w:val="18"/>
    </w:rPr>
  </w:style>
  <w:style w:type="paragraph" w:customStyle="1" w:styleId="TableMainHeading">
    <w:name w:val="TableMainHeading"/>
    <w:basedOn w:val="Normal"/>
    <w:next w:val="Normal"/>
    <w:uiPriority w:val="99"/>
    <w:rsid w:val="00810F8E"/>
    <w:pPr>
      <w:spacing w:before="120" w:after="120"/>
    </w:pPr>
    <w:rPr>
      <w:rFonts w:ascii="Segoe UI" w:eastAsia="Times New Roman" w:hAnsi="Segoe UI" w:cs="Times New Roman"/>
      <w:szCs w:val="20"/>
    </w:rPr>
  </w:style>
  <w:style w:type="paragraph" w:customStyle="1" w:styleId="TableNote">
    <w:name w:val="TableNote"/>
    <w:basedOn w:val="Normal"/>
    <w:rsid w:val="006F0B70"/>
    <w:pPr>
      <w:spacing w:before="60" w:after="120"/>
      <w:jc w:val="both"/>
    </w:pPr>
    <w:rPr>
      <w:rFonts w:ascii="Segoe UI" w:eastAsia="Times New Roman" w:hAnsi="Segoe UI" w:cs="Times New Roman"/>
      <w:sz w:val="15"/>
      <w:szCs w:val="20"/>
    </w:rPr>
  </w:style>
  <w:style w:type="paragraph" w:customStyle="1" w:styleId="CM11">
    <w:name w:val="CM1+1"/>
    <w:basedOn w:val="Default"/>
    <w:next w:val="Default"/>
    <w:uiPriority w:val="99"/>
    <w:rsid w:val="008539BB"/>
    <w:rPr>
      <w:rFonts w:ascii="EUAlbertina" w:eastAsiaTheme="minorEastAsia" w:hAnsi="EUAlbertina" w:cstheme="minorBidi"/>
      <w:color w:val="auto"/>
      <w:lang w:val="sv-SE"/>
    </w:rPr>
  </w:style>
  <w:style w:type="paragraph" w:customStyle="1" w:styleId="CM31">
    <w:name w:val="CM3+1"/>
    <w:basedOn w:val="Default"/>
    <w:next w:val="Default"/>
    <w:uiPriority w:val="99"/>
    <w:rsid w:val="008539BB"/>
    <w:rPr>
      <w:rFonts w:ascii="EUAlbertina" w:eastAsiaTheme="minorEastAsia" w:hAnsi="EUAlbertina" w:cstheme="minorBidi"/>
      <w:color w:val="auto"/>
      <w:lang w:val="sv-SE"/>
    </w:rPr>
  </w:style>
  <w:style w:type="paragraph" w:customStyle="1" w:styleId="CM13">
    <w:name w:val="CM1+3"/>
    <w:basedOn w:val="Default"/>
    <w:next w:val="Default"/>
    <w:uiPriority w:val="99"/>
    <w:rsid w:val="004B3092"/>
    <w:rPr>
      <w:rFonts w:ascii="EUAlbertina" w:eastAsiaTheme="minorEastAsia" w:hAnsi="EUAlbertina" w:cstheme="minorBidi"/>
      <w:color w:val="auto"/>
      <w:lang w:val="sv-SE"/>
    </w:rPr>
  </w:style>
  <w:style w:type="paragraph" w:customStyle="1" w:styleId="CM33">
    <w:name w:val="CM3+3"/>
    <w:basedOn w:val="Default"/>
    <w:next w:val="Default"/>
    <w:uiPriority w:val="99"/>
    <w:rsid w:val="004B3092"/>
    <w:rPr>
      <w:rFonts w:ascii="EUAlbertina" w:eastAsiaTheme="minorEastAsia" w:hAnsi="EUAlbertina" w:cstheme="minorBidi"/>
      <w:color w:val="auto"/>
      <w:lang w:val="sv-SE"/>
    </w:rPr>
  </w:style>
  <w:style w:type="paragraph" w:styleId="Revision">
    <w:name w:val="Revision"/>
    <w:hidden/>
    <w:uiPriority w:val="99"/>
    <w:semiHidden/>
    <w:rsid w:val="00997826"/>
    <w:rPr>
      <w:sz w:val="22"/>
    </w:rPr>
  </w:style>
  <w:style w:type="character" w:customStyle="1" w:styleId="InstructionsTextChar">
    <w:name w:val="Instructions Text Char"/>
    <w:link w:val="InstructionsText"/>
    <w:locked/>
    <w:rsid w:val="00677BB2"/>
    <w:rPr>
      <w:rFonts w:ascii="Times New Roman" w:hAnsi="Times New Roman" w:cs="Times New Roman"/>
      <w:b/>
      <w:bCs/>
      <w:lang w:val="sv-SE" w:eastAsia="de-DE"/>
    </w:rPr>
  </w:style>
  <w:style w:type="paragraph" w:customStyle="1" w:styleId="InstructionsText">
    <w:name w:val="Instructions Text"/>
    <w:basedOn w:val="Normal"/>
    <w:link w:val="InstructionsTextChar"/>
    <w:autoRedefine/>
    <w:rsid w:val="00677BB2"/>
    <w:pPr>
      <w:spacing w:after="120"/>
      <w:ind w:left="61" w:hanging="28"/>
      <w:jc w:val="both"/>
    </w:pPr>
    <w:rPr>
      <w:rFonts w:ascii="Times New Roman" w:hAnsi="Times New Roman" w:cs="Times New Roman"/>
      <w:b/>
      <w:bCs/>
      <w:sz w:val="24"/>
      <w:lang w:eastAsia="de-DE"/>
    </w:rPr>
  </w:style>
  <w:style w:type="paragraph" w:customStyle="1" w:styleId="TableParagraph">
    <w:name w:val="Table Paragraph"/>
    <w:basedOn w:val="Normal"/>
    <w:uiPriority w:val="1"/>
    <w:qFormat/>
    <w:rsid w:val="009501D6"/>
    <w:pPr>
      <w:widowControl w:val="0"/>
    </w:pPr>
    <w:rPr>
      <w:rFonts w:eastAsiaTheme="minorHAnsi"/>
      <w:szCs w:val="22"/>
    </w:rPr>
  </w:style>
  <w:style w:type="character" w:customStyle="1" w:styleId="TeksttreciPogrubienie">
    <w:name w:val="Tekst treści + Pogrubienie"/>
    <w:basedOn w:val="DefaultParagraphFont"/>
    <w:rsid w:val="00816C37"/>
    <w:rPr>
      <w:rFonts w:ascii="Book Antiqua" w:eastAsia="Book Antiqua" w:hAnsi="Book Antiqua" w:cs="Book Antiqua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sv-SE"/>
    </w:rPr>
  </w:style>
  <w:style w:type="character" w:customStyle="1" w:styleId="Teksttreci">
    <w:name w:val="Tekst treści_"/>
    <w:basedOn w:val="DefaultParagraphFont"/>
    <w:link w:val="Teksttreci0"/>
    <w:rsid w:val="00816C37"/>
    <w:rPr>
      <w:rFonts w:ascii="Book Antiqua" w:eastAsia="Book Antiqua" w:hAnsi="Book Antiqua" w:cs="Book Antiqua"/>
      <w:sz w:val="16"/>
      <w:szCs w:val="16"/>
      <w:shd w:val="clear" w:color="auto" w:fill="FFFFFF"/>
    </w:rPr>
  </w:style>
  <w:style w:type="paragraph" w:customStyle="1" w:styleId="Teksttreci0">
    <w:name w:val="Tekst treści"/>
    <w:basedOn w:val="Normal"/>
    <w:link w:val="Teksttreci"/>
    <w:rsid w:val="00816C37"/>
    <w:pPr>
      <w:widowControl w:val="0"/>
      <w:shd w:val="clear" w:color="auto" w:fill="FFFFFF"/>
      <w:spacing w:line="0" w:lineRule="atLeast"/>
      <w:ind w:hanging="540"/>
      <w:jc w:val="both"/>
    </w:pPr>
    <w:rPr>
      <w:rFonts w:ascii="Book Antiqua" w:eastAsia="Book Antiqua" w:hAnsi="Book Antiqua" w:cs="Book Antiqua"/>
      <w:sz w:val="16"/>
      <w:szCs w:val="16"/>
      <w:lang w:val="sv-SE"/>
    </w:rPr>
  </w:style>
  <w:style w:type="paragraph" w:customStyle="1" w:styleId="TableTitle">
    <w:name w:val="TableTitle"/>
    <w:basedOn w:val="Normal"/>
    <w:next w:val="Normal"/>
    <w:link w:val="TableTitleChar"/>
    <w:rsid w:val="007B082B"/>
    <w:pPr>
      <w:keepNext/>
      <w:spacing w:before="120" w:after="240"/>
      <w:jc w:val="center"/>
    </w:pPr>
    <w:rPr>
      <w:rFonts w:ascii="Arial" w:eastAsia="MS Mincho" w:hAnsi="Arial" w:cs="Times New Roman"/>
      <w:b/>
      <w:noProof/>
      <w:szCs w:val="20"/>
    </w:rPr>
  </w:style>
  <w:style w:type="character" w:customStyle="1" w:styleId="TableTitleChar">
    <w:name w:val="TableTitle Char"/>
    <w:basedOn w:val="DefaultParagraphFont"/>
    <w:link w:val="TableTitle"/>
    <w:locked/>
    <w:rsid w:val="007B082B"/>
    <w:rPr>
      <w:rFonts w:ascii="Arial" w:eastAsia="MS Mincho" w:hAnsi="Arial" w:cs="Times New Roman"/>
      <w:b/>
      <w:noProof/>
      <w:sz w:val="22"/>
      <w:szCs w:val="20"/>
      <w:lang w:val="sv-SE"/>
    </w:rPr>
  </w:style>
  <w:style w:type="character" w:customStyle="1" w:styleId="InstructionsTabelleberschrift">
    <w:name w:val="Instructions Tabelle Überschrift"/>
    <w:qFormat/>
    <w:rsid w:val="007B082B"/>
    <w:rPr>
      <w:rFonts w:ascii="Verdana" w:hAnsi="Verdana" w:cs="Times New Roman"/>
      <w:b/>
      <w:bCs/>
      <w:sz w:val="20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CE019E"/>
    <w:rPr>
      <w:sz w:val="20"/>
      <w:szCs w:val="20"/>
      <w:lang w:val="sv-SE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E019E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E019E"/>
    <w:rPr>
      <w:vertAlign w:val="superscript"/>
    </w:rPr>
  </w:style>
  <w:style w:type="character" w:customStyle="1" w:styleId="Nagwek2">
    <w:name w:val="Nagłówek #2_"/>
    <w:basedOn w:val="DefaultParagraphFont"/>
    <w:link w:val="Nagwek20"/>
    <w:rsid w:val="000A7015"/>
    <w:rPr>
      <w:rFonts w:ascii="Book Antiqua" w:eastAsia="Book Antiqua" w:hAnsi="Book Antiqua" w:cs="Book Antiqua"/>
      <w:b/>
      <w:bCs/>
      <w:sz w:val="16"/>
      <w:szCs w:val="16"/>
      <w:shd w:val="clear" w:color="auto" w:fill="FFFFFF"/>
    </w:rPr>
  </w:style>
  <w:style w:type="paragraph" w:customStyle="1" w:styleId="Nagwek20">
    <w:name w:val="Nagłówek #2"/>
    <w:basedOn w:val="Normal"/>
    <w:link w:val="Nagwek2"/>
    <w:rsid w:val="000A7015"/>
    <w:pPr>
      <w:widowControl w:val="0"/>
      <w:shd w:val="clear" w:color="auto" w:fill="FFFFFF"/>
      <w:spacing w:line="0" w:lineRule="atLeast"/>
      <w:jc w:val="center"/>
      <w:outlineLvl w:val="1"/>
    </w:pPr>
    <w:rPr>
      <w:rFonts w:ascii="Book Antiqua" w:eastAsia="Book Antiqua" w:hAnsi="Book Antiqua" w:cs="Book Antiqua"/>
      <w:b/>
      <w:bCs/>
      <w:sz w:val="16"/>
      <w:szCs w:val="16"/>
      <w:lang w:val="sv-SE"/>
    </w:rPr>
  </w:style>
  <w:style w:type="character" w:customStyle="1" w:styleId="Teksttreci2">
    <w:name w:val="Tekst treści (2)_"/>
    <w:basedOn w:val="DefaultParagraphFont"/>
    <w:link w:val="Teksttreci20"/>
    <w:rsid w:val="000A7015"/>
    <w:rPr>
      <w:rFonts w:ascii="Book Antiqua" w:eastAsia="Book Antiqua" w:hAnsi="Book Antiqua" w:cs="Book Antiqua"/>
      <w:b/>
      <w:bCs/>
      <w:sz w:val="16"/>
      <w:szCs w:val="16"/>
      <w:shd w:val="clear" w:color="auto" w:fill="FFFFFF"/>
    </w:rPr>
  </w:style>
  <w:style w:type="paragraph" w:customStyle="1" w:styleId="Teksttreci20">
    <w:name w:val="Tekst treści (2)"/>
    <w:basedOn w:val="Normal"/>
    <w:link w:val="Teksttreci2"/>
    <w:rsid w:val="000A7015"/>
    <w:pPr>
      <w:widowControl w:val="0"/>
      <w:shd w:val="clear" w:color="auto" w:fill="FFFFFF"/>
      <w:spacing w:line="336" w:lineRule="exact"/>
      <w:jc w:val="center"/>
    </w:pPr>
    <w:rPr>
      <w:rFonts w:ascii="Book Antiqua" w:eastAsia="Book Antiqua" w:hAnsi="Book Antiqua" w:cs="Book Antiqua"/>
      <w:b/>
      <w:bCs/>
      <w:sz w:val="16"/>
      <w:szCs w:val="16"/>
      <w:lang w:val="sv-SE"/>
    </w:rPr>
  </w:style>
  <w:style w:type="character" w:customStyle="1" w:styleId="Nagwek1">
    <w:name w:val="Nagłówek #1_"/>
    <w:basedOn w:val="DefaultParagraphFont"/>
    <w:link w:val="Nagwek10"/>
    <w:rsid w:val="000A7015"/>
    <w:rPr>
      <w:rFonts w:ascii="Book Antiqua" w:eastAsia="Book Antiqua" w:hAnsi="Book Antiqua" w:cs="Book Antiqua"/>
      <w:b/>
      <w:bCs/>
      <w:sz w:val="16"/>
      <w:szCs w:val="16"/>
      <w:shd w:val="clear" w:color="auto" w:fill="FFFFFF"/>
    </w:rPr>
  </w:style>
  <w:style w:type="paragraph" w:customStyle="1" w:styleId="Nagwek10">
    <w:name w:val="Nagłówek #1"/>
    <w:basedOn w:val="Normal"/>
    <w:link w:val="Nagwek1"/>
    <w:rsid w:val="000A7015"/>
    <w:pPr>
      <w:widowControl w:val="0"/>
      <w:shd w:val="clear" w:color="auto" w:fill="FFFFFF"/>
      <w:spacing w:line="0" w:lineRule="atLeast"/>
      <w:jc w:val="center"/>
      <w:outlineLvl w:val="0"/>
    </w:pPr>
    <w:rPr>
      <w:rFonts w:ascii="Book Antiqua" w:eastAsia="Book Antiqua" w:hAnsi="Book Antiqua" w:cs="Book Antiqua"/>
      <w:b/>
      <w:bCs/>
      <w:sz w:val="16"/>
      <w:szCs w:val="16"/>
      <w:lang w:val="sv-SE"/>
    </w:rPr>
  </w:style>
  <w:style w:type="character" w:customStyle="1" w:styleId="TeksttreciPogrubienieOdstpy1pt">
    <w:name w:val="Tekst treści + Pogrubienie;Odstępy 1 pt"/>
    <w:basedOn w:val="Teksttreci"/>
    <w:rsid w:val="000A7015"/>
    <w:rPr>
      <w:rFonts w:ascii="Book Antiqua" w:eastAsia="Book Antiqua" w:hAnsi="Book Antiqua" w:cs="Book Antiqua"/>
      <w:b/>
      <w:bCs/>
      <w:i w:val="0"/>
      <w:iCs w:val="0"/>
      <w:smallCaps w:val="0"/>
      <w:strike w:val="0"/>
      <w:color w:val="000000"/>
      <w:spacing w:val="20"/>
      <w:w w:val="100"/>
      <w:position w:val="0"/>
      <w:sz w:val="16"/>
      <w:szCs w:val="16"/>
      <w:u w:val="none"/>
      <w:shd w:val="clear" w:color="auto" w:fill="FFFFFF"/>
      <w:lang w:val="sv-SE"/>
    </w:rPr>
  </w:style>
  <w:style w:type="character" w:customStyle="1" w:styleId="DeltaViewInsertion">
    <w:name w:val="DeltaView Insertion"/>
    <w:uiPriority w:val="99"/>
    <w:rsid w:val="000A7015"/>
    <w:rPr>
      <w:b/>
      <w:i/>
      <w:color w:val="00C000"/>
    </w:rPr>
  </w:style>
  <w:style w:type="character" w:customStyle="1" w:styleId="DeltaViewDeletion">
    <w:name w:val="DeltaView Deletion"/>
    <w:uiPriority w:val="99"/>
    <w:rsid w:val="000A7015"/>
    <w:rPr>
      <w:strike/>
      <w:color w:val="FF0000"/>
    </w:rPr>
  </w:style>
  <w:style w:type="paragraph" w:customStyle="1" w:styleId="BodyText1">
    <w:name w:val="Body Text1"/>
    <w:basedOn w:val="Normal"/>
    <w:qFormat/>
    <w:rsid w:val="000A7015"/>
    <w:pPr>
      <w:tabs>
        <w:tab w:val="left" w:pos="0"/>
      </w:tabs>
      <w:spacing w:line="300" w:lineRule="exact"/>
      <w:jc w:val="both"/>
    </w:pPr>
    <w:rPr>
      <w:rFonts w:ascii="Arial" w:eastAsia="Times New Roman" w:hAnsi="Arial" w:cs="Times New Roman"/>
      <w:color w:val="000000"/>
      <w:sz w:val="20"/>
      <w:szCs w:val="20"/>
    </w:rPr>
  </w:style>
  <w:style w:type="paragraph" w:customStyle="1" w:styleId="hd-lg">
    <w:name w:val="hd-lg"/>
    <w:basedOn w:val="Normal"/>
    <w:rsid w:val="000A7015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autoSpaceDE w:val="0"/>
      <w:autoSpaceDN w:val="0"/>
      <w:adjustRightInd w:val="0"/>
      <w:spacing w:before="120" w:after="120"/>
      <w:jc w:val="center"/>
    </w:pPr>
    <w:rPr>
      <w:rFonts w:ascii="Times New Roman" w:hAnsi="Times New Roman" w:cs="Times New Roman"/>
      <w:sz w:val="24"/>
      <w:lang w:eastAsia="en-GB"/>
    </w:rPr>
  </w:style>
  <w:style w:type="character" w:customStyle="1" w:styleId="Teksttreci3">
    <w:name w:val="Tekst treści (3)_"/>
    <w:basedOn w:val="DefaultParagraphFont"/>
    <w:link w:val="Teksttreci30"/>
    <w:rsid w:val="000A7015"/>
    <w:rPr>
      <w:rFonts w:ascii="Book Antiqua" w:eastAsia="Book Antiqua" w:hAnsi="Book Antiqua" w:cs="Book Antiqua"/>
      <w:i/>
      <w:iCs/>
      <w:sz w:val="16"/>
      <w:szCs w:val="16"/>
      <w:shd w:val="clear" w:color="auto" w:fill="FFFFFF"/>
    </w:rPr>
  </w:style>
  <w:style w:type="paragraph" w:customStyle="1" w:styleId="Teksttreci30">
    <w:name w:val="Tekst treści (3)"/>
    <w:basedOn w:val="Normal"/>
    <w:link w:val="Teksttreci3"/>
    <w:rsid w:val="000A7015"/>
    <w:pPr>
      <w:widowControl w:val="0"/>
      <w:shd w:val="clear" w:color="auto" w:fill="FFFFFF"/>
      <w:spacing w:line="0" w:lineRule="atLeast"/>
      <w:jc w:val="center"/>
    </w:pPr>
    <w:rPr>
      <w:rFonts w:ascii="Book Antiqua" w:eastAsia="Book Antiqua" w:hAnsi="Book Antiqua" w:cs="Book Antiqua"/>
      <w:i/>
      <w:iCs/>
      <w:sz w:val="16"/>
      <w:szCs w:val="16"/>
      <w:lang w:val="sv-SE"/>
    </w:rPr>
  </w:style>
  <w:style w:type="paragraph" w:customStyle="1" w:styleId="ReferenceText">
    <w:name w:val="Reference Text"/>
    <w:basedOn w:val="Header"/>
    <w:qFormat/>
    <w:rsid w:val="000A7015"/>
    <w:pPr>
      <w:framePr w:w="3976" w:h="1381" w:wrap="notBeside" w:vAnchor="page" w:hAnchor="page" w:x="6526" w:y="946" w:anchorLock="1"/>
      <w:tabs>
        <w:tab w:val="clear" w:pos="4320"/>
        <w:tab w:val="clear" w:pos="8640"/>
        <w:tab w:val="center" w:pos="4153"/>
        <w:tab w:val="right" w:pos="9072"/>
      </w:tabs>
      <w:spacing w:line="300" w:lineRule="exact"/>
      <w:jc w:val="right"/>
    </w:pPr>
    <w:rPr>
      <w:rFonts w:eastAsia="Times New Roman" w:cs="Times New Roman"/>
      <w:color w:val="EA933B" w:themeColor="accent2"/>
      <w:sz w:val="20"/>
      <w:szCs w:val="20"/>
    </w:rPr>
  </w:style>
  <w:style w:type="paragraph" w:styleId="ListNumber">
    <w:name w:val="List Number"/>
    <w:basedOn w:val="Normal"/>
    <w:uiPriority w:val="9"/>
    <w:qFormat/>
    <w:rsid w:val="001E06A3"/>
    <w:pPr>
      <w:numPr>
        <w:numId w:val="31"/>
      </w:numPr>
      <w:contextualSpacing/>
    </w:pPr>
  </w:style>
  <w:style w:type="character" w:customStyle="1" w:styleId="Stopka2">
    <w:name w:val="Stopka2"/>
    <w:basedOn w:val="DefaultParagraphFont"/>
    <w:rsid w:val="001E06A3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</w:rPr>
  </w:style>
  <w:style w:type="character" w:customStyle="1" w:styleId="Podpistabeli">
    <w:name w:val="Podpis tabeli_"/>
    <w:basedOn w:val="DefaultParagraphFont"/>
    <w:link w:val="Podpistabeli0"/>
    <w:rsid w:val="001E06A3"/>
    <w:rPr>
      <w:rFonts w:ascii="Calibri" w:eastAsia="Calibri" w:hAnsi="Calibri" w:cs="Calibri"/>
      <w:sz w:val="16"/>
      <w:szCs w:val="16"/>
      <w:shd w:val="clear" w:color="auto" w:fill="FFFFFF"/>
    </w:rPr>
  </w:style>
  <w:style w:type="paragraph" w:customStyle="1" w:styleId="Podpistabeli0">
    <w:name w:val="Podpis tabeli"/>
    <w:basedOn w:val="Normal"/>
    <w:link w:val="Podpistabeli"/>
    <w:rsid w:val="001E06A3"/>
    <w:pPr>
      <w:widowControl w:val="0"/>
      <w:shd w:val="clear" w:color="auto" w:fill="FFFFFF"/>
      <w:spacing w:line="202" w:lineRule="exact"/>
      <w:jc w:val="both"/>
    </w:pPr>
    <w:rPr>
      <w:rFonts w:ascii="Calibri" w:eastAsia="Calibri" w:hAnsi="Calibri" w:cs="Calibri"/>
      <w:sz w:val="16"/>
      <w:szCs w:val="16"/>
      <w:lang w:val="sv-SE"/>
    </w:rPr>
  </w:style>
  <w:style w:type="character" w:customStyle="1" w:styleId="TeksttreciKursywa">
    <w:name w:val="Tekst treści + Kursywa"/>
    <w:basedOn w:val="Teksttreci"/>
    <w:rsid w:val="001E06A3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sv-SE"/>
    </w:rPr>
  </w:style>
  <w:style w:type="character" w:customStyle="1" w:styleId="Podpistabeli2">
    <w:name w:val="Podpis tabeli (2)_"/>
    <w:basedOn w:val="DefaultParagraphFont"/>
    <w:link w:val="Podpistabeli20"/>
    <w:rsid w:val="001E06A3"/>
    <w:rPr>
      <w:rFonts w:ascii="Calibri" w:eastAsia="Calibri" w:hAnsi="Calibri" w:cs="Calibri"/>
      <w:sz w:val="19"/>
      <w:szCs w:val="19"/>
      <w:shd w:val="clear" w:color="auto" w:fill="FFFFFF"/>
    </w:rPr>
  </w:style>
  <w:style w:type="paragraph" w:customStyle="1" w:styleId="Podpistabeli20">
    <w:name w:val="Podpis tabeli (2)"/>
    <w:basedOn w:val="Normal"/>
    <w:link w:val="Podpistabeli2"/>
    <w:rsid w:val="001E06A3"/>
    <w:pPr>
      <w:widowControl w:val="0"/>
      <w:shd w:val="clear" w:color="auto" w:fill="FFFFFF"/>
      <w:spacing w:line="0" w:lineRule="atLeast"/>
    </w:pPr>
    <w:rPr>
      <w:rFonts w:ascii="Calibri" w:eastAsia="Calibri" w:hAnsi="Calibri" w:cs="Calibri"/>
      <w:sz w:val="19"/>
      <w:szCs w:val="19"/>
      <w:lang w:val="sv-SE"/>
    </w:rPr>
  </w:style>
  <w:style w:type="numbering" w:customStyle="1" w:styleId="NumreradLista">
    <w:name w:val="NumreradLista"/>
    <w:uiPriority w:val="99"/>
    <w:rsid w:val="001E06A3"/>
    <w:pPr>
      <w:numPr>
        <w:numId w:val="36"/>
      </w:numPr>
    </w:pPr>
  </w:style>
  <w:style w:type="paragraph" w:customStyle="1" w:styleId="Baseparagraphnumbered">
    <w:name w:val="Base paragraph numbered"/>
    <w:basedOn w:val="Normal"/>
    <w:link w:val="BaseparagraphnumberedChar"/>
    <w:qFormat/>
    <w:rsid w:val="004E71F4"/>
    <w:pPr>
      <w:numPr>
        <w:numId w:val="46"/>
      </w:numPr>
      <w:spacing w:after="240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character" w:customStyle="1" w:styleId="BaseparagraphnumberedChar">
    <w:name w:val="Base paragraph numbered Char"/>
    <w:link w:val="Baseparagraphnumbered"/>
    <w:rsid w:val="004E71F4"/>
    <w:rPr>
      <w:rFonts w:ascii="Times New Roman" w:eastAsia="Times New Roman" w:hAnsi="Times New Roman" w:cs="Times New Roman"/>
      <w:lang w:val="sv-SE" w:eastAsia="en-GB"/>
    </w:rPr>
  </w:style>
  <w:style w:type="numbering" w:customStyle="1" w:styleId="Style3">
    <w:name w:val="Style3"/>
    <w:rsid w:val="004E71F4"/>
    <w:pPr>
      <w:numPr>
        <w:numId w:val="45"/>
      </w:numPr>
    </w:pPr>
  </w:style>
  <w:style w:type="character" w:customStyle="1" w:styleId="InstructionsTabelleText">
    <w:name w:val="Instructions Tabelle Text"/>
    <w:rsid w:val="000646F8"/>
    <w:rPr>
      <w:rFonts w:ascii="Verdana" w:hAnsi="Verdana" w:cs="Times New Roman"/>
      <w:sz w:val="20"/>
    </w:rPr>
  </w:style>
  <w:style w:type="paragraph" w:customStyle="1" w:styleId="InstructionsText2">
    <w:name w:val="Instructions Text 2"/>
    <w:basedOn w:val="Normal"/>
    <w:qFormat/>
    <w:rsid w:val="00FA02BC"/>
    <w:pPr>
      <w:numPr>
        <w:numId w:val="62"/>
      </w:numPr>
      <w:spacing w:after="240"/>
      <w:jc w:val="both"/>
    </w:pPr>
    <w:rPr>
      <w:rFonts w:ascii="Times New Roman" w:eastAsia="Times New Roman" w:hAnsi="Times New Roman" w:cs="Times New Roman"/>
      <w:sz w:val="24"/>
      <w:lang w:eastAsia="de-DE"/>
    </w:rPr>
  </w:style>
  <w:style w:type="character" w:customStyle="1" w:styleId="PogrubienieTeksttreciTimesNewRoman105ptOdstpy0pt">
    <w:name w:val="Pogrubienie;Tekst treści + Times New Roman;10;5 pt;Odstępy 0 pt"/>
    <w:basedOn w:val="Teksttreci"/>
    <w:rsid w:val="00D312C4"/>
    <w:rPr>
      <w:rFonts w:ascii="Times New Roman" w:eastAsia="Times New Roman" w:hAnsi="Times New Roman" w:cs="Times New Roman"/>
      <w:b/>
      <w:bCs/>
      <w:color w:val="000000"/>
      <w:spacing w:val="4"/>
      <w:w w:val="100"/>
      <w:position w:val="0"/>
      <w:sz w:val="21"/>
      <w:szCs w:val="21"/>
      <w:shd w:val="clear" w:color="auto" w:fill="FFFFFF"/>
      <w:lang w:val="sv-SE"/>
    </w:rPr>
  </w:style>
  <w:style w:type="character" w:customStyle="1" w:styleId="TeksttreciTimesNewRoman105ptOdstpy0pt">
    <w:name w:val="Tekst treści + Times New Roman;10;5 pt;Odstępy 0 pt"/>
    <w:basedOn w:val="Teksttreci"/>
    <w:rsid w:val="00D312C4"/>
    <w:rPr>
      <w:rFonts w:ascii="Times New Roman" w:eastAsia="Times New Roman" w:hAnsi="Times New Roman" w:cs="Times New Roman"/>
      <w:color w:val="000000"/>
      <w:spacing w:val="4"/>
      <w:w w:val="100"/>
      <w:position w:val="0"/>
      <w:sz w:val="21"/>
      <w:szCs w:val="21"/>
      <w:shd w:val="clear" w:color="auto" w:fill="FFFFFF"/>
      <w:lang w:val="sv-SE"/>
    </w:rPr>
  </w:style>
  <w:style w:type="character" w:customStyle="1" w:styleId="Teksttreci5">
    <w:name w:val="Tekst treści (5)_"/>
    <w:basedOn w:val="DefaultParagraphFont"/>
    <w:link w:val="Teksttreci50"/>
    <w:rsid w:val="00D312C4"/>
    <w:rPr>
      <w:rFonts w:ascii="Times New Roman" w:eastAsia="Times New Roman" w:hAnsi="Times New Roman" w:cs="Times New Roman"/>
      <w:spacing w:val="4"/>
      <w:sz w:val="21"/>
      <w:szCs w:val="21"/>
      <w:shd w:val="clear" w:color="auto" w:fill="FFFFFF"/>
    </w:rPr>
  </w:style>
  <w:style w:type="paragraph" w:customStyle="1" w:styleId="Teksttreci50">
    <w:name w:val="Tekst treści (5)"/>
    <w:basedOn w:val="Normal"/>
    <w:link w:val="Teksttreci5"/>
    <w:rsid w:val="00D312C4"/>
    <w:pPr>
      <w:widowControl w:val="0"/>
      <w:shd w:val="clear" w:color="auto" w:fill="FFFFFF"/>
      <w:spacing w:before="300" w:after="660" w:line="0" w:lineRule="atLeast"/>
      <w:ind w:hanging="840"/>
      <w:jc w:val="center"/>
    </w:pPr>
    <w:rPr>
      <w:rFonts w:ascii="Times New Roman" w:eastAsia="Times New Roman" w:hAnsi="Times New Roman" w:cs="Times New Roman"/>
      <w:spacing w:val="4"/>
      <w:sz w:val="21"/>
      <w:szCs w:val="21"/>
      <w:lang w:val="sv-SE"/>
    </w:rPr>
  </w:style>
  <w:style w:type="character" w:styleId="Mention">
    <w:name w:val="Mention"/>
    <w:basedOn w:val="DefaultParagraphFont"/>
    <w:uiPriority w:val="99"/>
    <w:unhideWhenUsed/>
    <w:rsid w:val="004C7D8D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66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0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2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2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3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0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5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2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4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customXml" Target="../customXml/item2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notes.xml.rels>&#65279;<?xml version="1.0" encoding="UTF-8" standalone="yes"?>
<Relationships xmlns="http://schemas.openxmlformats.org/package/2006/relationships"><Relationship Id="rId2" Type="http://schemas.openxmlformats.org/officeDocument/2006/relationships/hyperlink" Target="https://eur-lex.europa.eu/legal-content/SV/TXT/?uri=OJ:L_202401623" TargetMode="External"/><Relationship Id="rId1" Type="http://schemas.openxmlformats.org/officeDocument/2006/relationships/hyperlink" Target="https://eur-lex.europa.eu/legal-content/SV/AUTO/?uri=OJ:L:2013:176:TOC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EBA template">
  <a:themeElements>
    <a:clrScheme name="EBA theme 2">
      <a:dk1>
        <a:srgbClr val="000000"/>
      </a:dk1>
      <a:lt1>
        <a:sysClr val="window" lastClr="FFFFFF"/>
      </a:lt1>
      <a:dk2>
        <a:srgbClr val="2F5773"/>
      </a:dk2>
      <a:lt2>
        <a:srgbClr val="E98E31"/>
      </a:lt2>
      <a:accent1>
        <a:srgbClr val="2F5773"/>
      </a:accent1>
      <a:accent2>
        <a:srgbClr val="EA933B"/>
      </a:accent2>
      <a:accent3>
        <a:srgbClr val="D44D2A"/>
      </a:accent3>
      <a:accent4>
        <a:srgbClr val="49AB74"/>
      </a:accent4>
      <a:accent5>
        <a:srgbClr val="52666E"/>
      </a:accent5>
      <a:accent6>
        <a:srgbClr val="163A5A"/>
      </a:accent6>
      <a:hlink>
        <a:srgbClr val="2F5773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E0453FE-EE91-4CC1-9899-DAA0B594C72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7B72D1E-B18D-4476-AE6D-2E6B1B3EEBB6}"/>
</file>

<file path=customXml/itemProps3.xml><?xml version="1.0" encoding="utf-8"?>
<ds:datastoreItem xmlns:ds="http://schemas.openxmlformats.org/officeDocument/2006/customXml" ds:itemID="{F7B3948B-1CC7-4DEB-BC11-99729FFBC80F}"/>
</file>

<file path=customXml/itemProps4.xml><?xml version="1.0" encoding="utf-8"?>
<ds:datastoreItem xmlns:ds="http://schemas.openxmlformats.org/officeDocument/2006/customXml" ds:itemID="{38E097A8-23F4-49DF-B8DE-B1CD7454E0AD}"/>
</file>

<file path=docMetadata/LabelInfo.xml><?xml version="1.0" encoding="utf-8"?>
<clbl:labelList xmlns:clbl="http://schemas.microsoft.com/office/2020/mipLabelMetadata">
  <clbl:label id="{5c7eb9de-735b-4a68-8fe4-c9c62709b012}" enabled="1" method="Standard" siteId="{3bacb4ff-f1a2-4c92-b96c-e99fec826b68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5999</Words>
  <Characters>31317</Characters>
  <Application>Microsoft Office Word</Application>
  <DocSecurity>0</DocSecurity>
  <Lines>824</Lines>
  <Paragraphs>504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2024-06-06T13:28:00Z</dcterms:created>
  <dcterms:modified xsi:type="dcterms:W3CDTF">2024-09-26T14:24:00Z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2024-06-28T07:57:22Z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6751ffcc-0dd9-4bf6-bdf7-157d1d36e1fb</vt:lpwstr>
  </property>
  <property fmtid="{D5CDD505-2E9C-101B-9397-08002B2CF9AE}" pid="8" name="MSIP_Label_6bd9ddd1-4d20-43f6-abfa-fc3c07406f94_ContentBits">
    <vt:lpwstr>0</vt:lpwstr>
  </property>
  <property fmtid="{D5CDD505-2E9C-101B-9397-08002B2CF9AE}" pid="9" name="ContentTypeId">
    <vt:lpwstr>0x010100A640DC13EB184F4EBE5AA21BE9F247DB</vt:lpwstr>
  </property>
</Properties>
</file>