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6DC94B9F" w:rsidR="00A81FD5" w:rsidRPr="007F4CC8" w:rsidRDefault="00A81FD5" w:rsidP="00A81FD5">
      <w:pPr>
        <w:pStyle w:val="Annexetitre"/>
        <w:spacing w:before="0"/>
      </w:pPr>
      <w:r>
        <w:t>ANEXO XXIV – Divulgação das posições em risco sobre empréstimos especializado</w:t>
      </w:r>
      <w:r w:rsidR="007528A4">
        <w:t>s</w:t>
      </w:r>
      <w:r>
        <w:t xml:space="preserve"> e ações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5E66FBCF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Modelo EU CR10 — Posições em risco sobre empréstimos especializado</w:t>
      </w:r>
      <w:r w:rsidR="007528A4">
        <w:rPr>
          <w:rFonts w:ascii="Times New Roman" w:hAnsi="Times New Roman"/>
          <w:b/>
          <w:sz w:val="24"/>
        </w:rPr>
        <w:t>s</w:t>
      </w:r>
      <w:r>
        <w:rPr>
          <w:rFonts w:ascii="Times New Roman" w:hAnsi="Times New Roman"/>
          <w:b/>
          <w:sz w:val="24"/>
        </w:rPr>
        <w:t xml:space="preserve"> e ações.</w:t>
      </w:r>
      <w:r>
        <w:rPr>
          <w:rFonts w:ascii="Times New Roman" w:hAnsi="Times New Roman"/>
          <w:sz w:val="24"/>
        </w:rPr>
        <w:t xml:space="preserve"> Modelo fixo.</w:t>
      </w:r>
    </w:p>
    <w:p w14:paraId="7F14938F" w14:textId="0F0262D5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As instituições devem divulgar as informações referidas no artigo</w:t>
      </w:r>
      <w:r w:rsidR="007528A4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438.º, alínea e), do Regulamento (UE) n.º 575/2013</w:t>
      </w:r>
      <w:r w:rsidR="0016297E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(«CRR»), seguindo as instruções indicadas abaixo no presente anexo, a fim de preencher o modelo EU CR10 apresentado no anexo XXIII das soluções informáticas da EBA. As instituições devem divulgar: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Informações relativas aos seguintes tipos de posições em risco sobre empréstimos especializados a que se refere o artigo 153.º, n.º 5, quadro 1: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«financiamento de projetos», no modelo EU CR10.1,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«bem imóvel gerador de rendimentos e bem imóvel de elevada volatilidade», no modelo EU CR10.2,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«financiamento de ativos físicos», no modelo EU CR10.3,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«financiamento de mercadorias», no modelo EU CR10.4;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Informações relativas a posições em risco sobre ações no modelo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 da coluna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Posições em risco patrimoniais</w:t>
            </w:r>
          </w:p>
          <w:p w14:paraId="745AD69D" w14:textId="7F92A121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devem divulgar o valor das posições em risco patrimoniais em conformidade com 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166.º, n.</w:t>
            </w:r>
            <w:r>
              <w:rPr>
                <w:rFonts w:ascii="Times New Roman" w:hAnsi="Times New Roman"/>
                <w:sz w:val="24"/>
                <w:vertAlign w:val="superscript"/>
              </w:rPr>
              <w:t>os</w:t>
            </w:r>
            <w:r>
              <w:rPr>
                <w:rFonts w:ascii="Times New Roman" w:hAnsi="Times New Roman"/>
                <w:sz w:val="24"/>
              </w:rPr>
              <w:t xml:space="preserve"> 1 a 7, e 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167.º, n.º 1, do Regulamento (UE) n.º 575/2013.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Posições em risco extrapatrimoniais</w:t>
            </w:r>
          </w:p>
          <w:p w14:paraId="1C2FD9EF" w14:textId="6CB98E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devem divulgar o valor das posições em risco extrapatrimoniais, em conformidade com os artigos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166.º e 167.º, n.º 2, do Regulamento (UE) n.º 575/2013, sem ter em conta quaisquer fatores de conversão especificados no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166.º, n.</w:t>
            </w:r>
            <w:r>
              <w:rPr>
                <w:rFonts w:ascii="Times New Roman" w:hAnsi="Times New Roman"/>
                <w:sz w:val="24"/>
                <w:vertAlign w:val="superscript"/>
              </w:rPr>
              <w:t>os</w:t>
            </w:r>
            <w:r>
              <w:rPr>
                <w:rFonts w:ascii="Times New Roman" w:hAnsi="Times New Roman"/>
                <w:sz w:val="24"/>
              </w:rPr>
              <w:t xml:space="preserve"> 8 ou 9, do Regulamento (UE) n.º 575/2013 ou quaisquer percentagens especificadas no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166.º, n.º 10, do Regulamento (UE) n.º 575/2013.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posições em risco extrapatrimoniais devem incluir todos os montantes autorizados, mas não utilizados, e todos os elementos extrapatrimoniais, enumerados no anexo I do Regulamento (UE) n.º 575/2013.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Ponderador de risco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Coluna fixa para os modelos EU CR 10.1 a EU CR 10.4. Não deve ser alterada. </w:t>
            </w:r>
          </w:p>
          <w:p w14:paraId="2AF282A3" w14:textId="3ED3AD5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Esta coluna foi especificada em conformidade com 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153.º, n.º 5, do Regulamento (UE) n.º 575/2013 para os modelos EU-CR10.1 a EU-CR.10.4.  Coluna flexível para o modelo EU CR 10.5. As instituições devem aplicar os </w:t>
            </w:r>
            <w:r>
              <w:rPr>
                <w:rFonts w:ascii="Times New Roman" w:hAnsi="Times New Roman"/>
                <w:sz w:val="24"/>
              </w:rPr>
              <w:lastRenderedPageBreak/>
              <w:t>ponderadores de risco relevantes em conformidade com 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133.º, n.</w:t>
            </w:r>
            <w:r>
              <w:rPr>
                <w:rFonts w:ascii="Times New Roman" w:hAnsi="Times New Roman"/>
                <w:sz w:val="24"/>
                <w:vertAlign w:val="superscript"/>
              </w:rPr>
              <w:t>os</w:t>
            </w:r>
            <w:r>
              <w:rPr>
                <w:rFonts w:ascii="Times New Roman" w:hAnsi="Times New Roman"/>
                <w:sz w:val="24"/>
              </w:rPr>
              <w:t xml:space="preserve"> 3 a 6, e 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495.º-A, n.º 3, do Regulamento (UE) n.º 575/2013.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Valor das posições em risco</w:t>
            </w:r>
          </w:p>
          <w:p w14:paraId="3EBD3C28" w14:textId="55821E56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O valor das posições em risco em conformidade </w:t>
            </w:r>
            <w:r w:rsidR="007528A4">
              <w:rPr>
                <w:rFonts w:ascii="Times New Roman" w:hAnsi="Times New Roman"/>
                <w:sz w:val="24"/>
              </w:rPr>
              <w:t xml:space="preserve">com </w:t>
            </w:r>
            <w:r>
              <w:rPr>
                <w:rFonts w:ascii="Times New Roman" w:hAnsi="Times New Roman"/>
                <w:sz w:val="24"/>
              </w:rPr>
              <w:t>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166.º ou 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167.º do Regulamento (UE) n.º 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Esta coluna deve incluir a soma dos valores das posições em risco patrimoniais e das posições em risco extrapatrimoniais após a aplicação dos fatores de conversão, em conformidade com o artigo 166.º, n.</w:t>
            </w:r>
            <w:r>
              <w:rPr>
                <w:rFonts w:ascii="Times New Roman" w:hAnsi="Times New Roman"/>
                <w:sz w:val="24"/>
                <w:vertAlign w:val="superscript"/>
              </w:rPr>
              <w:t>os</w:t>
            </w:r>
            <w:r>
              <w:rPr>
                <w:rFonts w:ascii="Times New Roman" w:hAnsi="Times New Roman"/>
                <w:sz w:val="24"/>
              </w:rPr>
              <w:t xml:space="preserve"> 8 a 10, do Regulamento (UE) n.º 575/2013.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(modelos EU CR10.1 a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Montante das posições ponderadas pelo risco (posições em risco sobre empréstimos especializados de acordo com o método da afetação)</w:t>
            </w:r>
          </w:p>
          <w:p w14:paraId="041E0E73" w14:textId="36688C0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montante das posições ponderadas pelo risco, calculado em conformidade com 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153.º, n.º 5, do Regulamento (UE) n.º 575/2013, após a aplicação dos fatores de apoio, em conformidade com os artigos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501.º e 501.º-A do Regulamento (UE) n.º 575/2013, se aplicável.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(modelos EU CR10.1 a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Montante das perdas esperadas (posições em risco sobre empréstimos especializados de acordo com o método da afetação)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montante das perdas esperadas, calculado em conformidade com o artigo 158.º, n.º 6, do Regulamento (UE) n.º 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(modelo EU 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Montante das perdas esperadas (posições em risco sobre ações de acordo com o método da ponderação de risco simples)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 montante das perdas esperadas, calculado em conformidade com o artigo 158.º, n.º 7, do Regulamento (UE) n.º 575/2013, quando aplicável.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512"/>
      </w:tblGrid>
      <w:tr w:rsidR="00A81FD5" w:rsidRPr="007F4CC8" w14:paraId="3C9F1404" w14:textId="77777777" w:rsidTr="007528A4">
        <w:trPr>
          <w:trHeight w:val="9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Número da linha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Referências jurídicas e instruções</w:t>
            </w:r>
          </w:p>
        </w:tc>
      </w:tr>
      <w:tr w:rsidR="00A81FD5" w:rsidRPr="007F4CC8" w14:paraId="05D9511C" w14:textId="77777777" w:rsidTr="007528A4">
        <w:trPr>
          <w:trHeight w:val="403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Explicação</w:t>
            </w:r>
          </w:p>
        </w:tc>
      </w:tr>
      <w:tr w:rsidR="00A81FD5" w:rsidRPr="007F4CC8" w14:paraId="5A7F3F5E" w14:textId="77777777" w:rsidTr="007528A4">
        <w:trPr>
          <w:trHeight w:val="316"/>
        </w:trPr>
        <w:tc>
          <w:tcPr>
            <w:tcW w:w="1555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Categoria regulamentar</w:t>
            </w:r>
          </w:p>
        </w:tc>
        <w:tc>
          <w:tcPr>
            <w:tcW w:w="7512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Modelos EU CR10.1 a EU-CR10.4</w:t>
            </w:r>
          </w:p>
          <w:p w14:paraId="73A34AF3" w14:textId="58EE3701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categorias regulamentares aplicáveis aos empréstimos especializados de acordo com o método da afetação para cada classe de posições em risco sobre empréstimos especializados, tal como especificado no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153.º, n.º 5, do Regulamento (UE) n.º 575/2013 e na versão final das NTR relativas ao método da afetação.</w:t>
            </w:r>
          </w:p>
        </w:tc>
      </w:tr>
      <w:tr w:rsidR="00A81FD5" w:rsidRPr="007F4CC8" w14:paraId="06F4029F" w14:textId="77777777" w:rsidTr="007528A4">
        <w:trPr>
          <w:trHeight w:val="316"/>
        </w:trPr>
        <w:tc>
          <w:tcPr>
            <w:tcW w:w="1555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Categorias</w:t>
            </w:r>
          </w:p>
        </w:tc>
        <w:tc>
          <w:tcPr>
            <w:tcW w:w="7512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Modelo EU CR10.5 Flexível</w:t>
            </w:r>
          </w:p>
          <w:p w14:paraId="1A9FFE85" w14:textId="46458FD3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 instituições devem incluir as categorias regulamentares relevantes aplicáveis às ações ao abrigo do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133.º, n.</w:t>
            </w:r>
            <w:r>
              <w:rPr>
                <w:rFonts w:ascii="Times New Roman" w:hAnsi="Times New Roman"/>
                <w:sz w:val="24"/>
                <w:vertAlign w:val="superscript"/>
              </w:rPr>
              <w:t>os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3 a 6, e do artigo</w:t>
            </w:r>
            <w:r w:rsidR="007528A4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 xml:space="preserve">495.º-A, n.º 3, do Regulamento (UE) n.º 575/2013.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ab/>
        <w:t>Regulamento (UE) n.º 575/2013 do Parlamento Europeu e do Conselho, 26 de junho de 2013, relativo aos requisitos prudenciais das instituições de crédito e que altera o Regulamento (UE) n.º 648/2012, com a redação que lhe foi dada pelo Regulamento (UE) 2024/1623 (</w:t>
      </w:r>
      <w:hyperlink r:id="rId1" w:history="1">
        <w:r>
          <w:rPr>
            <w:rStyle w:val="Hyperlink"/>
            <w:color w:val="800080"/>
          </w:rPr>
          <w:t>JO L 176 de 27.6.2013, p.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Regulamento — </w:t>
        </w:r>
        <w:r>
          <w:rPr>
            <w:rStyle w:val="Hyperlink"/>
          </w:rPr>
          <w:t>U</w:t>
        </w:r>
        <w:r>
          <w:rPr>
            <w:rStyle w:val="Hyperlink"/>
          </w:rPr>
          <w:t>E — 2024/1623 — PT — EUR-Lex (europa.eu)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7528A4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pt-P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528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T/TXT/?uri=OJ:L_202401623" TargetMode="External"/><Relationship Id="rId1" Type="http://schemas.openxmlformats.org/officeDocument/2006/relationships/hyperlink" Target="https://eur-lex.europa.eu/legal-content/P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71DFE-297A-433F-9E0A-47A40C0FA53C}"/>
</file>

<file path=customXml/itemProps3.xml><?xml version="1.0" encoding="utf-8"?>
<ds:datastoreItem xmlns:ds="http://schemas.openxmlformats.org/officeDocument/2006/customXml" ds:itemID="{630C7FFA-2A39-4FBC-9800-3BA92C7CAC00}"/>
</file>

<file path=customXml/itemProps4.xml><?xml version="1.0" encoding="utf-8"?>
<ds:datastoreItem xmlns:ds="http://schemas.openxmlformats.org/officeDocument/2006/customXml" ds:itemID="{0899799B-7B86-415F-8525-FCA3D3F1087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695</Words>
  <Characters>3701</Characters>
  <Application>Microsoft Office Word</Application>
  <DocSecurity>0</DocSecurity>
  <Lines>102</Lines>
  <Paragraphs>53</Paragraphs>
  <ScaleCrop>false</ScaleCrop>
  <Company>European Banking Authority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WIBERG BAGINHA Elin (DGT)</cp:lastModifiedBy>
  <cp:revision>15</cp:revision>
  <dcterms:created xsi:type="dcterms:W3CDTF">2021-03-11T13:21:00Z</dcterms:created>
  <dcterms:modified xsi:type="dcterms:W3CDTF">2024-10-18T08:55:00Z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