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6444BB5B" w:rsidR="00965CEB" w:rsidRPr="007F4CC8" w:rsidRDefault="00965CEB" w:rsidP="00965CEB">
      <w:pPr>
        <w:pStyle w:val="Annexetitre"/>
        <w:spacing w:after="240"/>
        <w:rPr>
          <w:u w:val="none"/>
        </w:rPr>
      </w:pPr>
      <w:r>
        <w:rPr>
          <w:u w:val="none"/>
        </w:rPr>
        <w:t>ANNEXE XXXIV– Instructions pour les modèles de publication d</w:t>
      </w:r>
      <w:r w:rsidR="000D0548">
        <w:rPr>
          <w:u w:val="none"/>
        </w:rPr>
        <w:t>’</w:t>
      </w:r>
      <w:r>
        <w:rPr>
          <w:u w:val="none"/>
        </w:rPr>
        <w:t>informations sur la politique de rémunération</w:t>
      </w:r>
    </w:p>
    <w:p w14:paraId="27BC952C" w14:textId="77777777" w:rsidR="00965CEB" w:rsidRPr="000D0548" w:rsidRDefault="00965CEB" w:rsidP="00965CEB">
      <w:pPr>
        <w:pStyle w:val="Titlelevel2"/>
        <w:spacing w:before="120" w:after="120"/>
        <w:rPr>
          <w:rFonts w:ascii="Times New Roman" w:hAnsi="Times New Roman"/>
          <w:b/>
          <w:color w:val="auto"/>
          <w:sz w:val="22"/>
          <w:lang w:val="fr-BE"/>
        </w:rPr>
      </w:pPr>
    </w:p>
    <w:p w14:paraId="08B38A5D" w14:textId="77777777" w:rsidR="00965CEB" w:rsidRPr="00DD0C4D"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Tableau EU REMA — Politique de </w:t>
      </w:r>
      <w:proofErr w:type="gramStart"/>
      <w:r>
        <w:rPr>
          <w:rFonts w:ascii="Times New Roman" w:hAnsi="Times New Roman"/>
          <w:b/>
          <w:color w:val="auto"/>
          <w:sz w:val="24"/>
        </w:rPr>
        <w:t>rémunération:</w:t>
      </w:r>
      <w:proofErr w:type="gramEnd"/>
      <w:r>
        <w:rPr>
          <w:rFonts w:ascii="Times New Roman" w:hAnsi="Times New Roman"/>
          <w:b/>
          <w:color w:val="auto"/>
          <w:sz w:val="24"/>
        </w:rPr>
        <w:t xml:space="preserve"> </w:t>
      </w:r>
      <w:r>
        <w:rPr>
          <w:rFonts w:ascii="Times New Roman" w:hAnsi="Times New Roman"/>
          <w:color w:val="auto"/>
          <w:sz w:val="24"/>
        </w:rPr>
        <w:t>Format flexible</w:t>
      </w:r>
    </w:p>
    <w:p w14:paraId="6ACFB470" w14:textId="62BA3702"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Les établissements publient les informations visées à l’article 450, paragraphe 1, points a), b), c), d), e), f), j) et k), et à l’article 450, paragraphe 2, du CRR,</w:t>
      </w:r>
      <w:r w:rsidRPr="007F4CC8">
        <w:rPr>
          <w:rStyle w:val="FootnoteReference"/>
          <w:rFonts w:ascii="Times New Roman" w:eastAsiaTheme="minorEastAsia" w:hAnsi="Times New Roman" w:cs="Times New Roman"/>
          <w:bCs w:val="0"/>
          <w:color w:val="auto"/>
          <w:sz w:val="24"/>
          <w:lang w:val="en-GB"/>
        </w:rPr>
        <w:footnoteReference w:id="1"/>
      </w:r>
      <w:r>
        <w:rPr>
          <w:rFonts w:ascii="Times New Roman" w:hAnsi="Times New Roman"/>
          <w:color w:val="auto"/>
          <w:sz w:val="24"/>
        </w:rPr>
        <w:t xml:space="preserve"> suivant les instructions données ci-dessous dans la présente annexe pour compléter le tableau EU REMA présenté à l’annexe XXXIII des solutions informatiques de l</w:t>
      </w:r>
      <w:r w:rsidR="000D0548">
        <w:rPr>
          <w:rFonts w:ascii="Times New Roman" w:hAnsi="Times New Roman"/>
          <w:color w:val="auto"/>
          <w:sz w:val="24"/>
        </w:rPr>
        <w:t>’</w:t>
      </w:r>
      <w:r>
        <w:rPr>
          <w:rFonts w:ascii="Times New Roman" w:hAnsi="Times New Roman"/>
          <w:color w:val="auto"/>
          <w:sz w:val="24"/>
        </w:rPr>
        <w:t>ABE.</w:t>
      </w:r>
    </w:p>
    <w:p w14:paraId="3D4A1A0C"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Ce tableau a un format flexible. Dans le cas où les établissements appliquent un format différent, ils fournissent des informations comparables aux informations requises dans le présent tableau, avec un niveau de granularité similaire et comprenant toutes les informations requises sur la substance.</w:t>
      </w:r>
    </w:p>
    <w:p w14:paraId="5ED60910"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Aux fins du présent tableau et des modèles expliqués dans la présente annexe, on entend par</w:t>
      </w:r>
      <w:proofErr w:type="gramStart"/>
      <w:r>
        <w:rPr>
          <w:rFonts w:ascii="Times New Roman" w:hAnsi="Times New Roman"/>
          <w:color w:val="auto"/>
          <w:sz w:val="24"/>
        </w:rPr>
        <w:t xml:space="preserve"> «octroi</w:t>
      </w:r>
      <w:proofErr w:type="gramEnd"/>
      <w:r>
        <w:rPr>
          <w:rFonts w:ascii="Times New Roman" w:hAnsi="Times New Roman"/>
          <w:color w:val="auto"/>
          <w:sz w:val="24"/>
        </w:rPr>
        <w:t>» l’attribution d’une rémunération variable pour une période d’accumulation spécifique, indépendamment du moment effectif où le montant octroyé est versé.</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rFonts w:ascii="Times New Roman" w:hAnsi="Times New Roman" w:cs="Times New Roman"/>
                <w:b/>
                <w:sz w:val="24"/>
              </w:rPr>
            </w:pPr>
            <w:r>
              <w:rPr>
                <w:rFonts w:ascii="Times New Roman" w:hAnsi="Times New Roman"/>
                <w:b/>
                <w:sz w:val="24"/>
              </w:rPr>
              <w:t>Références juridiques et instructions</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Informations relatives aux organes qui supervisent la rémunération. Les informations à publier </w:t>
            </w:r>
            <w:proofErr w:type="gramStart"/>
            <w:r>
              <w:rPr>
                <w:rFonts w:ascii="Times New Roman" w:hAnsi="Times New Roman"/>
                <w:sz w:val="24"/>
              </w:rPr>
              <w:t>comprennent:</w:t>
            </w:r>
            <w:proofErr w:type="gramEnd"/>
          </w:p>
          <w:p w14:paraId="1488B17D"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 xml:space="preserve">Le nom, la composition et le mandat de l’organe principal (organe de direction et comité de rémunération, si établi) chargé de superviser la politique de rémunération et le nombre de réunions tenues au cours de l’exercice financier par cet organe </w:t>
            </w:r>
            <w:proofErr w:type="gramStart"/>
            <w:r>
              <w:rPr>
                <w:rFonts w:ascii="Times New Roman" w:hAnsi="Times New Roman"/>
                <w:sz w:val="24"/>
              </w:rPr>
              <w:t>principal;</w:t>
            </w:r>
            <w:proofErr w:type="gramEnd"/>
          </w:p>
          <w:p w14:paraId="5B0DD549"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 xml:space="preserve">les consultants externes dont l’avis a été sollicité, l’organe qui les a mandatés, et dans quels domaines du cadre de </w:t>
            </w:r>
            <w:proofErr w:type="gramStart"/>
            <w:r>
              <w:rPr>
                <w:rFonts w:ascii="Times New Roman" w:hAnsi="Times New Roman"/>
                <w:sz w:val="24"/>
              </w:rPr>
              <w:t>rémunération;</w:t>
            </w:r>
            <w:proofErr w:type="gramEnd"/>
          </w:p>
          <w:p w14:paraId="3CBC394C"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 xml:space="preserve">une description du champ d’application de la politique de rémunération de l’établissement (par exemple, par région, par ligne d’activité), y compris la mesure dans laquelle celle-ci est applicable aux filiales et succursales situées dans des pays </w:t>
            </w:r>
            <w:proofErr w:type="gramStart"/>
            <w:r>
              <w:rPr>
                <w:rFonts w:ascii="Times New Roman" w:hAnsi="Times New Roman"/>
                <w:sz w:val="24"/>
              </w:rPr>
              <w:t>tiers;</w:t>
            </w:r>
            <w:proofErr w:type="gramEnd"/>
          </w:p>
          <w:p w14:paraId="1BEEE20B" w14:textId="77777777" w:rsidR="00965CEB" w:rsidRPr="007F4CC8" w:rsidRDefault="00965CEB" w:rsidP="00965CEB">
            <w:pPr>
              <w:pStyle w:val="ListParagraph"/>
              <w:numPr>
                <w:ilvl w:val="0"/>
                <w:numId w:val="2"/>
              </w:numPr>
              <w:spacing w:before="60" w:after="120"/>
              <w:jc w:val="both"/>
              <w:rPr>
                <w:rFonts w:ascii="Times New Roman" w:hAnsi="Times New Roman"/>
                <w:sz w:val="24"/>
              </w:rPr>
            </w:pPr>
            <w:r>
              <w:rPr>
                <w:rFonts w:ascii="Times New Roman" w:hAnsi="Times New Roman"/>
                <w:sz w:val="24"/>
              </w:rPr>
              <w:t>une description du personnel ou des catégories de personnel dont les activités professionnelles ont une incidence significative sur le profil de risque de l’établissement (personnel identifié).</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Informations relatives à la conception et à la structure du système de rémunération du personnel identifié. Les informations à publier </w:t>
            </w:r>
            <w:proofErr w:type="gramStart"/>
            <w:r>
              <w:rPr>
                <w:rFonts w:ascii="Times New Roman" w:hAnsi="Times New Roman"/>
                <w:sz w:val="24"/>
              </w:rPr>
              <w:t>comprennent:</w:t>
            </w:r>
            <w:proofErr w:type="gramEnd"/>
          </w:p>
          <w:p w14:paraId="363C45D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Un aperçu général des principales caractéristiques et des objectifs de la politique de rémunération, et des informations sur le processus décisionnel utilisé pour définir la politique de rémunération et le rôle </w:t>
            </w:r>
            <w:r>
              <w:rPr>
                <w:rFonts w:ascii="Times New Roman" w:hAnsi="Times New Roman"/>
                <w:sz w:val="24"/>
              </w:rPr>
              <w:lastRenderedPageBreak/>
              <w:t>des parties prenantes concernées (par exemple assemblée des actionnaires</w:t>
            </w:r>
            <w:proofErr w:type="gramStart"/>
            <w:r>
              <w:rPr>
                <w:rFonts w:ascii="Times New Roman" w:hAnsi="Times New Roman"/>
                <w:sz w:val="24"/>
              </w:rPr>
              <w:t>);</w:t>
            </w:r>
            <w:proofErr w:type="gramEnd"/>
          </w:p>
          <w:p w14:paraId="415080E8"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des informations sur les critères utilisés pour la mesure de la performance et la prise en compte du risque ex ante et ex </w:t>
            </w:r>
            <w:proofErr w:type="gramStart"/>
            <w:r>
              <w:rPr>
                <w:rFonts w:ascii="Times New Roman" w:hAnsi="Times New Roman"/>
                <w:sz w:val="24"/>
              </w:rPr>
              <w:t>post;</w:t>
            </w:r>
            <w:proofErr w:type="gramEnd"/>
          </w:p>
          <w:p w14:paraId="486E0D69" w14:textId="6C577295"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des informations indiquant si l’organe de direction et le comité de rémunération, s</w:t>
            </w:r>
            <w:r w:rsidR="000D0548">
              <w:rPr>
                <w:rFonts w:ascii="Times New Roman" w:hAnsi="Times New Roman"/>
                <w:sz w:val="24"/>
              </w:rPr>
              <w:t>’</w:t>
            </w:r>
            <w:r>
              <w:rPr>
                <w:rFonts w:ascii="Times New Roman" w:hAnsi="Times New Roman"/>
                <w:sz w:val="24"/>
              </w:rPr>
              <w:t xml:space="preserve">il en a été établi un, ont réexaminé la politique de rémunération de l’établissement au cours de l’année écoulée et, dans l’affirmative, un aperçu général des éventuels changements apportés, des raisons de ces changements et de leur incidence sur la </w:t>
            </w:r>
            <w:proofErr w:type="gramStart"/>
            <w:r>
              <w:rPr>
                <w:rFonts w:ascii="Times New Roman" w:hAnsi="Times New Roman"/>
                <w:sz w:val="24"/>
              </w:rPr>
              <w:t>rémunération;</w:t>
            </w:r>
            <w:proofErr w:type="gramEnd"/>
          </w:p>
          <w:p w14:paraId="410559C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des informations indiquant comment l’établissement garantit que la rémunération des membres du personnel exerçant des fonctions de contrôle interne est indépendante des activités qu’ils </w:t>
            </w:r>
            <w:proofErr w:type="gramStart"/>
            <w:r>
              <w:rPr>
                <w:rFonts w:ascii="Times New Roman" w:hAnsi="Times New Roman"/>
                <w:sz w:val="24"/>
              </w:rPr>
              <w:t>supervisent;</w:t>
            </w:r>
            <w:proofErr w:type="gramEnd"/>
          </w:p>
          <w:p w14:paraId="0551D89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les politiques et critères appliqués pour l’octroi de rémunérations variables garanties et d’indemnités de départ.</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Description de la manière dont les risques actuels et futurs sont pris en compte dans les processus de rémunération. </w:t>
            </w:r>
          </w:p>
          <w:p w14:paraId="5A14C6D4"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Les informations à publier comprennent un aperçu général des principaux risques, de leur évaluation et de la manière dont cette évaluation influe sur la rémunération.</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63B24F31" w:rsidR="00965CEB" w:rsidRPr="007F4CC8" w:rsidRDefault="00965CEB" w:rsidP="004F3087">
            <w:pPr>
              <w:spacing w:before="60" w:after="120"/>
              <w:jc w:val="both"/>
              <w:rPr>
                <w:rFonts w:ascii="Times New Roman" w:hAnsi="Times New Roman"/>
                <w:sz w:val="24"/>
              </w:rPr>
            </w:pPr>
            <w:r>
              <w:rPr>
                <w:rFonts w:ascii="Times New Roman" w:hAnsi="Times New Roman"/>
                <w:sz w:val="24"/>
              </w:rPr>
              <w:t>Ratios entre composantes fixe et variable de la rémunération définis conformément au point g) de l</w:t>
            </w:r>
            <w:r w:rsidR="000D0548">
              <w:rPr>
                <w:rFonts w:ascii="Times New Roman" w:hAnsi="Times New Roman"/>
                <w:sz w:val="24"/>
              </w:rPr>
              <w:t>’</w:t>
            </w:r>
            <w:r>
              <w:rPr>
                <w:rFonts w:ascii="Times New Roman" w:hAnsi="Times New Roman"/>
                <w:sz w:val="24"/>
              </w:rPr>
              <w:t>article 94, paragraphe 1, de la directive (UE) 2013/36 (CRD)</w:t>
            </w:r>
            <w:r w:rsidRPr="007F4CC8">
              <w:rPr>
                <w:rStyle w:val="FootnoteReference"/>
                <w:rFonts w:ascii="Times New Roman" w:hAnsi="Times New Roman"/>
                <w:sz w:val="24"/>
              </w:rPr>
              <w:footnoteReference w:id="2"/>
            </w:r>
            <w:r>
              <w:rPr>
                <w:rFonts w:ascii="Times New Roman" w:hAnsi="Times New Roman"/>
                <w:sz w:val="24"/>
              </w:rPr>
              <w:t>.</w:t>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Description de la manière dont l’établissement s’efforce de lier les niveaux de rémunération à la performance réalisée au cours d’une période de mesure de la performance.</w:t>
            </w:r>
          </w:p>
          <w:p w14:paraId="2C4FFE4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Les informations à publier </w:t>
            </w:r>
            <w:proofErr w:type="gramStart"/>
            <w:r>
              <w:rPr>
                <w:rFonts w:ascii="Times New Roman" w:hAnsi="Times New Roman"/>
                <w:sz w:val="24"/>
              </w:rPr>
              <w:t>comprennent:</w:t>
            </w:r>
            <w:proofErr w:type="gramEnd"/>
          </w:p>
          <w:p w14:paraId="13DAA83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un aperçu général des principaux critères et indicateurs de performance pour l’établissement, les lignes d’activité et les membres du </w:t>
            </w:r>
            <w:proofErr w:type="gramStart"/>
            <w:r>
              <w:rPr>
                <w:rFonts w:ascii="Times New Roman" w:hAnsi="Times New Roman"/>
                <w:sz w:val="24"/>
              </w:rPr>
              <w:t>personnel;</w:t>
            </w:r>
            <w:proofErr w:type="gramEnd"/>
          </w:p>
          <w:p w14:paraId="4673DEDB"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un aperçu général de la manière dont les montants de rémunération variable individuelle sont liés aux performances à l’échelle de l’établissement et </w:t>
            </w:r>
            <w:proofErr w:type="gramStart"/>
            <w:r>
              <w:rPr>
                <w:rFonts w:ascii="Times New Roman" w:hAnsi="Times New Roman"/>
                <w:sz w:val="24"/>
              </w:rPr>
              <w:t>individuelles;</w:t>
            </w:r>
            <w:proofErr w:type="gramEnd"/>
          </w:p>
          <w:p w14:paraId="66395D1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des informations sur les critères utilisés pour déterminer l’équilibre entre les différents types d’instruments octroyés, y compris les actions, les droits de propriété équivalents, les options et autres </w:t>
            </w:r>
            <w:proofErr w:type="gramStart"/>
            <w:r>
              <w:rPr>
                <w:rFonts w:ascii="Times New Roman" w:hAnsi="Times New Roman"/>
                <w:sz w:val="24"/>
              </w:rPr>
              <w:t>instruments;</w:t>
            </w:r>
            <w:proofErr w:type="gramEnd"/>
          </w:p>
          <w:p w14:paraId="41B4F38D" w14:textId="77777777" w:rsidR="00965CEB" w:rsidRPr="007F4CC8" w:rsidRDefault="00965CEB" w:rsidP="00965CEB">
            <w:pPr>
              <w:pStyle w:val="ListParagraph"/>
              <w:numPr>
                <w:ilvl w:val="0"/>
                <w:numId w:val="3"/>
              </w:numPr>
              <w:spacing w:before="60" w:after="120"/>
              <w:jc w:val="both"/>
              <w:rPr>
                <w:rFonts w:ascii="Times New Roman" w:hAnsi="Times New Roman"/>
                <w:sz w:val="24"/>
              </w:rPr>
            </w:pPr>
            <w:r>
              <w:rPr>
                <w:rFonts w:ascii="Times New Roman" w:hAnsi="Times New Roman"/>
                <w:sz w:val="24"/>
              </w:rPr>
              <w:t>des informations sur les mesures que l’établissement mettra en œuvre pour ajuster la rémunération variable en cas de faiblesse des indicateurs de performance, y compris les critères utilisés par l’établissement pour déterminer les indicateurs de performance lorsque ceux-ci sont considérés comme</w:t>
            </w:r>
            <w:proofErr w:type="gramStart"/>
            <w:r>
              <w:rPr>
                <w:rFonts w:ascii="Times New Roman" w:hAnsi="Times New Roman"/>
                <w:sz w:val="24"/>
              </w:rPr>
              <w:t xml:space="preserve"> «faibles</w:t>
            </w:r>
            <w:proofErr w:type="gramEnd"/>
            <w:r>
              <w:rPr>
                <w:rFonts w:ascii="Times New Roman" w:hAnsi="Times New Roman"/>
                <w:sz w:val="24"/>
              </w:rPr>
              <w:t xml:space="preserve">». Conformément à </w:t>
            </w:r>
            <w:r>
              <w:rPr>
                <w:rFonts w:ascii="Times New Roman" w:hAnsi="Times New Roman"/>
                <w:sz w:val="24"/>
              </w:rPr>
              <w:lastRenderedPageBreak/>
              <w:t>l’article 94, paragraphe 1, point n), de la CRD, pour être versée ou acquise, la rémunération variable doit être justifiée sur la base des performances de l’établissement, de l’unité opérationnelle et de la personne concernée. Les établissements expliquent les critères/seuils permettant de déterminer que les performances sont faibles et ne justifient pas que la rémunération variable puisse être versée ou acquise.</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50DFCD8A" w:rsidR="00965CEB" w:rsidRPr="007F4CC8" w:rsidRDefault="00965CEB" w:rsidP="004F3087">
            <w:pPr>
              <w:spacing w:before="60" w:after="120"/>
              <w:jc w:val="both"/>
              <w:rPr>
                <w:rFonts w:ascii="Times New Roman" w:hAnsi="Times New Roman"/>
                <w:sz w:val="24"/>
              </w:rPr>
            </w:pPr>
            <w:r>
              <w:rPr>
                <w:rFonts w:ascii="Times New Roman" w:hAnsi="Times New Roman"/>
                <w:sz w:val="24"/>
              </w:rPr>
              <w:t>Description de la manière dont l’établissement s’efforce d</w:t>
            </w:r>
            <w:r w:rsidR="000D0548">
              <w:rPr>
                <w:rFonts w:ascii="Times New Roman" w:hAnsi="Times New Roman"/>
                <w:sz w:val="24"/>
              </w:rPr>
              <w:t>’</w:t>
            </w:r>
            <w:r>
              <w:rPr>
                <w:rFonts w:ascii="Times New Roman" w:hAnsi="Times New Roman"/>
                <w:sz w:val="24"/>
              </w:rPr>
              <w:t>ajuster les rémunérations pour tenir compte des performances à long terme.</w:t>
            </w:r>
          </w:p>
          <w:p w14:paraId="6FD7FDE9"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Les informations à publier </w:t>
            </w:r>
            <w:proofErr w:type="gramStart"/>
            <w:r>
              <w:rPr>
                <w:rFonts w:ascii="Times New Roman" w:hAnsi="Times New Roman"/>
                <w:sz w:val="24"/>
              </w:rPr>
              <w:t>comprennent:</w:t>
            </w:r>
            <w:proofErr w:type="gramEnd"/>
          </w:p>
          <w:p w14:paraId="4C34D32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un aperçu général de la politique de l’établissement en matière de report, de paiement sous la forme d’instruments, de périodes de rétention, et d’acquisition de la rémunération variable, y compris lorsque cette politique diffère selon le personnel ou les catégories de </w:t>
            </w:r>
            <w:proofErr w:type="gramStart"/>
            <w:r>
              <w:rPr>
                <w:rFonts w:ascii="Times New Roman" w:hAnsi="Times New Roman"/>
                <w:sz w:val="24"/>
              </w:rPr>
              <w:t>personnel;</w:t>
            </w:r>
            <w:proofErr w:type="gramEnd"/>
          </w:p>
          <w:p w14:paraId="21961ED2"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des informations sur les critères de l’établissement pour les ajustements ex post [malus pendant le report et recouvrement (</w:t>
            </w:r>
            <w:proofErr w:type="spellStart"/>
            <w:r>
              <w:rPr>
                <w:rFonts w:ascii="Times New Roman" w:hAnsi="Times New Roman"/>
                <w:sz w:val="24"/>
              </w:rPr>
              <w:t>clawback</w:t>
            </w:r>
            <w:proofErr w:type="spellEnd"/>
            <w:r>
              <w:rPr>
                <w:rFonts w:ascii="Times New Roman" w:hAnsi="Times New Roman"/>
                <w:sz w:val="24"/>
              </w:rPr>
              <w:t>) après l’acquisition des droits, si la législation nationale le permet</w:t>
            </w:r>
            <w:proofErr w:type="gramStart"/>
            <w:r>
              <w:rPr>
                <w:rFonts w:ascii="Times New Roman" w:hAnsi="Times New Roman"/>
                <w:sz w:val="24"/>
              </w:rPr>
              <w:t>];</w:t>
            </w:r>
            <w:proofErr w:type="gramEnd"/>
          </w:p>
          <w:p w14:paraId="17291DFB" w14:textId="77777777" w:rsidR="00965CEB" w:rsidRPr="007F4CC8" w:rsidRDefault="00965CEB" w:rsidP="00965CEB">
            <w:pPr>
              <w:pStyle w:val="ListParagraph"/>
              <w:numPr>
                <w:ilvl w:val="0"/>
                <w:numId w:val="3"/>
              </w:numPr>
              <w:spacing w:before="60" w:after="120"/>
              <w:jc w:val="both"/>
              <w:rPr>
                <w:rFonts w:ascii="Times New Roman" w:hAnsi="Times New Roman"/>
                <w:b/>
                <w:sz w:val="24"/>
                <w:szCs w:val="24"/>
              </w:rPr>
            </w:pPr>
            <w:r>
              <w:rPr>
                <w:rFonts w:ascii="Times New Roman" w:hAnsi="Times New Roman"/>
                <w:sz w:val="24"/>
              </w:rPr>
              <w:t>le cas échéant, les exigences en matière de détention de capital qui peuvent être imposées au personnel identifié.</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1BA3B757" w:rsidR="00965CEB" w:rsidRPr="007F4CC8" w:rsidRDefault="00965CEB" w:rsidP="004F3087">
            <w:pPr>
              <w:spacing w:before="60" w:after="120"/>
              <w:jc w:val="both"/>
              <w:rPr>
                <w:rFonts w:ascii="Times New Roman" w:hAnsi="Times New Roman"/>
                <w:sz w:val="24"/>
              </w:rPr>
            </w:pPr>
            <w:r>
              <w:rPr>
                <w:rFonts w:ascii="Times New Roman" w:hAnsi="Times New Roman"/>
                <w:sz w:val="24"/>
              </w:rPr>
              <w:t>La description des principaux paramètres et de la justification de tout régime à composantes variables et des avantages autres qu</w:t>
            </w:r>
            <w:r w:rsidR="000D0548">
              <w:rPr>
                <w:rFonts w:ascii="Times New Roman" w:hAnsi="Times New Roman"/>
                <w:sz w:val="24"/>
              </w:rPr>
              <w:t>’</w:t>
            </w:r>
            <w:r>
              <w:rPr>
                <w:rFonts w:ascii="Times New Roman" w:hAnsi="Times New Roman"/>
                <w:sz w:val="24"/>
              </w:rPr>
              <w:t xml:space="preserve">en espèces, comme indiqué à l’article 450, paragraphe 1, point f), du CRR. Les informations à publier </w:t>
            </w:r>
            <w:proofErr w:type="gramStart"/>
            <w:r>
              <w:rPr>
                <w:rFonts w:ascii="Times New Roman" w:hAnsi="Times New Roman"/>
                <w:sz w:val="24"/>
              </w:rPr>
              <w:t>comprennent:</w:t>
            </w:r>
            <w:proofErr w:type="gramEnd"/>
          </w:p>
          <w:p w14:paraId="41EACCD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Des informations sur les indicateurs de risque/performance spécifiques utilisés pour déterminer les composantes variables de la rémunération et les critères utilisés pour déterminer l’équilibre entre les différents types d’instruments octroyés, y compris les actions, les droits de propriété équivalents, les instruments liés à des actions, les instruments non numéraires équivalents, les options et les autres instruments.</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2AD35172" w:rsidR="00965CEB" w:rsidRPr="007F4CC8" w:rsidRDefault="00965CEB" w:rsidP="004F3087">
            <w:pPr>
              <w:spacing w:before="60" w:after="120"/>
              <w:jc w:val="both"/>
              <w:rPr>
                <w:rFonts w:ascii="Times New Roman" w:hAnsi="Times New Roman"/>
                <w:sz w:val="24"/>
              </w:rPr>
            </w:pPr>
            <w:r>
              <w:rPr>
                <w:rFonts w:ascii="Times New Roman" w:hAnsi="Times New Roman"/>
                <w:sz w:val="24"/>
              </w:rPr>
              <w:t>Sur demande de l</w:t>
            </w:r>
            <w:r w:rsidR="000D0548">
              <w:rPr>
                <w:rFonts w:ascii="Times New Roman" w:hAnsi="Times New Roman"/>
                <w:sz w:val="24"/>
              </w:rPr>
              <w:t>’</w:t>
            </w:r>
            <w:r>
              <w:rPr>
                <w:rFonts w:ascii="Times New Roman" w:hAnsi="Times New Roman"/>
                <w:sz w:val="24"/>
              </w:rPr>
              <w:t>État membre concerné ou de l</w:t>
            </w:r>
            <w:r w:rsidR="000D0548">
              <w:rPr>
                <w:rFonts w:ascii="Times New Roman" w:hAnsi="Times New Roman"/>
                <w:sz w:val="24"/>
              </w:rPr>
              <w:t>’</w:t>
            </w:r>
            <w:r>
              <w:rPr>
                <w:rFonts w:ascii="Times New Roman" w:hAnsi="Times New Roman"/>
                <w:sz w:val="24"/>
              </w:rPr>
              <w:t>autorité compétente pertinente, la rémunération totale pour chaque membre de l</w:t>
            </w:r>
            <w:r w:rsidR="000D0548">
              <w:rPr>
                <w:rFonts w:ascii="Times New Roman" w:hAnsi="Times New Roman"/>
                <w:sz w:val="24"/>
              </w:rPr>
              <w:t>’</w:t>
            </w:r>
            <w:r>
              <w:rPr>
                <w:rFonts w:ascii="Times New Roman" w:hAnsi="Times New Roman"/>
                <w:sz w:val="24"/>
              </w:rPr>
              <w:t>organe de direction ou de la direction générale, comme indiqué à l’article 450, paragraphe 1, point j), du CRR.</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0BAA8FA2" w:rsidR="00965CEB" w:rsidRPr="007F4CC8" w:rsidRDefault="00965CEB" w:rsidP="004F3087">
            <w:pPr>
              <w:spacing w:before="60" w:after="120"/>
              <w:jc w:val="both"/>
              <w:rPr>
                <w:rFonts w:ascii="Times New Roman" w:hAnsi="Times New Roman"/>
                <w:sz w:val="24"/>
              </w:rPr>
            </w:pPr>
            <w:r>
              <w:rPr>
                <w:rFonts w:ascii="Times New Roman" w:hAnsi="Times New Roman"/>
                <w:sz w:val="24"/>
              </w:rPr>
              <w:t>Des informations indiquant si l</w:t>
            </w:r>
            <w:r w:rsidR="000D0548">
              <w:rPr>
                <w:rFonts w:ascii="Times New Roman" w:hAnsi="Times New Roman"/>
                <w:sz w:val="24"/>
              </w:rPr>
              <w:t>’</w:t>
            </w:r>
            <w:r>
              <w:rPr>
                <w:rFonts w:ascii="Times New Roman" w:hAnsi="Times New Roman"/>
                <w:sz w:val="24"/>
              </w:rPr>
              <w:t>établissement bénéficie d</w:t>
            </w:r>
            <w:r w:rsidR="000D0548">
              <w:rPr>
                <w:rFonts w:ascii="Times New Roman" w:hAnsi="Times New Roman"/>
                <w:sz w:val="24"/>
              </w:rPr>
              <w:t>’</w:t>
            </w:r>
            <w:r>
              <w:rPr>
                <w:rFonts w:ascii="Times New Roman" w:hAnsi="Times New Roman"/>
                <w:sz w:val="24"/>
              </w:rPr>
              <w:t>une dérogation au titre de l</w:t>
            </w:r>
            <w:r w:rsidR="000D0548">
              <w:rPr>
                <w:rFonts w:ascii="Times New Roman" w:hAnsi="Times New Roman"/>
                <w:sz w:val="24"/>
              </w:rPr>
              <w:t>’</w:t>
            </w:r>
            <w:r>
              <w:rPr>
                <w:rFonts w:ascii="Times New Roman" w:hAnsi="Times New Roman"/>
                <w:sz w:val="24"/>
              </w:rPr>
              <w:t>article 94, paragraphe 3, de la directive CRD, comme indiqué à l’article 450, paragraphe 1, point k), du règlement CRR.</w:t>
            </w:r>
          </w:p>
          <w:p w14:paraId="43880B53" w14:textId="3B4993DE" w:rsidR="00965CEB" w:rsidRPr="007F4CC8" w:rsidRDefault="00965CEB" w:rsidP="004F3087">
            <w:pPr>
              <w:spacing w:before="60" w:after="120"/>
              <w:jc w:val="both"/>
              <w:rPr>
                <w:rFonts w:ascii="Times New Roman" w:hAnsi="Times New Roman"/>
                <w:sz w:val="24"/>
              </w:rPr>
            </w:pPr>
            <w:r>
              <w:rPr>
                <w:rFonts w:ascii="Times New Roman" w:hAnsi="Times New Roman"/>
                <w:sz w:val="24"/>
              </w:rPr>
              <w:t>Aux fins de ce point k), les établissements qui bénéficient d’une telle dérogation précisent si c’est sur la base de l’article 94, paragraphe 3, point a) ou b), ou de l</w:t>
            </w:r>
            <w:r w:rsidR="000D0548">
              <w:rPr>
                <w:rFonts w:ascii="Times New Roman" w:hAnsi="Times New Roman"/>
                <w:sz w:val="24"/>
              </w:rPr>
              <w:t>’</w:t>
            </w:r>
            <w:r>
              <w:rPr>
                <w:rFonts w:ascii="Times New Roman" w:hAnsi="Times New Roman"/>
                <w:sz w:val="24"/>
              </w:rPr>
              <w:t xml:space="preserve">article 94, paragraphe 3, points a) et b), de la directive CRD. Ils indiquent également à quelles exigences de rémunération ils appliquent la ou les dérogations (c’est-à-dire article 94, paragraphe 1, point l) et/ou point m) et/ou point o), de la CRD), le nombre de membres du personnel qui en </w:t>
            </w:r>
            <w:r>
              <w:rPr>
                <w:rFonts w:ascii="Times New Roman" w:hAnsi="Times New Roman"/>
                <w:sz w:val="24"/>
              </w:rPr>
              <w:lastRenderedPageBreak/>
              <w:t>bénéficient et leur rémunération totale, ventilée entre rémunération fixe et rémunération variable.</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lastRenderedPageBreak/>
              <w:t>(j)</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Les établissements de grande taille publient les informations quantitatives sur la rémunération de leur organe collectif de direction en établissant une distinction entre membres exécutifs et membres non exécutifs, comme indiqué à l’article 450, paragraphe 2, du CRR.</w:t>
            </w:r>
          </w:p>
        </w:tc>
      </w:tr>
    </w:tbl>
    <w:p w14:paraId="253E4D29" w14:textId="77777777" w:rsidR="00965CEB" w:rsidRPr="000D0548" w:rsidRDefault="00965CEB" w:rsidP="00965CEB">
      <w:pPr>
        <w:pStyle w:val="Titlelevel2"/>
        <w:spacing w:before="120" w:after="120"/>
        <w:rPr>
          <w:rFonts w:ascii="Times New Roman" w:hAnsi="Times New Roman" w:cs="Times New Roman"/>
          <w:b/>
          <w:color w:val="auto"/>
          <w:sz w:val="24"/>
          <w:lang w:val="fr-BE"/>
        </w:rPr>
      </w:pPr>
    </w:p>
    <w:p w14:paraId="6222D5CA" w14:textId="77777777" w:rsidR="00965CEB" w:rsidRPr="000D0548" w:rsidRDefault="00965CEB" w:rsidP="00965CEB">
      <w:pPr>
        <w:pStyle w:val="Titlelevel2"/>
        <w:spacing w:before="120" w:after="120"/>
        <w:rPr>
          <w:rFonts w:ascii="Times New Roman" w:hAnsi="Times New Roman" w:cs="Times New Roman"/>
          <w:b/>
          <w:color w:val="auto"/>
          <w:sz w:val="24"/>
          <w:lang w:val="fr-BE"/>
        </w:rPr>
      </w:pPr>
    </w:p>
    <w:p w14:paraId="6D70938D" w14:textId="77777777" w:rsidR="00965CEB" w:rsidRPr="000D0548" w:rsidRDefault="00965CEB" w:rsidP="00965CEB">
      <w:pPr>
        <w:pStyle w:val="Titlelevel2"/>
        <w:spacing w:before="120" w:after="120"/>
        <w:rPr>
          <w:rFonts w:ascii="Times New Roman" w:hAnsi="Times New Roman" w:cs="Times New Roman"/>
          <w:b/>
          <w:color w:val="auto"/>
          <w:sz w:val="24"/>
          <w:lang w:val="fr-BE"/>
        </w:rPr>
      </w:pPr>
    </w:p>
    <w:p w14:paraId="12D97B04" w14:textId="77777777" w:rsidR="00965CEB" w:rsidRPr="000D0548" w:rsidRDefault="00965CEB" w:rsidP="00965CEB">
      <w:pPr>
        <w:pStyle w:val="Titlelevel2"/>
        <w:spacing w:before="120" w:after="120"/>
        <w:rPr>
          <w:rFonts w:ascii="Times New Roman" w:hAnsi="Times New Roman" w:cs="Times New Roman"/>
          <w:b/>
          <w:color w:val="auto"/>
          <w:sz w:val="24"/>
          <w:lang w:val="fr-BE"/>
        </w:rPr>
      </w:pPr>
    </w:p>
    <w:p w14:paraId="3C51066B"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Modèle EU REM1 — Rémunérations octroyées pour l’exercice </w:t>
      </w:r>
      <w:proofErr w:type="gramStart"/>
      <w:r>
        <w:rPr>
          <w:rFonts w:ascii="Times New Roman" w:hAnsi="Times New Roman"/>
          <w:b/>
          <w:color w:val="auto"/>
          <w:sz w:val="24"/>
        </w:rPr>
        <w:t>financier:</w:t>
      </w:r>
      <w:proofErr w:type="gramEnd"/>
      <w:r>
        <w:rPr>
          <w:rFonts w:ascii="Times New Roman" w:hAnsi="Times New Roman"/>
          <w:b/>
          <w:color w:val="auto"/>
          <w:sz w:val="24"/>
        </w:rPr>
        <w:t xml:space="preserve"> </w:t>
      </w:r>
      <w:r>
        <w:rPr>
          <w:rFonts w:ascii="Times New Roman" w:hAnsi="Times New Roman"/>
          <w:color w:val="auto"/>
          <w:sz w:val="24"/>
        </w:rPr>
        <w:t>Format fixe</w:t>
      </w:r>
    </w:p>
    <w:p w14:paraId="0B701908"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Les établissements appliquent les instructions ci-dessous dans la présente annexe pour compléter le modèle EU REM1 présenté à l’annexe XXXIII du présent règlement d’exécution, en application de l’article 450, paragraphe 1, point h) i) à ii), du CRR.</w:t>
      </w:r>
    </w:p>
    <w:p w14:paraId="667CF96F" w14:textId="77777777" w:rsidR="00965CEB" w:rsidRPr="000D0548" w:rsidRDefault="00965CEB" w:rsidP="00965CEB">
      <w:pPr>
        <w:pStyle w:val="Titlelevel2"/>
        <w:spacing w:before="120" w:after="120"/>
        <w:ind w:left="720"/>
        <w:jc w:val="both"/>
        <w:rPr>
          <w:rFonts w:ascii="Times New Roman" w:eastAsiaTheme="minorEastAsia" w:hAnsi="Times New Roman" w:cs="Times New Roman"/>
          <w:bCs w:val="0"/>
          <w:color w:val="auto"/>
          <w:sz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rFonts w:ascii="Times New Roman" w:hAnsi="Times New Roman" w:cs="Times New Roman"/>
                <w:b/>
                <w:sz w:val="24"/>
              </w:rPr>
            </w:pPr>
            <w:r>
              <w:rPr>
                <w:rFonts w:ascii="Times New Roman" w:hAnsi="Times New Roman"/>
                <w:b/>
                <w:sz w:val="24"/>
              </w:rPr>
              <w:t>Références juridiques et instructions</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 et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Nombre de membres du personnel identifiés</w:t>
            </w:r>
          </w:p>
          <w:p w14:paraId="23AE8698"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Le nombre de membres du personnel dont les activités professionnelles ont une incidence significative sur le profil de risque des établissements, conformément à l’article 92 de la CRD et au règlement délégué de la Commission relatif au personnel identifié</w:t>
            </w:r>
            <w:r w:rsidRPr="007F4CC8">
              <w:rPr>
                <w:rStyle w:val="FootnoteReference"/>
                <w:rFonts w:ascii="Times New Roman" w:hAnsi="Times New Roman" w:cs="Times New Roman"/>
                <w:sz w:val="24"/>
              </w:rPr>
              <w:footnoteReference w:id="3"/>
            </w:r>
            <w:r>
              <w:rPr>
                <w:rFonts w:ascii="Times New Roman" w:hAnsi="Times New Roman"/>
                <w:sz w:val="24"/>
              </w:rPr>
              <w:t xml:space="preserve"> en application de l’article 94, paragraphe 2, de la CRD (personnel identifié), et qui bénéficient des composantes de rémunération énumérées dans le présent modèle. Il est calculé selon l’approche ETP (équivalent temps plein) pour le personnel identifié autre que les membres des organes de direction, pour lesquels les chiffres sont indiqués sur la base des effectifs (nombre de personnes).</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Rémunération fixe totale</w:t>
            </w:r>
          </w:p>
          <w:p w14:paraId="03654C0F"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Somme des montants aux lignes 3 à 7 du présent modèle</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rFonts w:ascii="Times New Roman" w:hAnsi="Times New Roman"/>
                <w:sz w:val="24"/>
              </w:rPr>
            </w:pPr>
            <w:proofErr w:type="gramStart"/>
            <w:r>
              <w:rPr>
                <w:rFonts w:ascii="Times New Roman" w:hAnsi="Times New Roman"/>
                <w:sz w:val="24"/>
              </w:rPr>
              <w:t>Dont:</w:t>
            </w:r>
            <w:proofErr w:type="gramEnd"/>
            <w:r>
              <w:rPr>
                <w:rFonts w:ascii="Times New Roman" w:hAnsi="Times New Roman"/>
                <w:sz w:val="24"/>
              </w:rPr>
              <w:t xml:space="preserve"> en numéraire</w:t>
            </w:r>
          </w:p>
          <w:p w14:paraId="1A2351D8"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Le montant de la rémunération en numéraire incluse dans la rémunération fixe</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rFonts w:ascii="Times New Roman" w:hAnsi="Times New Roman"/>
                <w:sz w:val="24"/>
              </w:rPr>
            </w:pPr>
            <w:proofErr w:type="gramStart"/>
            <w:r>
              <w:rPr>
                <w:rFonts w:ascii="Times New Roman" w:hAnsi="Times New Roman"/>
                <w:sz w:val="24"/>
              </w:rPr>
              <w:t>Dont:</w:t>
            </w:r>
            <w:proofErr w:type="gramEnd"/>
            <w:r>
              <w:rPr>
                <w:rFonts w:ascii="Times New Roman" w:hAnsi="Times New Roman"/>
                <w:sz w:val="24"/>
              </w:rPr>
              <w:t xml:space="preserve"> actions ou droits de propriété équivalents</w:t>
            </w:r>
          </w:p>
          <w:p w14:paraId="14E3789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La somme des montants des actions ou des droits de propriété équivalents, selon la structure juridique de l’établissement concerné, visés à l’article 94, paragraphe 1, point l) i), de la CRD inclus dans la rémunération fixe.</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rFonts w:ascii="Times New Roman" w:hAnsi="Times New Roman"/>
                <w:sz w:val="24"/>
              </w:rPr>
            </w:pPr>
            <w:proofErr w:type="gramStart"/>
            <w:r>
              <w:rPr>
                <w:rFonts w:ascii="Times New Roman" w:hAnsi="Times New Roman"/>
                <w:sz w:val="24"/>
              </w:rPr>
              <w:t>Dont:</w:t>
            </w:r>
            <w:proofErr w:type="gramEnd"/>
            <w:r>
              <w:rPr>
                <w:rFonts w:ascii="Times New Roman" w:hAnsi="Times New Roman"/>
                <w:sz w:val="24"/>
              </w:rPr>
              <w:t xml:space="preserve"> instruments liés à des actions ou instruments non numéraires équivalents </w:t>
            </w:r>
          </w:p>
          <w:p w14:paraId="54EF89ED"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La somme des montants des instruments liés à des actions ou instruments non numéraires équivalents visés à l’article 94, paragraphe 1, point l) i), de la CRD inclus dans la rémunération fixe</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rFonts w:ascii="Times New Roman" w:hAnsi="Times New Roman"/>
                <w:sz w:val="24"/>
              </w:rPr>
            </w:pPr>
            <w:proofErr w:type="gramStart"/>
            <w:r>
              <w:rPr>
                <w:rFonts w:ascii="Times New Roman" w:hAnsi="Times New Roman"/>
                <w:sz w:val="24"/>
              </w:rPr>
              <w:t>Dont:</w:t>
            </w:r>
            <w:proofErr w:type="gramEnd"/>
            <w:r>
              <w:rPr>
                <w:rFonts w:ascii="Times New Roman" w:hAnsi="Times New Roman"/>
                <w:sz w:val="24"/>
              </w:rPr>
              <w:t xml:space="preserve"> autres instruments</w:t>
            </w:r>
          </w:p>
          <w:p w14:paraId="06C24EE7"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Montant des autres instruments visés à l’article 94, paragraphe 1, point l) ii), de la CRD inclus dans la rémunération fixe</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rFonts w:ascii="Times New Roman" w:hAnsi="Times New Roman"/>
                <w:sz w:val="24"/>
              </w:rPr>
            </w:pPr>
            <w:proofErr w:type="gramStart"/>
            <w:r>
              <w:rPr>
                <w:rFonts w:ascii="Times New Roman" w:hAnsi="Times New Roman"/>
                <w:sz w:val="24"/>
              </w:rPr>
              <w:t>Dont:</w:t>
            </w:r>
            <w:proofErr w:type="gramEnd"/>
            <w:r>
              <w:rPr>
                <w:rFonts w:ascii="Times New Roman" w:hAnsi="Times New Roman"/>
                <w:sz w:val="24"/>
              </w:rPr>
              <w:t xml:space="preserve"> autres formes</w:t>
            </w:r>
          </w:p>
          <w:p w14:paraId="35C192C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Montants de rémunération fixe octroyés pour l’exercice financier autres que ceux indiqués dans les autres lignes figurant sous la rubrique</w:t>
            </w:r>
            <w:proofErr w:type="gramStart"/>
            <w:r>
              <w:rPr>
                <w:rFonts w:ascii="Times New Roman" w:hAnsi="Times New Roman"/>
                <w:sz w:val="24"/>
              </w:rPr>
              <w:t xml:space="preserve"> «rémunération</w:t>
            </w:r>
            <w:proofErr w:type="gramEnd"/>
            <w:r>
              <w:rPr>
                <w:rFonts w:ascii="Times New Roman" w:hAnsi="Times New Roman"/>
                <w:sz w:val="24"/>
              </w:rPr>
              <w:t xml:space="preserve"> fixe totale»</w:t>
            </w:r>
          </w:p>
          <w:p w14:paraId="5E279F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Cela peut inclure des cotisations de retraite ordinaires et proportionnelles, ou des avantages (lorsque ces avantages ne sont liés à aucun critère de performance), visés au considérant 64 de la CRD, ou d’autres formes de rémunération telles que les indemnités de déplacement.</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Rémunération variable totale</w:t>
            </w:r>
          </w:p>
          <w:p w14:paraId="00FC93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Somme des montants aux lignes 11, EU-13a, EU-13b, EU-14x et 15 du présent modèle</w:t>
            </w:r>
          </w:p>
          <w:p w14:paraId="74BA85CD" w14:textId="5E2FC320"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La somme de toutes les composantes de la rémunération qui ne font pas partie de la rémunération fixe indiquée à la ligne 2 du présent modèle, y compris les rémunérations variables garanties et les indemnités de départ octroyées au cours de l</w:t>
            </w:r>
            <w:r w:rsidR="000D0548">
              <w:rPr>
                <w:rFonts w:ascii="Times New Roman" w:hAnsi="Times New Roman"/>
                <w:sz w:val="24"/>
              </w:rPr>
              <w:t>’</w:t>
            </w:r>
            <w:r>
              <w:rPr>
                <w:rFonts w:ascii="Times New Roman" w:hAnsi="Times New Roman"/>
                <w:sz w:val="24"/>
              </w:rPr>
              <w:t>exercice.</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rFonts w:ascii="Times New Roman" w:hAnsi="Times New Roman"/>
                <w:sz w:val="24"/>
              </w:rPr>
            </w:pPr>
            <w:proofErr w:type="gramStart"/>
            <w:r>
              <w:rPr>
                <w:rFonts w:ascii="Times New Roman" w:hAnsi="Times New Roman"/>
                <w:sz w:val="24"/>
              </w:rPr>
              <w:t>Dont:</w:t>
            </w:r>
            <w:proofErr w:type="gramEnd"/>
            <w:r>
              <w:rPr>
                <w:rFonts w:ascii="Times New Roman" w:hAnsi="Times New Roman"/>
                <w:sz w:val="24"/>
              </w:rPr>
              <w:t xml:space="preserve"> en numéraire</w:t>
            </w:r>
          </w:p>
          <w:p w14:paraId="2BEE787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Montant de la rémunération en numéraire incluse dans la rémunération variable</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12, EU-14a, EU-14b, EU-14y et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rFonts w:ascii="Times New Roman" w:hAnsi="Times New Roman"/>
                <w:sz w:val="24"/>
              </w:rPr>
            </w:pPr>
            <w:proofErr w:type="gramStart"/>
            <w:r>
              <w:rPr>
                <w:rFonts w:ascii="Times New Roman" w:hAnsi="Times New Roman"/>
                <w:sz w:val="24"/>
              </w:rPr>
              <w:t>Dont:</w:t>
            </w:r>
            <w:proofErr w:type="gramEnd"/>
            <w:r>
              <w:rPr>
                <w:rFonts w:ascii="Times New Roman" w:hAnsi="Times New Roman"/>
                <w:sz w:val="24"/>
              </w:rPr>
              <w:t xml:space="preserve"> différée</w:t>
            </w:r>
          </w:p>
          <w:p w14:paraId="151C1A05"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Montants de rémunération variable, par type de composante, qui sont différés, déterminés conformément à l’article 94 de la CRD.</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rFonts w:ascii="Times New Roman" w:hAnsi="Times New Roman"/>
                <w:sz w:val="24"/>
              </w:rPr>
            </w:pPr>
            <w:proofErr w:type="gramStart"/>
            <w:r>
              <w:rPr>
                <w:rFonts w:ascii="Times New Roman" w:hAnsi="Times New Roman"/>
                <w:sz w:val="24"/>
              </w:rPr>
              <w:t>Dont:</w:t>
            </w:r>
            <w:proofErr w:type="gramEnd"/>
            <w:r>
              <w:rPr>
                <w:rFonts w:ascii="Times New Roman" w:hAnsi="Times New Roman"/>
                <w:sz w:val="24"/>
              </w:rPr>
              <w:t xml:space="preserve"> actions ou droits de propriété équivalents</w:t>
            </w:r>
          </w:p>
          <w:p w14:paraId="4498A7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La somme des montants des actions ou des droits de propriété équivalents, selon la structure juridique de l’établissement concerné, visés à l’article 94, paragraphe 1, point l) i), de la CRD inclus dans la rémunération variable.</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rFonts w:ascii="Times New Roman" w:hAnsi="Times New Roman"/>
                <w:sz w:val="24"/>
              </w:rPr>
            </w:pPr>
            <w:proofErr w:type="gramStart"/>
            <w:r>
              <w:rPr>
                <w:rFonts w:ascii="Times New Roman" w:hAnsi="Times New Roman"/>
                <w:sz w:val="24"/>
              </w:rPr>
              <w:t>Dont:</w:t>
            </w:r>
            <w:proofErr w:type="gramEnd"/>
            <w:r>
              <w:rPr>
                <w:rFonts w:ascii="Times New Roman" w:hAnsi="Times New Roman"/>
                <w:sz w:val="24"/>
              </w:rPr>
              <w:t xml:space="preserve"> instruments liés à des actions ou instruments non numéraires équivalents </w:t>
            </w:r>
          </w:p>
          <w:p w14:paraId="6FA62A3F"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La somme des montants des instruments liés à des actions ou instruments non numéraires équivalents visés à l’article 94, paragraphe 1, point l) i), de la CRD inclus dans la rémunération variable</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rFonts w:ascii="Times New Roman" w:hAnsi="Times New Roman"/>
                <w:sz w:val="24"/>
              </w:rPr>
            </w:pPr>
            <w:proofErr w:type="gramStart"/>
            <w:r>
              <w:rPr>
                <w:rFonts w:ascii="Times New Roman" w:hAnsi="Times New Roman"/>
                <w:sz w:val="24"/>
              </w:rPr>
              <w:t>Dont:</w:t>
            </w:r>
            <w:proofErr w:type="gramEnd"/>
            <w:r>
              <w:rPr>
                <w:rFonts w:ascii="Times New Roman" w:hAnsi="Times New Roman"/>
                <w:sz w:val="24"/>
              </w:rPr>
              <w:t xml:space="preserve"> autres instruments</w:t>
            </w:r>
          </w:p>
          <w:p w14:paraId="4D8E1D04" w14:textId="77777777" w:rsidR="00965CEB" w:rsidRPr="007F4CC8" w:rsidRDefault="00965CEB" w:rsidP="004F3087">
            <w:pPr>
              <w:autoSpaceDE w:val="0"/>
              <w:autoSpaceDN w:val="0"/>
              <w:adjustRightInd w:val="0"/>
              <w:spacing w:after="120"/>
              <w:jc w:val="both"/>
              <w:rPr>
                <w:rFonts w:ascii="Times New Roman" w:hAnsi="Times New Roman"/>
                <w:b/>
                <w:sz w:val="24"/>
              </w:rPr>
            </w:pPr>
            <w:r>
              <w:rPr>
                <w:rFonts w:ascii="Times New Roman" w:hAnsi="Times New Roman"/>
                <w:sz w:val="24"/>
              </w:rPr>
              <w:t>Montant des autres instruments visés à l’article 94, paragraphe 1, point l) ii), de la CRD inclus dans la rémunération variable</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rFonts w:ascii="Times New Roman" w:hAnsi="Times New Roman"/>
                <w:sz w:val="24"/>
              </w:rPr>
            </w:pPr>
            <w:proofErr w:type="gramStart"/>
            <w:r>
              <w:rPr>
                <w:rFonts w:ascii="Times New Roman" w:hAnsi="Times New Roman"/>
                <w:sz w:val="24"/>
              </w:rPr>
              <w:t>Dont:</w:t>
            </w:r>
            <w:proofErr w:type="gramEnd"/>
            <w:r>
              <w:rPr>
                <w:rFonts w:ascii="Times New Roman" w:hAnsi="Times New Roman"/>
                <w:sz w:val="24"/>
              </w:rPr>
              <w:t xml:space="preserve"> autres formes</w:t>
            </w:r>
          </w:p>
          <w:p w14:paraId="236742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Montants de rémunération variable octroyés pour l’exercice financier autres que ceux indiqués dans les autres lignes figurant sous la rubrique</w:t>
            </w:r>
            <w:proofErr w:type="gramStart"/>
            <w:r>
              <w:rPr>
                <w:rFonts w:ascii="Times New Roman" w:hAnsi="Times New Roman"/>
                <w:sz w:val="24"/>
              </w:rPr>
              <w:t xml:space="preserve"> «rémunération</w:t>
            </w:r>
            <w:proofErr w:type="gramEnd"/>
            <w:r>
              <w:rPr>
                <w:rFonts w:ascii="Times New Roman" w:hAnsi="Times New Roman"/>
                <w:sz w:val="24"/>
              </w:rPr>
              <w:t xml:space="preserve"> variable»</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Rémunération totale</w:t>
            </w:r>
          </w:p>
          <w:p w14:paraId="7D746BF1"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Somme des montants aux lignes 2 et 10 du présent modèle.</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Explication</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43824722"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Organe de direction </w:t>
            </w:r>
            <w:r w:rsidR="000D0548">
              <w:rPr>
                <w:rFonts w:ascii="Times New Roman" w:hAnsi="Times New Roman"/>
                <w:sz w:val="24"/>
              </w:rPr>
              <w:t>—</w:t>
            </w:r>
            <w:r>
              <w:rPr>
                <w:rFonts w:ascii="Times New Roman" w:hAnsi="Times New Roman"/>
                <w:sz w:val="24"/>
              </w:rPr>
              <w:t xml:space="preserve"> Fonction de surveillance</w:t>
            </w:r>
          </w:p>
          <w:p w14:paraId="5B085248" w14:textId="44732460"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L’organe de direction dans sa fonction de surveillance, au sens de l’article 3, paragraphe 1, point 8), de la CRD, c</w:t>
            </w:r>
            <w:r w:rsidR="000D0548">
              <w:rPr>
                <w:rFonts w:ascii="Times New Roman" w:hAnsi="Times New Roman"/>
                <w:sz w:val="24"/>
              </w:rPr>
              <w:t>’</w:t>
            </w:r>
            <w:r>
              <w:rPr>
                <w:rFonts w:ascii="Times New Roman" w:hAnsi="Times New Roman"/>
                <w:sz w:val="24"/>
              </w:rPr>
              <w:t xml:space="preserve">est-à-dire l’organe de direction agissant dans le cadre de son rôle de supervision et de suivi des décisions en matière de gestion. </w:t>
            </w:r>
          </w:p>
          <w:p w14:paraId="69498C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Les établissements publient les informations sur la base des effectifs. </w:t>
            </w:r>
          </w:p>
          <w:p w14:paraId="45A26C8B"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Conformément à l’article 13 du CRR, les établissements mères dans l’Union publient ces informations sur la base de leur situation consolidée, et les filiales de grande taille des établissements mères dans l’Union publient ces informations sur une base individuelle ou, lorsque ce règlement et la CRD le prévoient, sur une base sous-consolidée. L’entité qui publie les informations indiquera dans cette colonne les informations relatives à son organe de direction. Si, conformément aux articles 6 et 13 du CRR, les informations sont publiées au niveau consolidé ou sous-consolidé, les informations sur le personnel identifié des organes de direction des filiales seront publiées dans le domaine d’activité concerné.</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1C8E3B88"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Organe de direction </w:t>
            </w:r>
            <w:r w:rsidR="000D0548">
              <w:rPr>
                <w:rFonts w:ascii="Times New Roman" w:hAnsi="Times New Roman"/>
                <w:sz w:val="24"/>
              </w:rPr>
              <w:t>—</w:t>
            </w:r>
            <w:r>
              <w:rPr>
                <w:rFonts w:ascii="Times New Roman" w:hAnsi="Times New Roman"/>
                <w:sz w:val="24"/>
              </w:rPr>
              <w:t xml:space="preserve"> Fonction de gestion </w:t>
            </w:r>
          </w:p>
          <w:p w14:paraId="286AC6E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Membres de l’organe de direction responsables de ses fonctions de gestion</w:t>
            </w:r>
          </w:p>
          <w:p w14:paraId="235DAD7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Les établissements publient les informations sur la base des effectifs.</w:t>
            </w:r>
          </w:p>
          <w:p w14:paraId="5BD4796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Les établissements publient les informations sur la base des effectifs. Conformément à l’article 13 du CRR, les établissements mères dans l’Union publient ces informations sur la base de leur situation consolidée et les filiales de grande taille des établissements mères dans l’Union publient ces informations sur une base individuelle ou, lorsque ce règlement et la CRD le prévoient, sur une base sous-consolidée. L’entité qui publie les informations indiquera dans cette colonne les informations relatives à son organe de direction. Si, conformément aux articles 6 et 13 du CRR, les informations sont publiées au niveau consolidé ou sous-consolidé, les informations sur le personnel identifié des organes de direction des filiales seront publiées dans le domaine d’activité concerné.</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Autres membres de la direction générale</w:t>
            </w:r>
          </w:p>
          <w:p w14:paraId="43B1CA8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Direction générale au sens de l’article 3, paragraphe 1, point 9), de la CRD.</w:t>
            </w:r>
          </w:p>
          <w:p w14:paraId="16B3B839" w14:textId="5462E45F"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Les établissements indiquent le nombre de membres de la direction générale qui ne sont pas déclarés dans la rubrique</w:t>
            </w:r>
            <w:proofErr w:type="gramStart"/>
            <w:r>
              <w:rPr>
                <w:rFonts w:ascii="Times New Roman" w:hAnsi="Times New Roman"/>
                <w:sz w:val="24"/>
              </w:rPr>
              <w:t xml:space="preserve"> «organe</w:t>
            </w:r>
            <w:proofErr w:type="gramEnd"/>
            <w:r>
              <w:rPr>
                <w:rFonts w:ascii="Times New Roman" w:hAnsi="Times New Roman"/>
                <w:sz w:val="24"/>
              </w:rPr>
              <w:t xml:space="preserve"> de direction </w:t>
            </w:r>
            <w:r w:rsidR="000D0548">
              <w:rPr>
                <w:rFonts w:ascii="Times New Roman" w:hAnsi="Times New Roman"/>
                <w:sz w:val="24"/>
              </w:rPr>
              <w:t>—</w:t>
            </w:r>
            <w:r>
              <w:rPr>
                <w:rFonts w:ascii="Times New Roman" w:hAnsi="Times New Roman"/>
                <w:sz w:val="24"/>
              </w:rPr>
              <w:t xml:space="preserve"> fonction de </w:t>
            </w:r>
            <w:r>
              <w:rPr>
                <w:rFonts w:ascii="Times New Roman" w:hAnsi="Times New Roman"/>
                <w:sz w:val="24"/>
              </w:rPr>
              <w:lastRenderedPageBreak/>
              <w:t>gestion» ni dans la rubrique «autres membres du personnel identifiés». Les établissements publient les informations sur la base des ETP.</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Autres membres du personnel identifiés</w:t>
            </w:r>
          </w:p>
          <w:p w14:paraId="6ECAE4F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Membres du personnel, autres que les membres de l’organe de direction dans sa fonction de surveillance ou dans sa fonction de gestion et autres que les membres de la direction générale, dont les activités professionnelles ont une incidence significative sur le profil de risque de l’établissement selon les critères énoncés dans le règlement délégué de la Commission relatif au personnel identifié adopté en application de l’article 94, paragraphe 2, de la CRD et, le cas échéant, également selon les critères de l’établissement </w:t>
            </w:r>
          </w:p>
          <w:p w14:paraId="78BEE2A5"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Les établissements peuvent inclure, dans le présent modèle, la ventilation par domaines d’activité proposée dans le modèle EU REM5. Les établissements publient les informations sur la base des ETP.</w:t>
            </w:r>
          </w:p>
        </w:tc>
      </w:tr>
    </w:tbl>
    <w:p w14:paraId="68C370B5" w14:textId="77777777" w:rsidR="00965CEB" w:rsidRPr="000D0548" w:rsidRDefault="00965CEB" w:rsidP="00965CEB">
      <w:pPr>
        <w:pStyle w:val="Titlelevel2"/>
        <w:spacing w:before="120" w:after="120"/>
        <w:rPr>
          <w:rFonts w:ascii="Times New Roman" w:hAnsi="Times New Roman" w:cs="Times New Roman"/>
          <w:color w:val="auto"/>
          <w:sz w:val="24"/>
          <w:lang w:val="fr-BE"/>
        </w:rPr>
      </w:pPr>
    </w:p>
    <w:p w14:paraId="2CC7ABEB"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Modèle EU REM2 — Versements spéciaux aux membres du personnel dont les activités professionnelles ont une incidence significative sur le profil de risque de l’établissement (personnel identifié</w:t>
      </w:r>
      <w:proofErr w:type="gramStart"/>
      <w:r>
        <w:rPr>
          <w:rFonts w:ascii="Times New Roman" w:hAnsi="Times New Roman"/>
          <w:b/>
          <w:color w:val="auto"/>
          <w:sz w:val="24"/>
        </w:rPr>
        <w:t>):</w:t>
      </w:r>
      <w:proofErr w:type="gramEnd"/>
      <w:r>
        <w:rPr>
          <w:rFonts w:ascii="Times New Roman" w:hAnsi="Times New Roman"/>
          <w:b/>
          <w:color w:val="auto"/>
          <w:sz w:val="24"/>
        </w:rPr>
        <w:t xml:space="preserve"> </w:t>
      </w:r>
      <w:r>
        <w:rPr>
          <w:rFonts w:ascii="Times New Roman" w:hAnsi="Times New Roman"/>
          <w:color w:val="auto"/>
          <w:sz w:val="24"/>
        </w:rPr>
        <w:t>Format fixe</w:t>
      </w:r>
    </w:p>
    <w:p w14:paraId="031B19E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Les établissements publient les informations visées à l’article 450, paragraphe 1, points h) v) à vii), du CRR, suivant les instructions fournies ci-dessous dans la présente annexe pour compléter le modèle EU REM2 présenté à l’annexe XXXIII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rFonts w:ascii="Times New Roman" w:hAnsi="Times New Roman" w:cs="Times New Roman"/>
                <w:b/>
                <w:sz w:val="24"/>
              </w:rPr>
            </w:pPr>
            <w:r>
              <w:rPr>
                <w:rFonts w:ascii="Times New Roman" w:hAnsi="Times New Roman"/>
                <w:b/>
                <w:sz w:val="24"/>
              </w:rPr>
              <w:t>Références juridiques et instructions</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t>1, 4 et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Nombre de membres du personnel identifiés</w:t>
            </w:r>
          </w:p>
          <w:p w14:paraId="50587A1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Nombre de membres du personnel identifiés dont les activités professionnelles ont une incidence significative sur le profil de risque des établissements, conformément à l’article 92 de la CRD et au règlement délégué de la Commission relatif au personnel identifié adopté en application de l’article 94, paragraphe 2, de la CRD, pour chaque composante spécifique de la rémunération.</w:t>
            </w:r>
          </w:p>
          <w:p w14:paraId="6D4FEBDD" w14:textId="5B8FB4F3"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Pour les colonnes a) et b) (organe de direction) du présent modèle, la valeur doit être basée sur les effectifs (nombre de personnes). Pour les colonnes c) et d) du présent modèle, la valeur est calculée selon l</w:t>
            </w:r>
            <w:r w:rsidR="000D0548">
              <w:rPr>
                <w:rFonts w:ascii="Times New Roman" w:hAnsi="Times New Roman"/>
                <w:sz w:val="24"/>
              </w:rPr>
              <w:t>’</w:t>
            </w:r>
            <w:r>
              <w:rPr>
                <w:rFonts w:ascii="Times New Roman" w:hAnsi="Times New Roman"/>
                <w:sz w:val="24"/>
              </w:rPr>
              <w:t>approche ETP (équivalent temps plein).</w:t>
            </w:r>
          </w:p>
          <w:p w14:paraId="2E1869A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La ligne 4 du présent modèle se rapporte aux indemnités de départ octroyées au cours de périodes antérieures, et versées au cours de l’exercice financier (exercice actuel), tandis que la ligne 6 du présent modèle se rapporte aux indemnités octroyées au cours de l’exercice financier (exercice actuel).</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Rémunérations variables garanties octroyées — Montant total</w:t>
            </w:r>
          </w:p>
          <w:p w14:paraId="6D0F7C1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Montant des rémunérations variables garanties octroyées visées à l’article 94, paragraphe 1, point e), de la CRD.</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lastRenderedPageBreak/>
              <w:t>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Dont rémunérations variables garanties octroyées qui ont été versées au cours de l’exercice et qui ne sont pas prises en compte dans le plafonnement des primes</w:t>
            </w:r>
          </w:p>
          <w:p w14:paraId="35D0912A"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Montants des rémunérations variables garanties octroyées visées à l’article 94, paragraphe 1, point e), de la CRD qui ont été versées au cours de l’exercice financier (exercice actuel), et qui ne sont pas prises en compte dans le plafonnement des primes</w:t>
            </w:r>
          </w:p>
          <w:p w14:paraId="1D5DC4D6" w14:textId="15094A17" w:rsidR="00965CEB" w:rsidRPr="007F4CC8" w:rsidRDefault="00965CEB" w:rsidP="004F3087">
            <w:pPr>
              <w:spacing w:before="60" w:after="120"/>
              <w:jc w:val="both"/>
              <w:rPr>
                <w:rFonts w:ascii="Times New Roman" w:hAnsi="Times New Roman"/>
                <w:sz w:val="24"/>
              </w:rPr>
            </w:pPr>
            <w:r>
              <w:rPr>
                <w:rFonts w:ascii="Times New Roman" w:hAnsi="Times New Roman"/>
                <w:sz w:val="24"/>
              </w:rPr>
              <w:t>En ce qui concerne les informations publiées visées à l’article 450, paragraphe 1, points g) et h) v) à vi), du CRR, les établissements indiquent clairement si les informations quantitatives agrégées sur les rémunérations ventilées par secteur d’activité reflètent le plafond des primes lorsque des primes d</w:t>
            </w:r>
            <w:r w:rsidR="000D0548">
              <w:rPr>
                <w:rFonts w:ascii="Times New Roman" w:hAnsi="Times New Roman"/>
                <w:sz w:val="24"/>
              </w:rPr>
              <w:t>’</w:t>
            </w:r>
            <w:r>
              <w:rPr>
                <w:rFonts w:ascii="Times New Roman" w:hAnsi="Times New Roman"/>
                <w:sz w:val="24"/>
              </w:rPr>
              <w:t>arrivée et des indemnités de départ sont en jeu.</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6B360AE5" w:rsidR="00965CEB" w:rsidRPr="009D2F9B" w:rsidRDefault="00965CEB" w:rsidP="004F3087">
            <w:pPr>
              <w:spacing w:before="60" w:after="120"/>
              <w:jc w:val="both"/>
              <w:rPr>
                <w:rFonts w:ascii="Times New Roman" w:hAnsi="Times New Roman"/>
                <w:b/>
                <w:sz w:val="24"/>
              </w:rPr>
            </w:pPr>
            <w:r>
              <w:rPr>
                <w:rFonts w:ascii="Times New Roman" w:hAnsi="Times New Roman"/>
                <w:b/>
                <w:sz w:val="24"/>
              </w:rPr>
              <w:t>Indemnités de départ octroyées au cours des périodes antérieures qui ont été versées au cours de l</w:t>
            </w:r>
            <w:r w:rsidR="000D0548">
              <w:rPr>
                <w:rFonts w:ascii="Times New Roman" w:hAnsi="Times New Roman"/>
                <w:b/>
                <w:sz w:val="24"/>
              </w:rPr>
              <w:t>’</w:t>
            </w:r>
            <w:r>
              <w:rPr>
                <w:rFonts w:ascii="Times New Roman" w:hAnsi="Times New Roman"/>
                <w:b/>
                <w:sz w:val="24"/>
              </w:rPr>
              <w:t>exercice — Montant total</w:t>
            </w:r>
          </w:p>
          <w:p w14:paraId="6BDFFBCB"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Montant des indemnités de départ visées à l’article 94, paragraphe 1, point h), de la CRD qui ont été octroyées au cours de périodes antérieures et ont été versées au cours de l’exercice financier (exercice actuel)</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Indemnités de départ octroyées au cours de l’exercice — Montant total</w:t>
            </w:r>
          </w:p>
          <w:p w14:paraId="370D85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Montant des indemnités de départ visées à l’article 94, paragraphe 1, point h), de la CRD qui ont été octroyées au cours de l’exercice financier (exercice actuel)</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Dont indemnités de départ octroyées au cours de l’exercice – Versées au cours de l’exercice</w:t>
            </w:r>
          </w:p>
          <w:p w14:paraId="75DA4E0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Montant des indemnités de départ visées à l’article 94, paragraphe 1, point h), de la CRD qui ont été octroyées au cours de l’exercice financier et ont été versées au cours de l’exercice financier</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Dont indemnités de départ octroyées au cours de l’exercice – Différées</w:t>
            </w:r>
          </w:p>
          <w:p w14:paraId="2B8A3E3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Montants des indemnités de départ visées à l’article 94, paragraphe 1, point h), de la CRD qui ont été octroyées au cours de l’exercice et dont le versement est différé, déterminés conformément à l’article 94 de la CRD</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Dont indemnités de départ versées au cours de l’exercice qui ne sont pas prises en compte dans le plafonnement des primes</w:t>
            </w:r>
          </w:p>
          <w:p w14:paraId="3020E32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Montants des indemnités de départ visées à l’article 94, paragraphe 1, point h), de la CRD, qui ont été versées au cours de l’exercice, et qui ne sont pas prises en compte dans le plafonnement des primes</w:t>
            </w:r>
          </w:p>
          <w:p w14:paraId="78B7D63D" w14:textId="0667E661" w:rsidR="00965CEB" w:rsidRPr="007F4CC8" w:rsidRDefault="00965CEB" w:rsidP="004F3087">
            <w:pPr>
              <w:spacing w:before="60" w:after="120"/>
              <w:jc w:val="both"/>
              <w:rPr>
                <w:rFonts w:ascii="Times New Roman" w:hAnsi="Times New Roman"/>
                <w:sz w:val="24"/>
              </w:rPr>
            </w:pPr>
            <w:r>
              <w:rPr>
                <w:rFonts w:ascii="Times New Roman" w:hAnsi="Times New Roman"/>
                <w:sz w:val="24"/>
              </w:rPr>
              <w:t>En ce qui concerne les informations publiées visées à l’article 450, paragraphe 1, points g) et h) v) à vi), du CRR, les établissements indiquent clairement si les informations quantitatives agrégées sur les rémunérations ventilées par secteur d’activité reflètent le plafond des primes lorsque des primes d</w:t>
            </w:r>
            <w:r w:rsidR="000D0548">
              <w:rPr>
                <w:rFonts w:ascii="Times New Roman" w:hAnsi="Times New Roman"/>
                <w:sz w:val="24"/>
              </w:rPr>
              <w:t>’</w:t>
            </w:r>
            <w:r>
              <w:rPr>
                <w:rFonts w:ascii="Times New Roman" w:hAnsi="Times New Roman"/>
                <w:sz w:val="24"/>
              </w:rPr>
              <w:t>arrivée et des indemnités de départ sont en jeu.</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Dont indemnités de départ octroyées au cours de l’exercice – Indemnités les plus élevées octroyées à une seule personne</w:t>
            </w:r>
          </w:p>
          <w:p w14:paraId="69C2783A"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lastRenderedPageBreak/>
              <w:t>Montant des indemnités de départ les plus élevées, telles que visées à l’article 94, paragraphe 1, point h), de la CRD, qui ont été octroyées à une seule personne au cours de l’exercice financier.</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lastRenderedPageBreak/>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Explication</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54624B25"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Organe de direction </w:t>
            </w:r>
            <w:r w:rsidR="000D0548">
              <w:rPr>
                <w:rFonts w:ascii="Times New Roman" w:hAnsi="Times New Roman"/>
                <w:b/>
                <w:sz w:val="24"/>
              </w:rPr>
              <w:t>—</w:t>
            </w:r>
            <w:r>
              <w:rPr>
                <w:rFonts w:ascii="Times New Roman" w:hAnsi="Times New Roman"/>
                <w:b/>
                <w:sz w:val="24"/>
              </w:rPr>
              <w:t xml:space="preserve"> Fonction de surveillance</w:t>
            </w:r>
          </w:p>
          <w:p w14:paraId="3734590D" w14:textId="73FF87F0"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L’organe de direction dans sa fonction de surveillance, au sens de l’article 3, paragraphe 1, point 8), de la CRD, c</w:t>
            </w:r>
            <w:r w:rsidR="000D0548">
              <w:rPr>
                <w:rFonts w:ascii="Times New Roman" w:hAnsi="Times New Roman"/>
                <w:sz w:val="24"/>
              </w:rPr>
              <w:t>’</w:t>
            </w:r>
            <w:r>
              <w:rPr>
                <w:rFonts w:ascii="Times New Roman" w:hAnsi="Times New Roman"/>
                <w:sz w:val="24"/>
              </w:rPr>
              <w:t>est-à-dire l’organe de direction agissant dans le cadre de son rôle de supervision et de suivi des décisions en matière de gestion (effectifs).</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309CCD8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Organe de direction </w:t>
            </w:r>
            <w:r w:rsidR="000D0548">
              <w:rPr>
                <w:rFonts w:ascii="Times New Roman" w:hAnsi="Times New Roman"/>
                <w:b/>
                <w:sz w:val="24"/>
              </w:rPr>
              <w:t>—</w:t>
            </w:r>
            <w:r>
              <w:rPr>
                <w:rFonts w:ascii="Times New Roman" w:hAnsi="Times New Roman"/>
                <w:b/>
                <w:sz w:val="24"/>
              </w:rPr>
              <w:t xml:space="preserve"> Fonction de gestion</w:t>
            </w:r>
          </w:p>
          <w:p w14:paraId="1A03D44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Membres de l’organe de direction responsables de ses fonctions de gestion (effectifs)</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Autres membres de la direction générale</w:t>
            </w:r>
          </w:p>
          <w:p w14:paraId="1598A2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Direction générale au sens de l’article 3, paragraphe 1, point 9), de la CRD.</w:t>
            </w:r>
          </w:p>
          <w:p w14:paraId="1B942BBE" w14:textId="3D28B0BC"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Les établissements indiquent le nombre de membres de la direction générale qui ne sont pas déclarés dans la rubrique</w:t>
            </w:r>
            <w:proofErr w:type="gramStart"/>
            <w:r>
              <w:rPr>
                <w:rFonts w:ascii="Times New Roman" w:hAnsi="Times New Roman"/>
                <w:sz w:val="24"/>
              </w:rPr>
              <w:t xml:space="preserve"> «organe</w:t>
            </w:r>
            <w:proofErr w:type="gramEnd"/>
            <w:r>
              <w:rPr>
                <w:rFonts w:ascii="Times New Roman" w:hAnsi="Times New Roman"/>
                <w:sz w:val="24"/>
              </w:rPr>
              <w:t xml:space="preserve"> de direction </w:t>
            </w:r>
            <w:r w:rsidR="000D0548">
              <w:rPr>
                <w:rFonts w:ascii="Times New Roman" w:hAnsi="Times New Roman"/>
                <w:sz w:val="24"/>
              </w:rPr>
              <w:t>—</w:t>
            </w:r>
            <w:r>
              <w:rPr>
                <w:rFonts w:ascii="Times New Roman" w:hAnsi="Times New Roman"/>
                <w:sz w:val="24"/>
              </w:rPr>
              <w:t xml:space="preserve"> fonction de gestion» ni dans la rubrique «autres membres du personnel identifiés» (ETP).</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Autres membres du personnel identifiés</w:t>
            </w:r>
          </w:p>
          <w:p w14:paraId="01528962"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Membres du personnel, autres que les membres de l’organe de direction dans sa fonction de surveillance ou dans sa fonction de gestion et autres que les membres de la direction générale, dont les activités professionnelles ont une incidence significative sur le profil de risque de l’établissement selon les critères énoncés dans le règlement délégué de la Commission relatif au personnel identifié adopté en application de l’article 94, paragraphe 2, de la CRD et, le cas échéant, également selon les critères de l’établissement</w:t>
            </w:r>
          </w:p>
          <w:p w14:paraId="566D1319"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Les établissements peuvent inclure, dans le présent modèle, la ventilation par domaines d’activité proposée dans le modèle EU REM5 (ETP).</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Modèle EU REM3 — Rémunérations </w:t>
      </w:r>
      <w:proofErr w:type="gramStart"/>
      <w:r>
        <w:rPr>
          <w:rFonts w:ascii="Times New Roman" w:hAnsi="Times New Roman"/>
          <w:b/>
          <w:color w:val="auto"/>
          <w:sz w:val="24"/>
        </w:rPr>
        <w:t>différées:</w:t>
      </w:r>
      <w:proofErr w:type="gramEnd"/>
      <w:r>
        <w:rPr>
          <w:rFonts w:ascii="Times New Roman" w:hAnsi="Times New Roman"/>
          <w:b/>
          <w:color w:val="auto"/>
          <w:sz w:val="24"/>
        </w:rPr>
        <w:t xml:space="preserve"> </w:t>
      </w:r>
      <w:r>
        <w:rPr>
          <w:rFonts w:ascii="Times New Roman" w:hAnsi="Times New Roman"/>
          <w:color w:val="auto"/>
          <w:sz w:val="24"/>
        </w:rPr>
        <w:t>Format fixe</w:t>
      </w:r>
    </w:p>
    <w:p w14:paraId="2F3BCD0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Les établissements publient les informations visées à l’article 450, paragraphe 1, points h) iii) à iv), du CRR, suivant les instructions fournies ci-dessous dans la présente annexe pour compléter le modèle EU REM3 présenté à l’annexe XXXIII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rFonts w:ascii="Times New Roman" w:hAnsi="Times New Roman" w:cs="Times New Roman"/>
                <w:b/>
                <w:sz w:val="24"/>
              </w:rPr>
            </w:pPr>
            <w:r>
              <w:rPr>
                <w:rFonts w:ascii="Times New Roman" w:hAnsi="Times New Roman"/>
                <w:b/>
                <w:sz w:val="24"/>
              </w:rPr>
              <w:t>Références juridiques et instructions</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6FCAC25B"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Organe de direction </w:t>
            </w:r>
            <w:r w:rsidR="000D0548">
              <w:rPr>
                <w:rFonts w:ascii="Times New Roman" w:hAnsi="Times New Roman"/>
                <w:b/>
                <w:sz w:val="24"/>
              </w:rPr>
              <w:t>—</w:t>
            </w:r>
            <w:r>
              <w:rPr>
                <w:rFonts w:ascii="Times New Roman" w:hAnsi="Times New Roman"/>
                <w:b/>
                <w:sz w:val="24"/>
              </w:rPr>
              <w:t xml:space="preserve"> Fonction de surveillance</w:t>
            </w:r>
          </w:p>
          <w:p w14:paraId="42F62B75" w14:textId="1D5F854B"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L’organe de direction dans sa fonction de surveillance, au sens de l’article 3, paragraphe 1, point 8), de la CRD, c</w:t>
            </w:r>
            <w:r w:rsidR="000D0548">
              <w:rPr>
                <w:rFonts w:ascii="Times New Roman" w:hAnsi="Times New Roman"/>
                <w:sz w:val="24"/>
              </w:rPr>
              <w:t>’</w:t>
            </w:r>
            <w:r>
              <w:rPr>
                <w:rFonts w:ascii="Times New Roman" w:hAnsi="Times New Roman"/>
                <w:sz w:val="24"/>
              </w:rPr>
              <w:t xml:space="preserve">est-à-dire l’organe de direction agissant </w:t>
            </w:r>
            <w:r>
              <w:rPr>
                <w:rFonts w:ascii="Times New Roman" w:hAnsi="Times New Roman"/>
                <w:sz w:val="24"/>
              </w:rPr>
              <w:lastRenderedPageBreak/>
              <w:t>dans le cadre de son rôle de supervision et de suivi des décisions en matière de gestion.</w:t>
            </w:r>
          </w:p>
          <w:p w14:paraId="78EE110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Somme des montants aux lignes 2, 3, 4, 5 et 6 du présent modèle</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lastRenderedPageBreak/>
              <w:t>2, 8, 14 et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En numéraire</w:t>
            </w:r>
          </w:p>
          <w:p w14:paraId="0BC40D8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Montant de la rémunération en numéraire incluse dans la rémunération variable</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t>3, 9, 15 et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Actions ou droits de propriété équivalents </w:t>
            </w:r>
          </w:p>
          <w:p w14:paraId="4B63188A" w14:textId="77777777" w:rsidR="00965CEB" w:rsidRPr="007F4CC8" w:rsidRDefault="00965CEB" w:rsidP="004F3087">
            <w:pPr>
              <w:spacing w:before="60" w:after="120"/>
              <w:jc w:val="both"/>
              <w:rPr>
                <w:rFonts w:ascii="Times New Roman" w:hAnsi="Times New Roman"/>
                <w:b/>
                <w:sz w:val="24"/>
              </w:rPr>
            </w:pPr>
            <w:r>
              <w:rPr>
                <w:rFonts w:ascii="Times New Roman" w:hAnsi="Times New Roman"/>
                <w:sz w:val="24"/>
              </w:rPr>
              <w:t>La somme des montants des actions ou des droits de propriété équivalents, selon la structure juridique de l’établissement concerné, visés à l’article 94, paragraphe 1, point l) i), de la CRD, inclus dans la rémunération variable.</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t>4, 10, 16 et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Instruments liés à des actions ou instruments non numéraires équivalents </w:t>
            </w:r>
          </w:p>
          <w:p w14:paraId="362CEB2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La somme des montants des instruments liés à des actions ou instruments non numéraires équivalents, visés à l’article 94, paragraphe 1, point l) i), de la CRD inclus dans la rémunération variable</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t>5, 11, 17 et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Autres instruments</w:t>
            </w:r>
          </w:p>
          <w:p w14:paraId="4C0BEEE9"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Montant des autres instruments visés à l’article 94, paragraphe 1, point l) ii), de la CRD inclus dans la rémunération variable</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t>6, 12, 18 et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Autres formes</w:t>
            </w:r>
          </w:p>
          <w:p w14:paraId="05DE9AE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Montants de la rémunération variable autres que ceux indiqués dans les lignes</w:t>
            </w:r>
            <w:proofErr w:type="gramStart"/>
            <w:r>
              <w:rPr>
                <w:rFonts w:ascii="Times New Roman" w:hAnsi="Times New Roman"/>
                <w:sz w:val="24"/>
              </w:rPr>
              <w:t xml:space="preserve"> «En</w:t>
            </w:r>
            <w:proofErr w:type="gramEnd"/>
            <w:r>
              <w:rPr>
                <w:rFonts w:ascii="Times New Roman" w:hAnsi="Times New Roman"/>
                <w:sz w:val="24"/>
              </w:rPr>
              <w:t xml:space="preserve"> numéraire», «Actions ou droits de propriété équivalents», selon la structure juridique de l’établissement concerné ou «instruments liés à des actions ou instruments non numéraires équivalents» et «Autres instruments»</w:t>
            </w:r>
          </w:p>
          <w:p w14:paraId="47E931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Cela peut inclure des cotisations de retraite ordinaires et proportionnelles, ou des avantages (lorsque ces avantages ne sont liés à aucun critère de performance), visés au considérant 64 de la CRD, ou d’autres formes de rémunération telles que les indemnités de déplacement.</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534EA97D"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Organe de direction </w:t>
            </w:r>
            <w:r w:rsidR="000D0548">
              <w:rPr>
                <w:rFonts w:ascii="Times New Roman" w:hAnsi="Times New Roman"/>
                <w:b/>
                <w:sz w:val="24"/>
              </w:rPr>
              <w:t>—</w:t>
            </w:r>
            <w:r>
              <w:rPr>
                <w:rFonts w:ascii="Times New Roman" w:hAnsi="Times New Roman"/>
                <w:b/>
                <w:sz w:val="24"/>
              </w:rPr>
              <w:t xml:space="preserve"> Fonction de gestion </w:t>
            </w:r>
          </w:p>
          <w:p w14:paraId="7D897A2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Membres de l’organe de direction responsables de ses fonctions de </w:t>
            </w:r>
            <w:proofErr w:type="gramStart"/>
            <w:r>
              <w:rPr>
                <w:rFonts w:ascii="Times New Roman" w:hAnsi="Times New Roman"/>
                <w:sz w:val="24"/>
              </w:rPr>
              <w:t>gestion;</w:t>
            </w:r>
            <w:proofErr w:type="gramEnd"/>
            <w:r>
              <w:rPr>
                <w:rFonts w:ascii="Times New Roman" w:hAnsi="Times New Roman"/>
                <w:sz w:val="24"/>
              </w:rPr>
              <w:t xml:space="preserve"> Somme des montants aux lignes 8, 9, 10, 11 et 12 du présent modèle.</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Autres membres de la direction générale</w:t>
            </w:r>
          </w:p>
          <w:p w14:paraId="015BE95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Direction générale au sens de l’article 3, paragraphe 1, point 9), de la </w:t>
            </w:r>
            <w:proofErr w:type="gramStart"/>
            <w:r>
              <w:rPr>
                <w:rFonts w:ascii="Times New Roman" w:hAnsi="Times New Roman"/>
                <w:sz w:val="24"/>
              </w:rPr>
              <w:t>CRD;</w:t>
            </w:r>
            <w:proofErr w:type="gramEnd"/>
            <w:r>
              <w:rPr>
                <w:rFonts w:ascii="Times New Roman" w:hAnsi="Times New Roman"/>
                <w:sz w:val="24"/>
              </w:rPr>
              <w:t xml:space="preserve"> Somme des montants aux lignes 14, 15, 16, 17 et 18 du présent modèle</w:t>
            </w:r>
          </w:p>
          <w:p w14:paraId="3E12A111" w14:textId="36BF8BBC"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Les établissements indiquent le nombre de membres de la direction générale qui ne sont pas déclarés dans la rubrique</w:t>
            </w:r>
            <w:proofErr w:type="gramStart"/>
            <w:r>
              <w:rPr>
                <w:rFonts w:ascii="Times New Roman" w:hAnsi="Times New Roman"/>
                <w:sz w:val="24"/>
              </w:rPr>
              <w:t xml:space="preserve"> «organe</w:t>
            </w:r>
            <w:proofErr w:type="gramEnd"/>
            <w:r>
              <w:rPr>
                <w:rFonts w:ascii="Times New Roman" w:hAnsi="Times New Roman"/>
                <w:sz w:val="24"/>
              </w:rPr>
              <w:t xml:space="preserve"> de direction </w:t>
            </w:r>
            <w:r w:rsidR="000D0548">
              <w:rPr>
                <w:rFonts w:ascii="Times New Roman" w:hAnsi="Times New Roman"/>
                <w:sz w:val="24"/>
              </w:rPr>
              <w:t>—</w:t>
            </w:r>
            <w:r>
              <w:rPr>
                <w:rFonts w:ascii="Times New Roman" w:hAnsi="Times New Roman"/>
                <w:sz w:val="24"/>
              </w:rPr>
              <w:t xml:space="preserve"> fonction de gestion» ni dans la rubrique «autres membres du personnel identifiés».</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Autres membres du personnel identifiés</w:t>
            </w:r>
          </w:p>
          <w:p w14:paraId="1561B753"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Membres du personnel, autres que les membres de l’organe de direction dans sa fonction de surveillance ou dans sa fonction de gestion et autres que les membres de la direction générale, dont les activités professionnelles ont une </w:t>
            </w:r>
            <w:r>
              <w:rPr>
                <w:rFonts w:ascii="Times New Roman" w:hAnsi="Times New Roman"/>
                <w:sz w:val="24"/>
              </w:rPr>
              <w:lastRenderedPageBreak/>
              <w:t>incidence significative sur le profil de risque de l’établissement selon les critères énoncés dans le règlement délégué de la Commission relatif au personnel identifié adopté en application de l’article 94, paragraphe 2, de la CRD et, le cas échéant, également selon les critères de l’établissement; Somme des montants aux lignes 20, 21, 22, 23 et 24 du présent modèle</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lastRenderedPageBreak/>
              <w:t>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Montant total</w:t>
            </w:r>
          </w:p>
          <w:p w14:paraId="70B531D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Somme des montants aux lignes 1, 7, 13 et 19 du présent modèle</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Explication</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rFonts w:ascii="Times New Roman" w:hAnsi="Times New Roman"/>
                <w:b/>
                <w:color w:val="000000"/>
                <w:sz w:val="24"/>
              </w:rPr>
            </w:pPr>
            <w:r>
              <w:rPr>
                <w:rFonts w:ascii="Times New Roman" w:hAnsi="Times New Roman"/>
                <w:b/>
                <w:color w:val="000000"/>
                <w:sz w:val="24"/>
              </w:rPr>
              <w:t>Montant</w:t>
            </w:r>
            <w:r>
              <w:rPr>
                <w:rFonts w:ascii="Times New Roman" w:hAnsi="Times New Roman"/>
                <w:b/>
                <w:sz w:val="24"/>
              </w:rPr>
              <w:t xml:space="preserve"> total des rémunérations différées octroyées au titre des périodes de performance antérieures</w:t>
            </w:r>
          </w:p>
          <w:p w14:paraId="7D355FC1"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Montant de la rémunération différée, déterminée conformément à l’article 94 de la CRD, qui a été octroyé pour des périodes de performance antérieures (somme des montants figurant dans les colonnes b) et c) du présent modèle)</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Dont devenant acquises au cours de l’exercice</w:t>
            </w:r>
          </w:p>
          <w:p w14:paraId="1877D636"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Montant des rémunérations différées octroyées au titre de périodes de performance antérieures, déterminées conformément à l’article 94 de la CRD, qui doivent devenir acquises au cours de l’exercice financier</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Dont devenant acquises au cours des exercices suivants</w:t>
            </w:r>
          </w:p>
          <w:p w14:paraId="41D97AF8"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Montant des rémunérations différées octroyées au titre de périodes de performance antérieures, déterminées conformément à l’article 94 de la CRD, qui deviendront acquises au cours des exercices financiers suivants</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Montant de l’ajustement en fonction des performances appliqué au cours de l’exercice aux rémunérations différées qui devaient devenir acquises au cours de l’exercice</w:t>
            </w:r>
          </w:p>
          <w:p w14:paraId="1571AC97" w14:textId="2A9B647E"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Montant de l’ajustement en fonction des performances appliqué aux rémunérations différées, déterminées conformément à l’article 94 de la CRD, qui devaient devenir acquises au cours de l</w:t>
            </w:r>
            <w:r w:rsidR="000D0548">
              <w:rPr>
                <w:rFonts w:ascii="Times New Roman" w:hAnsi="Times New Roman"/>
                <w:sz w:val="24"/>
              </w:rPr>
              <w:t>’</w:t>
            </w:r>
            <w:r>
              <w:rPr>
                <w:rFonts w:ascii="Times New Roman" w:hAnsi="Times New Roman"/>
                <w:sz w:val="24"/>
              </w:rPr>
              <w:t>exercice financier</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Montant de l’ajustement en fonction des performances appliqué au cours de l’exercice aux rémunérations différées qui devaient devenir acquises au cours d’exercices futurs</w:t>
            </w:r>
          </w:p>
          <w:p w14:paraId="2D3814DB" w14:textId="71CA6828"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Montant de l’ajustement en fonction des performances appliqué aux rémunérations différées, déterminées conformément à l’article 94 de la CRD, qui devaient devenir acquises au cours d</w:t>
            </w:r>
            <w:r w:rsidR="000D0548">
              <w:rPr>
                <w:rFonts w:ascii="Times New Roman" w:hAnsi="Times New Roman"/>
                <w:sz w:val="24"/>
              </w:rPr>
              <w:t>’</w:t>
            </w:r>
            <w:r>
              <w:rPr>
                <w:rFonts w:ascii="Times New Roman" w:hAnsi="Times New Roman"/>
                <w:sz w:val="24"/>
              </w:rPr>
              <w:t>années de performance futures</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Montant total de</w:t>
            </w:r>
            <w:r>
              <w:rPr>
                <w:b/>
              </w:rPr>
              <w:t xml:space="preserve"> </w:t>
            </w:r>
            <w:r>
              <w:rPr>
                <w:rFonts w:ascii="Times New Roman" w:hAnsi="Times New Roman"/>
                <w:b/>
                <w:sz w:val="24"/>
              </w:rPr>
              <w:t>l’ajustement au cours de l’exercice dû à des ajustements implicites ex post au cours de l’exercice (par exemple changements de valeur des rémunérations différées dus aux variations du cours des instruments)</w:t>
            </w:r>
          </w:p>
          <w:p w14:paraId="6472C5F0" w14:textId="1F494523"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Le cas échéant, le montant des variations de valeur au cours de l’exercice financier dues à des ajustements implicites ex post, telles que les variations de valeur des rémunérations différées dues aux variations de prix des instruments, estimées sur la base d</w:t>
            </w:r>
            <w:r w:rsidR="000D0548">
              <w:rPr>
                <w:rFonts w:ascii="Times New Roman" w:hAnsi="Times New Roman"/>
                <w:sz w:val="24"/>
              </w:rPr>
              <w:t>’</w:t>
            </w:r>
            <w:r>
              <w:rPr>
                <w:rFonts w:ascii="Times New Roman" w:hAnsi="Times New Roman"/>
                <w:sz w:val="24"/>
              </w:rPr>
              <w:t xml:space="preserve">une obligation de moyens.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3E0E7FB2" w:rsidR="00965CEB" w:rsidRPr="007F4CC8" w:rsidRDefault="00965CEB" w:rsidP="004F3087">
            <w:pPr>
              <w:pStyle w:val="Applicationdirecte"/>
              <w:spacing w:before="0" w:after="0"/>
              <w:jc w:val="center"/>
            </w:pPr>
            <w:r>
              <w:lastRenderedPageBreak/>
              <w:t xml:space="preserve">EU </w:t>
            </w:r>
            <w:r w:rsidR="000D0548">
              <w:t>—</w:t>
            </w:r>
            <w:r>
              <w:t xml:space="preserve">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Montant total des rémunérations différées octroyées avant l’exercice effectivement versées au cours de l’exercice</w:t>
            </w:r>
          </w:p>
          <w:p w14:paraId="711625D8"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Montant des rémunérations différées, déterminées conformément à l’article 94 de la CRD, versées au cours de l’exercice</w:t>
            </w:r>
          </w:p>
          <w:p w14:paraId="79B6CE2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Dès que les rémunérations différées sont acquises, elles sont considérées comme versées.</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067E74C7" w:rsidR="00965CEB" w:rsidRPr="007F4CC8" w:rsidRDefault="00965CEB" w:rsidP="004F3087">
            <w:pPr>
              <w:pStyle w:val="Applicationdirecte"/>
              <w:spacing w:before="0" w:after="0"/>
              <w:jc w:val="center"/>
            </w:pPr>
            <w:r>
              <w:t xml:space="preserve">EU </w:t>
            </w:r>
            <w:r w:rsidR="000D0548">
              <w:t>—</w:t>
            </w:r>
            <w:r>
              <w:t xml:space="preserve">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rFonts w:ascii="Times New Roman" w:hAnsi="Times New Roman"/>
                <w:b/>
                <w:sz w:val="24"/>
              </w:rPr>
            </w:pPr>
            <w:r>
              <w:rPr>
                <w:rFonts w:ascii="Times New Roman" w:hAnsi="Times New Roman"/>
                <w:b/>
                <w:sz w:val="24"/>
              </w:rPr>
              <w:t>Montant total des rémunérations différées octroyées au titre de périodes de performance antérieures qui sont devenues acquises mais font l’objet de périodes de rétention</w:t>
            </w:r>
          </w:p>
          <w:p w14:paraId="64A6D4B4" w14:textId="4AC076CE"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Montant des rémunérations différées, octroyées pour des périodes de performance antérieures, qui sont devenues acquises mais font l</w:t>
            </w:r>
            <w:r w:rsidR="000D0548">
              <w:rPr>
                <w:rFonts w:ascii="Times New Roman" w:hAnsi="Times New Roman"/>
                <w:sz w:val="24"/>
              </w:rPr>
              <w:t>’</w:t>
            </w:r>
            <w:r>
              <w:rPr>
                <w:rFonts w:ascii="Times New Roman" w:hAnsi="Times New Roman"/>
                <w:sz w:val="24"/>
              </w:rPr>
              <w:t>objet de périodes de rétention, tel que déterminé conformément à l’article 94 de la CRD</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Modèle EU REM4 — Rémunérations de 1 million d’EUR ou plus par </w:t>
      </w:r>
      <w:proofErr w:type="gramStart"/>
      <w:r>
        <w:rPr>
          <w:rFonts w:ascii="Times New Roman" w:hAnsi="Times New Roman"/>
          <w:b/>
          <w:color w:val="auto"/>
          <w:sz w:val="24"/>
        </w:rPr>
        <w:t>exercice:</w:t>
      </w:r>
      <w:proofErr w:type="gramEnd"/>
      <w:r>
        <w:rPr>
          <w:rFonts w:ascii="Times New Roman" w:hAnsi="Times New Roman"/>
          <w:b/>
          <w:color w:val="auto"/>
          <w:sz w:val="24"/>
        </w:rPr>
        <w:t xml:space="preserve"> </w:t>
      </w:r>
      <w:r>
        <w:rPr>
          <w:rFonts w:ascii="Times New Roman" w:hAnsi="Times New Roman"/>
          <w:color w:val="auto"/>
          <w:sz w:val="24"/>
        </w:rPr>
        <w:t>Format fixe</w:t>
      </w:r>
    </w:p>
    <w:p w14:paraId="6DEF9BC5"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Les établissements publient les informations visées à l’article 450, paragraphe 1, point i), du CRR, suivant les instructions fournies ci-dessous dans la présente annexe pour compléter le modèle EU REM4 présenté à l’annexe XXXIII du présent règlement d’exécution.</w:t>
      </w:r>
    </w:p>
    <w:p w14:paraId="1C37B7B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Les données sont présentées sur la base des chiffres de fin d’exercice comptable en euros. Tous les montants doivent être indiqués en tant que montants complets, c’est-à-dire non arrondis, en euros (par exemple, 1 234 567 EUR au lieu de 1,2 millions d’EUR). Lorsque la rémunération est libellée dans une monnaie autre que l’euro, le taux de change utilisé par la Commission pour la programmation financière et le budget pour le mois de décembre de l’année de référence sera le taux de change à utiliser pour la conversion des chiffres consolidés à publier.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rFonts w:ascii="Times New Roman" w:hAnsi="Times New Roman" w:cs="Times New Roman"/>
                <w:b/>
                <w:sz w:val="24"/>
              </w:rPr>
            </w:pPr>
            <w:r>
              <w:rPr>
                <w:rFonts w:ascii="Times New Roman" w:hAnsi="Times New Roman"/>
                <w:b/>
                <w:sz w:val="24"/>
              </w:rPr>
              <w:t>Références juridiques et instructions</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 à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Rémunérations comprises entre 1 et 5 millions d’EUR par exercice financier, ventilées par tranches de 500 000 EUR</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9 à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Rémunérations supérieures à 5 millions d’EUR par exercice financier, ventilées par tranches d’un million d’EUR</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Explication</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4C509CF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Nombre de membres du personnel recensés qui ont été rémunérés à hauteur d</w:t>
            </w:r>
            <w:r w:rsidR="000D0548">
              <w:rPr>
                <w:rFonts w:ascii="Times New Roman" w:hAnsi="Times New Roman"/>
                <w:sz w:val="24"/>
              </w:rPr>
              <w:t>’</w:t>
            </w:r>
            <w:r>
              <w:rPr>
                <w:rFonts w:ascii="Times New Roman" w:hAnsi="Times New Roman"/>
                <w:sz w:val="24"/>
              </w:rPr>
              <w:t>un million d’EUR ou plus par exercice financier</w:t>
            </w:r>
          </w:p>
          <w:p w14:paraId="760880E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Les établissements publient les informations sur la base des effectifs.</w:t>
            </w:r>
          </w:p>
        </w:tc>
      </w:tr>
    </w:tbl>
    <w:p w14:paraId="65FA28BB" w14:textId="77777777" w:rsidR="00965CEB" w:rsidRPr="007F4CC8" w:rsidRDefault="00965CEB" w:rsidP="00965CEB">
      <w:pPr>
        <w:rPr>
          <w:rFonts w:ascii="Times New Roman" w:hAnsi="Times New Roman" w:cs="Times New Roman"/>
          <w:sz w:val="24"/>
        </w:rPr>
      </w:pPr>
    </w:p>
    <w:p w14:paraId="48F9714A"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Modèle EU REM5 — Informations sur les rémunérations des membres du personnel dont les activités professionnelles ont une incidence significative sur le profil de risque de l’établissement (personnel identifié</w:t>
      </w:r>
      <w:proofErr w:type="gramStart"/>
      <w:r>
        <w:rPr>
          <w:rFonts w:ascii="Times New Roman" w:hAnsi="Times New Roman"/>
          <w:b/>
          <w:color w:val="auto"/>
          <w:sz w:val="24"/>
        </w:rPr>
        <w:t>):</w:t>
      </w:r>
      <w:proofErr w:type="gramEnd"/>
      <w:r>
        <w:rPr>
          <w:rFonts w:ascii="Times New Roman" w:hAnsi="Times New Roman"/>
          <w:b/>
          <w:color w:val="auto"/>
          <w:sz w:val="24"/>
        </w:rPr>
        <w:t xml:space="preserve"> </w:t>
      </w:r>
      <w:r>
        <w:rPr>
          <w:rFonts w:ascii="Times New Roman" w:hAnsi="Times New Roman"/>
          <w:color w:val="auto"/>
          <w:sz w:val="24"/>
        </w:rPr>
        <w:t>Format fixe</w:t>
      </w:r>
    </w:p>
    <w:p w14:paraId="247BF82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lastRenderedPageBreak/>
        <w:t>Les établissements publient les informations visées à l’article 450, paragraphe 1, point g), du CRR, suivant les instructions fournies ci-dessous dans la présente annexe pour compléter le modèle EU REM5 présenté à l’annexe XXXIII du présent règlement d’exécution.</w:t>
      </w:r>
    </w:p>
    <w:p w14:paraId="42ECBD73" w14:textId="343CC675"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En ce qui concerne les colonnes correspondant à la ventilation par domaines d’activité, toute l</w:t>
      </w:r>
      <w:r w:rsidR="000D0548">
        <w:rPr>
          <w:rFonts w:ascii="Times New Roman" w:hAnsi="Times New Roman"/>
          <w:color w:val="auto"/>
          <w:sz w:val="24"/>
        </w:rPr>
        <w:t>’</w:t>
      </w:r>
      <w:r>
        <w:rPr>
          <w:rFonts w:ascii="Times New Roman" w:hAnsi="Times New Roman"/>
          <w:color w:val="auto"/>
          <w:sz w:val="24"/>
        </w:rPr>
        <w:t>activité de prêt, y compris de gros, sera incluse dans le prêt de détail. En ce qui concerne la banque d’investissement, elle inclut le financement des entreprises ainsi que la négociation et la vente. De plus amples informations sur les activités relevant de ces lignes d’activité figurent à l’article 317 du CRR, dans le tableau définissant les lignes d’activité dans le cadre de l’approche standard pour le risque opérationnel.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rFonts w:ascii="Times New Roman" w:hAnsi="Times New Roman" w:cs="Times New Roman"/>
                <w:b/>
                <w:sz w:val="24"/>
              </w:rPr>
            </w:pPr>
            <w:r>
              <w:rPr>
                <w:rFonts w:ascii="Times New Roman" w:hAnsi="Times New Roman"/>
                <w:b/>
                <w:sz w:val="24"/>
              </w:rPr>
              <w:t>Références juridiques et instructions</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Nombre total de membres du personnel identifiés</w:t>
            </w:r>
          </w:p>
          <w:p w14:paraId="2278F4D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Membres du personnel dont les activités professionnelles ont une incidence significative sur le profil de risque de l’établissement </w:t>
            </w:r>
            <w:proofErr w:type="gramStart"/>
            <w:r>
              <w:rPr>
                <w:rFonts w:ascii="Times New Roman" w:hAnsi="Times New Roman"/>
                <w:sz w:val="24"/>
              </w:rPr>
              <w:t>s(</w:t>
            </w:r>
            <w:proofErr w:type="gramEnd"/>
            <w:r>
              <w:rPr>
                <w:rFonts w:ascii="Times New Roman" w:hAnsi="Times New Roman"/>
                <w:sz w:val="24"/>
              </w:rPr>
              <w:t>personnel identifié) d’un établissement et de ses filiales, y compris les filiales non soumises à la CRD et tous les membres de leurs organes de direction respectifs</w:t>
            </w:r>
          </w:p>
          <w:p w14:paraId="15553C4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La valeur est indiquée sur la base des ETP.</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0F2E4457" w:rsidR="00965CEB" w:rsidRPr="007479E6" w:rsidRDefault="00965CEB" w:rsidP="004F3087">
            <w:pPr>
              <w:autoSpaceDE w:val="0"/>
              <w:autoSpaceDN w:val="0"/>
              <w:adjustRightInd w:val="0"/>
              <w:spacing w:after="120"/>
              <w:jc w:val="both"/>
              <w:rPr>
                <w:rFonts w:ascii="Times New Roman" w:hAnsi="Times New Roman"/>
                <w:b/>
                <w:sz w:val="24"/>
              </w:rPr>
            </w:pPr>
            <w:proofErr w:type="gramStart"/>
            <w:r>
              <w:rPr>
                <w:rFonts w:ascii="Times New Roman" w:hAnsi="Times New Roman"/>
                <w:b/>
                <w:sz w:val="24"/>
              </w:rPr>
              <w:t>Dont:</w:t>
            </w:r>
            <w:proofErr w:type="gramEnd"/>
            <w:r>
              <w:rPr>
                <w:rFonts w:ascii="Times New Roman" w:hAnsi="Times New Roman"/>
                <w:b/>
                <w:sz w:val="24"/>
              </w:rPr>
              <w:t xml:space="preserve"> membres de l</w:t>
            </w:r>
            <w:r w:rsidR="000D0548">
              <w:rPr>
                <w:rFonts w:ascii="Times New Roman" w:hAnsi="Times New Roman"/>
                <w:b/>
                <w:sz w:val="24"/>
              </w:rPr>
              <w:t>’</w:t>
            </w:r>
            <w:r>
              <w:rPr>
                <w:rFonts w:ascii="Times New Roman" w:hAnsi="Times New Roman"/>
                <w:b/>
                <w:sz w:val="24"/>
              </w:rPr>
              <w:t>organe de direction</w:t>
            </w:r>
          </w:p>
          <w:p w14:paraId="626C0F05"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Le nombre de membres dans l’organe de direction dans sa fonction de surveillance, dans l’organe de direction dans sa fonction de direction, et dans l’organe de direction dans son ensemble</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rFonts w:ascii="Times New Roman" w:hAnsi="Times New Roman"/>
                <w:b/>
                <w:sz w:val="24"/>
              </w:rPr>
            </w:pPr>
            <w:proofErr w:type="gramStart"/>
            <w:r>
              <w:rPr>
                <w:rFonts w:ascii="Times New Roman" w:hAnsi="Times New Roman"/>
                <w:b/>
                <w:sz w:val="24"/>
              </w:rPr>
              <w:t>Dont:</w:t>
            </w:r>
            <w:proofErr w:type="gramEnd"/>
            <w:r>
              <w:rPr>
                <w:rFonts w:ascii="Times New Roman" w:hAnsi="Times New Roman"/>
                <w:b/>
                <w:sz w:val="24"/>
              </w:rPr>
              <w:t xml:space="preserve"> autres membres de la direction générale</w:t>
            </w:r>
          </w:p>
          <w:p w14:paraId="1F28E03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Membres du personnel, autres que les membres de l’organe de direction, qui sont des membres de la direction générale au sens de l’article 3, paragraphe 1, point 9), de la CRD</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rFonts w:ascii="Times New Roman" w:hAnsi="Times New Roman"/>
                <w:b/>
                <w:sz w:val="24"/>
              </w:rPr>
            </w:pPr>
            <w:proofErr w:type="gramStart"/>
            <w:r>
              <w:rPr>
                <w:rFonts w:ascii="Times New Roman" w:hAnsi="Times New Roman"/>
                <w:b/>
                <w:sz w:val="24"/>
              </w:rPr>
              <w:t>Dont:</w:t>
            </w:r>
            <w:proofErr w:type="gramEnd"/>
            <w:r>
              <w:rPr>
                <w:rFonts w:ascii="Times New Roman" w:hAnsi="Times New Roman"/>
                <w:b/>
                <w:sz w:val="24"/>
              </w:rPr>
              <w:t xml:space="preserve"> autres membres du personnel identifiés</w:t>
            </w:r>
          </w:p>
          <w:p w14:paraId="110712E4" w14:textId="77777777" w:rsidR="00965CEB" w:rsidRPr="007F4CC8" w:rsidRDefault="00965CEB" w:rsidP="004F3087">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 xml:space="preserve">Membres du personnel, autres que les membres de l’organe de direction ou de la direction générale, dont les activités professionnelles ont une incidence significative sur le profil de risque de l’établissement selon les critères énoncés dans le règlement délégué de la Commission relatif au personnel identifié adopté en application de l’article 94, paragraphe 2, de la CRD et, le cas échéant, également selon les critères de </w:t>
            </w:r>
            <w:proofErr w:type="gramStart"/>
            <w:r>
              <w:rPr>
                <w:rFonts w:ascii="Times New Roman" w:hAnsi="Times New Roman"/>
                <w:sz w:val="24"/>
              </w:rPr>
              <w:t>l’établissement;</w:t>
            </w:r>
            <w:proofErr w:type="gramEnd"/>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Rémunération totale des membres du personnel identifiés</w:t>
            </w:r>
          </w:p>
          <w:p w14:paraId="393FC237" w14:textId="158EBDD6"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Le montant total de rémunération recouvre toutes les formes de rémunération, fixe et variable, et comprend les paiements et avantages, monétaires ou non, octroyés directement au personnel par les établissements ou pour le compte de ceux-ci en échange de services professionnels fournis par le personnel, l</w:t>
            </w:r>
            <w:r w:rsidR="000D0548">
              <w:rPr>
                <w:rFonts w:ascii="Times New Roman" w:hAnsi="Times New Roman"/>
                <w:sz w:val="24"/>
              </w:rPr>
              <w:t>’</w:t>
            </w:r>
            <w:r>
              <w:rPr>
                <w:rFonts w:ascii="Times New Roman" w:hAnsi="Times New Roman"/>
                <w:sz w:val="24"/>
              </w:rPr>
              <w:t xml:space="preserve">intéressement aux plus-values au sens de l’article 4, paragraphe 1, point d), </w:t>
            </w:r>
            <w:r>
              <w:rPr>
                <w:rFonts w:ascii="Times New Roman" w:hAnsi="Times New Roman"/>
                <w:sz w:val="24"/>
              </w:rPr>
              <w:lastRenderedPageBreak/>
              <w:t>de la directive 2011/61/EU</w:t>
            </w:r>
            <w:r>
              <w:rPr>
                <w:rStyle w:val="FootnoteReference"/>
                <w:rFonts w:cs="Times New Roman"/>
              </w:rPr>
              <w:footnoteReference w:id="4"/>
            </w:r>
            <w:r>
              <w:rPr>
                <w:rFonts w:ascii="Times New Roman" w:hAnsi="Times New Roman"/>
                <w:sz w:val="24"/>
              </w:rPr>
              <w:t>, ainsi que les autres paiements effectués au moyen de méthodes et de véhicules qui, s’ils n’étaient pas considérés comme une rémunération, constitueraient un contournement des exigences en matière de rémunération de la CRD.</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lastRenderedPageBreak/>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rFonts w:ascii="Times New Roman" w:hAnsi="Times New Roman"/>
                <w:b/>
                <w:sz w:val="24"/>
              </w:rPr>
            </w:pPr>
            <w:proofErr w:type="gramStart"/>
            <w:r>
              <w:rPr>
                <w:rFonts w:ascii="Times New Roman" w:hAnsi="Times New Roman"/>
                <w:b/>
                <w:sz w:val="24"/>
              </w:rPr>
              <w:t>Dont:</w:t>
            </w:r>
            <w:proofErr w:type="gramEnd"/>
            <w:r>
              <w:rPr>
                <w:rFonts w:ascii="Times New Roman" w:hAnsi="Times New Roman"/>
                <w:b/>
                <w:sz w:val="24"/>
              </w:rPr>
              <w:t xml:space="preserve"> rémunération variable</w:t>
            </w:r>
          </w:p>
          <w:p w14:paraId="4089EA4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La somme de toutes les composantes de la rémunération qui ne font pas partie de la rémunération fixe indiquée à la ligne 7 du présent modèle.</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rFonts w:ascii="Times New Roman" w:hAnsi="Times New Roman"/>
                <w:b/>
                <w:sz w:val="24"/>
              </w:rPr>
            </w:pPr>
            <w:proofErr w:type="gramStart"/>
            <w:r>
              <w:rPr>
                <w:rFonts w:ascii="Times New Roman" w:hAnsi="Times New Roman"/>
                <w:b/>
                <w:sz w:val="24"/>
              </w:rPr>
              <w:t>Dont:</w:t>
            </w:r>
            <w:proofErr w:type="gramEnd"/>
            <w:r>
              <w:rPr>
                <w:rFonts w:ascii="Times New Roman" w:hAnsi="Times New Roman"/>
                <w:b/>
                <w:sz w:val="24"/>
              </w:rPr>
              <w:t xml:space="preserve"> rémunération fixe</w:t>
            </w:r>
          </w:p>
          <w:p w14:paraId="6D2B67C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Les établissements considèrent la rémunération comme fixe lorsque les conditions de son octroi et son </w:t>
            </w:r>
            <w:proofErr w:type="gramStart"/>
            <w:r>
              <w:rPr>
                <w:rFonts w:ascii="Times New Roman" w:hAnsi="Times New Roman"/>
                <w:sz w:val="24"/>
              </w:rPr>
              <w:t>montant:</w:t>
            </w:r>
            <w:proofErr w:type="gramEnd"/>
            <w:r>
              <w:rPr>
                <w:rFonts w:ascii="Times New Roman" w:hAnsi="Times New Roman"/>
                <w:sz w:val="24"/>
              </w:rPr>
              <w:t xml:space="preserve">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sont fondés sur des critères </w:t>
            </w:r>
            <w:proofErr w:type="gramStart"/>
            <w:r>
              <w:rPr>
                <w:rFonts w:ascii="Times New Roman" w:hAnsi="Times New Roman"/>
                <w:sz w:val="24"/>
              </w:rPr>
              <w:t>prédéterminés;</w:t>
            </w:r>
            <w:proofErr w:type="gramEnd"/>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sont non discrétionnaires, reflétant le niveau d’expérience professionnelle et l’ancienneté du </w:t>
            </w:r>
            <w:proofErr w:type="gramStart"/>
            <w:r>
              <w:rPr>
                <w:rFonts w:ascii="Times New Roman" w:hAnsi="Times New Roman"/>
                <w:sz w:val="24"/>
              </w:rPr>
              <w:t>personnel;</w:t>
            </w:r>
            <w:proofErr w:type="gramEnd"/>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sont transparents en ce qui concerne le montant individuel octroyé à chaque membre du </w:t>
            </w:r>
            <w:proofErr w:type="gramStart"/>
            <w:r>
              <w:rPr>
                <w:rFonts w:ascii="Times New Roman" w:hAnsi="Times New Roman"/>
                <w:sz w:val="24"/>
              </w:rPr>
              <w:t>personnel;</w:t>
            </w:r>
            <w:proofErr w:type="gramEnd"/>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sont permanents, c’est-à-dire maintenus pendant une période liée au rôle spécifique et aux responsabilités </w:t>
            </w:r>
            <w:proofErr w:type="gramStart"/>
            <w:r>
              <w:rPr>
                <w:rFonts w:ascii="Times New Roman" w:hAnsi="Times New Roman"/>
                <w:sz w:val="24"/>
              </w:rPr>
              <w:t>organisationnelles;</w:t>
            </w:r>
            <w:proofErr w:type="gramEnd"/>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sont non </w:t>
            </w:r>
            <w:proofErr w:type="gramStart"/>
            <w:r>
              <w:rPr>
                <w:rFonts w:ascii="Times New Roman" w:hAnsi="Times New Roman"/>
                <w:sz w:val="24"/>
              </w:rPr>
              <w:t>révocables;</w:t>
            </w:r>
            <w:proofErr w:type="gramEnd"/>
            <w:r>
              <w:rPr>
                <w:rFonts w:ascii="Times New Roman" w:hAnsi="Times New Roman"/>
                <w:sz w:val="24"/>
              </w:rPr>
              <w:t xml:space="preserve"> le montant permanent n’est modifié que par la négociation collective ou à la suite d’une renégociation conforme aux critères nationaux en matière de fixation des salaires;</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ne peut être réduit, suspendu ou annulé par </w:t>
            </w:r>
            <w:proofErr w:type="gramStart"/>
            <w:r>
              <w:rPr>
                <w:rFonts w:ascii="Times New Roman" w:hAnsi="Times New Roman"/>
                <w:sz w:val="24"/>
              </w:rPr>
              <w:t>l’établissement;</w:t>
            </w:r>
            <w:proofErr w:type="gramEnd"/>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n’incite pas à la prise de </w:t>
            </w:r>
            <w:proofErr w:type="gramStart"/>
            <w:r>
              <w:rPr>
                <w:rFonts w:ascii="Times New Roman" w:hAnsi="Times New Roman"/>
                <w:sz w:val="24"/>
              </w:rPr>
              <w:t>risque;</w:t>
            </w:r>
            <w:proofErr w:type="gramEnd"/>
            <w:r>
              <w:rPr>
                <w:rFonts w:ascii="Times New Roman" w:hAnsi="Times New Roman"/>
                <w:sz w:val="24"/>
              </w:rPr>
              <w:t xml:space="preserve"> et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ne dépend pas de la performance.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Explication</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a, b et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Organe de direction</w:t>
            </w:r>
          </w:p>
          <w:p w14:paraId="2D246C9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L’organe de direction de l’établissement, avec ventilation entre fonction de surveillance et fonction de gestion</w:t>
            </w:r>
          </w:p>
          <w:p w14:paraId="6966FBB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Les établissements publient les informations sur la base des effectifs.</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d à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4BE8325"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Domaines d</w:t>
            </w:r>
            <w:r w:rsidR="000D0548">
              <w:rPr>
                <w:rFonts w:ascii="Times New Roman" w:hAnsi="Times New Roman"/>
                <w:b/>
                <w:sz w:val="24"/>
              </w:rPr>
              <w:t>’</w:t>
            </w:r>
            <w:r>
              <w:rPr>
                <w:rFonts w:ascii="Times New Roman" w:hAnsi="Times New Roman"/>
                <w:b/>
                <w:sz w:val="24"/>
              </w:rPr>
              <w:t>activité</w:t>
            </w:r>
          </w:p>
          <w:p w14:paraId="3897E6F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Les principaux domaines d’activité de l’établissement, tels que la banque d’investissement, la banque de détail, la gestion d’actifs, les fonctions transversales, les fonctions de contrôle interne indépendant </w:t>
            </w:r>
          </w:p>
          <w:p w14:paraId="3683649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Les informations sont communiquées sur la base des ETP.</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Tous les autres</w:t>
            </w:r>
          </w:p>
          <w:p w14:paraId="73AEF5B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lastRenderedPageBreak/>
              <w:t xml:space="preserve">Tous les autres domaines d’activité qui n’étaient pas couverts séparément dans les colonnes précédentes </w:t>
            </w:r>
          </w:p>
          <w:p w14:paraId="1A1569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Les informations sont communiquées sur la base des ETP.</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 xml:space="preserve"> </w:t>
      </w:r>
      <w: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w:t>
      </w:r>
      <w:hyperlink r:id="rId1" w:history="1">
        <w:r>
          <w:rPr>
            <w:rStyle w:val="Hyperlink"/>
            <w:color w:val="800080"/>
          </w:rPr>
          <w:t>JO L 176 du 27.6.2013, p. 1</w:t>
        </w:r>
      </w:hyperlink>
      <w:r>
        <w:rPr>
          <w:color w:val="800080"/>
          <w:u w:val="single"/>
        </w:rPr>
        <w:t xml:space="preserve">; </w:t>
      </w:r>
      <w:hyperlink r:id="rId2" w:history="1">
        <w:r>
          <w:rPr>
            <w:rStyle w:val="Hyperlink"/>
          </w:rPr>
          <w:t>Règlement - UE - 2024/1623 - FR - EUR-Lex (europa.eu)</w:t>
        </w:r>
      </w:hyperlink>
      <w:r>
        <w:rPr>
          <w:color w:val="444444"/>
        </w:rPr>
        <w:t>]</w:t>
      </w:r>
      <w:r>
        <w:t>.</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 xml:space="preserve"> </w:t>
      </w:r>
      <w:r>
        <w:tab/>
        <w:t>DIRECTIVE 2013/36/UE DU PARLEMENT EUROPEEN ET DU CONSEIL du 26 juin 2013 concernant l’accès à l’activité des établissements de crédit et la surveillance prudentielle des établissements de crédit, modifiant la directive 2002/87/CE et abrogeant les directives 2006/48/CE et 2006/49/CE (JO L 176 du 27.6.2013, p. 338).</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 xml:space="preserve"> </w:t>
      </w:r>
      <w:r>
        <w:tab/>
        <w:t>RÈGLEMENT DÉLÉGUÉ (UE) Nº 604/2014 DE LA COMMISSION du 4 mars 2014 complétant la directive 2013/36/UE du Parlement européen et du Conseil par des normes techniques de réglementation en ce qui concerne les critères qualitatifs et quantitatifs appropriés permettant de recenser les catégories de personnel dont les activités professionnelles ont une incidence significative sur le profil de risque d’un établissement (JO L 167 du 6.6.2014, p. 30).</w:t>
      </w:r>
    </w:p>
  </w:footnote>
  <w:footnote w:id="4">
    <w:p w14:paraId="2890C799" w14:textId="77777777" w:rsidR="00965CEB" w:rsidRDefault="00965CEB" w:rsidP="00965CEB">
      <w:pPr>
        <w:pStyle w:val="FootnoteText"/>
      </w:pPr>
      <w:r>
        <w:rPr>
          <w:rStyle w:val="FootnoteReference"/>
        </w:rPr>
        <w:footnoteRef/>
      </w:r>
      <w:r>
        <w:t xml:space="preserve"> Directive 2011/61/UE du Parlement européen et du Conseil du 8 juin 2011 sur les gestionnaires de fonds d’investissement alternatifs et modifiant les directives 2003/41/CE et 2009/65/CE ainsi que les règlements (CE) nº 1060/2009 et (UE) nº 1095/2010 (JO L 174 du 1.7.2011,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w:rPr>
        <w:noProof/>
      </w:rP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3600E4"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w:rPr>
        <w:noProof/>
      </w:rP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A9260E" id="_x0000_t202" coordsize="21600,21600" o:spt="202" path="m,l,21600r21600,l21600,xe">
              <v:stroke joinstyle="miter"/>
              <v:path gradientshapeok="t" o:connecttype="rect"/>
            </v:shapetype>
            <v:shape id="Text Box 3" o:spid="_x0000_s1027" type="#_x0000_t202" alt="Title:  - Description: À l’usage ordinaire de 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43AB8F0" w14:textId="0BD5B325"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w:rPr>
        <w:noProof/>
      </w:rP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FC368C" id="_x0000_t202" coordsize="21600,21600" o:spt="202" path="m,l,21600r21600,l21600,xe">
              <v:stroke joinstyle="miter"/>
              <v:path gradientshapeok="t" o:connecttype="rect"/>
            </v:shapetype>
            <v:shape id="Text Box 1" o:spid="_x0000_s1028" type="#_x0000_t202" alt="Title:  - Description: À l’usage ordinaire de 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0D0548"/>
    <w:rsid w:val="005F1AA5"/>
    <w:rsid w:val="0088399E"/>
    <w:rsid w:val="00965CEB"/>
    <w:rsid w:val="00993FC2"/>
    <w:rsid w:val="009E1CBE"/>
    <w:rsid w:val="00A9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965CEB"/>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4EAA98-7634-481C-890A-7EBEEC614788}"/>
</file>

<file path=customXml/itemProps2.xml><?xml version="1.0" encoding="utf-8"?>
<ds:datastoreItem xmlns:ds="http://schemas.openxmlformats.org/officeDocument/2006/customXml" ds:itemID="{8D584740-9316-4ECC-919A-F2D1D733BE0E}"/>
</file>

<file path=customXml/itemProps3.xml><?xml version="1.0" encoding="utf-8"?>
<ds:datastoreItem xmlns:ds="http://schemas.openxmlformats.org/officeDocument/2006/customXml" ds:itemID="{1F1431E2-AB4C-4390-8403-2ABF75D1686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5</TotalTime>
  <Pages>15</Pages>
  <Words>5263</Words>
  <Characters>29052</Characters>
  <Application>Microsoft Office Word</Application>
  <DocSecurity>0</DocSecurity>
  <Lines>675</Lines>
  <Paragraphs>357</Paragraphs>
  <ScaleCrop>false</ScaleCrop>
  <Company>European Banking Authority</Company>
  <LinksUpToDate>false</LinksUpToDate>
  <CharactersWithSpaces>33958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DE BOECK Alicia (DGT)</cp:lastModifiedBy>
  <cp:revision>6</cp:revision>
  <dcterms:created xsi:type="dcterms:W3CDTF">2021-03-11T13:58:00Z</dcterms:created>
  <dcterms:modified xsi:type="dcterms:W3CDTF">2024-10-17T14:45:00Z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