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7717F5" w:rsidRDefault="00646595" w:rsidP="00646595">
      <w:pPr>
        <w:pStyle w:val="Annexetitre"/>
        <w:spacing w:before="0"/>
        <w:ind w:firstLine="708"/>
        <w:rPr>
          <w:b w:val="0"/>
        </w:rPr>
      </w:pPr>
      <w:r>
        <w:t xml:space="preserve">BILAGA XII – Instruktioner för offentliggörande av bruttosoliditetsgrad </w:t>
      </w:r>
    </w:p>
    <w:p w14:paraId="69E09F44" w14:textId="77777777" w:rsidR="00646595" w:rsidRPr="007717F5"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7717F5"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sz w:val="24"/>
        </w:rPr>
        <w:t xml:space="preserve">Mall EU LR1 – LRSum: Sammanfattande avstämning av redovisningstillgångar och exponeringar i bruttosoliditetsgrad. </w:t>
      </w:r>
      <w:r>
        <w:rPr>
          <w:rFonts w:ascii="Times New Roman" w:hAnsi="Times New Roman"/>
          <w:b w:val="0"/>
          <w:sz w:val="24"/>
        </w:rPr>
        <w:t>Mall med fast format.</w:t>
      </w:r>
    </w:p>
    <w:p w14:paraId="69E09F46" w14:textId="77777777"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Instituten ska följa de instruktioner som ges i detta avsnitt för att fylla i mall EU LR1 – LRSum vid tillämpning av artikel 451.1 b i förordning (EU) nr 575/2013</w:t>
      </w:r>
      <w:r w:rsidRPr="007717F5">
        <w:rPr>
          <w:rStyle w:val="FootnoteReference"/>
          <w:rFonts w:ascii="Times New Roman" w:hAnsi="Times New Roman"/>
        </w:rPr>
        <w:footnoteReference w:id="2"/>
      </w:r>
      <w:r>
        <w:rPr>
          <w:rFonts w:ascii="Times New Roman" w:hAnsi="Times New Roman"/>
          <w:sz w:val="24"/>
        </w:rPr>
        <w:t xml:space="preserve"> (</w:t>
      </w:r>
      <w:r>
        <w:rPr>
          <w:rFonts w:ascii="Times New Roman" w:hAnsi="Times New Roman"/>
          <w:i/>
          <w:iCs/>
          <w:sz w:val="24"/>
        </w:rPr>
        <w:t>kapitalkravsförordningen</w:t>
      </w:r>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Rättsliga hänvisningar och instruktioner</w:t>
            </w:r>
          </w:p>
        </w:tc>
      </w:tr>
      <w:tr w:rsidR="002312DE" w:rsidRPr="007717F5" w14:paraId="69E09F4B" w14:textId="77777777" w:rsidTr="5E9D3914">
        <w:trPr>
          <w:trHeight w:val="238"/>
        </w:trPr>
        <w:tc>
          <w:tcPr>
            <w:tcW w:w="1384" w:type="dxa"/>
            <w:shd w:val="clear" w:color="auto" w:fill="D9D9D9" w:themeFill="background1" w:themeFillShade="D9"/>
          </w:tcPr>
          <w:p w14:paraId="69E09F49"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Rad nr</w:t>
            </w:r>
          </w:p>
        </w:tc>
        <w:tc>
          <w:tcPr>
            <w:tcW w:w="7655" w:type="dxa"/>
            <w:shd w:val="clear" w:color="auto" w:fill="D9D9D9" w:themeFill="background1" w:themeFillShade="D9"/>
          </w:tcPr>
          <w:p w14:paraId="69E09F4A"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Förklaring</w:t>
            </w:r>
          </w:p>
        </w:tc>
      </w:tr>
      <w:tr w:rsidR="002312DE" w:rsidRPr="007717F5" w14:paraId="69E09F4F" w14:textId="77777777" w:rsidTr="5E9D3914">
        <w:trPr>
          <w:trHeight w:val="1419"/>
        </w:trPr>
        <w:tc>
          <w:tcPr>
            <w:tcW w:w="1384" w:type="dxa"/>
            <w:vAlign w:val="center"/>
          </w:tcPr>
          <w:p w14:paraId="69E09F4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5" w:type="dxa"/>
          </w:tcPr>
          <w:p w14:paraId="69E09F4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Sammanlagda tillgångar enligt offentliggjorda finansiella rapporter</w:t>
            </w:r>
          </w:p>
          <w:p w14:paraId="69E09F4E" w14:textId="50816C9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de sammanlagda tillgångar som redovisas i deras finansiella redovisningar enligt den tillämpliga redovisningsramen som definieras i artikel 4.1.77 i förordning (EU) nr 575/2013.</w:t>
            </w:r>
          </w:p>
        </w:tc>
      </w:tr>
      <w:tr w:rsidR="002312DE" w:rsidRPr="007717F5" w14:paraId="69E09F54" w14:textId="77777777" w:rsidTr="5E9D3914">
        <w:trPr>
          <w:trHeight w:val="2265"/>
        </w:trPr>
        <w:tc>
          <w:tcPr>
            <w:tcW w:w="1384" w:type="dxa"/>
            <w:vAlign w:val="center"/>
          </w:tcPr>
          <w:p w14:paraId="69E09F5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5" w:type="dxa"/>
          </w:tcPr>
          <w:p w14:paraId="69E09F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Justering för enheter som är konsoliderade för redovisningsändamål men som inte omfattas av konsolideringen enligt tillsynskrav</w:t>
            </w:r>
          </w:p>
          <w:p w14:paraId="69E09F5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skillnaden i värde mellan det totala exponeringsmått som offentliggörs i rad 13 i mall EU LR1 – LRSum och de sammanlagda redovisningstillgångar som offentliggörs i rad 1 i mall EU LR1 – LRSum, som är resultatet av skillnader mellan konsolideringen enligt redovisningsregler och konsolideringen enligt tillsynskrav.</w:t>
            </w:r>
          </w:p>
          <w:p w14:paraId="69E09F5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Om denna justering leder till ökad exponering ska instituten offentliggöra detta som ett positivt belopp. Om denna justering leder till minskad exponering ska instituten sätta värdet i denna rad inom parentes (negativt belopp).</w:t>
            </w:r>
          </w:p>
        </w:tc>
      </w:tr>
      <w:tr w:rsidR="002312DE" w:rsidRPr="007717F5" w14:paraId="69E09F5A" w14:textId="77777777" w:rsidTr="5E9D3914">
        <w:trPr>
          <w:trHeight w:val="567"/>
        </w:trPr>
        <w:tc>
          <w:tcPr>
            <w:tcW w:w="1384" w:type="dxa"/>
            <w:vAlign w:val="center"/>
          </w:tcPr>
          <w:p w14:paraId="69E09F5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5" w:type="dxa"/>
          </w:tcPr>
          <w:p w14:paraId="69E09F5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(Justering för värdepapperiserade exponeringar som uppfyller de operativa kraven för godkännande av risköverföring)</w:t>
            </w:r>
          </w:p>
          <w:p w14:paraId="69E09F57" w14:textId="102EE86C"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Artikel 429a.1 m i förordning (EU) nr 575/2013.</w:t>
            </w:r>
          </w:p>
          <w:p w14:paraId="69E09F58" w14:textId="6396F39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det belopp av de värdepapperiserade exponeringarna från traditionella värdepapperiseringar som uppfyller de villkor för betydande risköverföring som fastställs i artikel 244.2 i förordning (EU) nr 575/2013.</w:t>
            </w:r>
          </w:p>
          <w:p w14:paraId="69E09F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Eftersom denna justering minskar det totala exponeringsmåttet ska instituten sätta värdet i denna rad inom parentes (negativt belopp).</w:t>
            </w:r>
          </w:p>
        </w:tc>
      </w:tr>
      <w:tr w:rsidR="002312DE" w:rsidRPr="007717F5" w14:paraId="69E09F60" w14:textId="77777777" w:rsidTr="5E9D3914">
        <w:trPr>
          <w:trHeight w:val="850"/>
        </w:trPr>
        <w:tc>
          <w:tcPr>
            <w:tcW w:w="1384" w:type="dxa"/>
            <w:vAlign w:val="center"/>
          </w:tcPr>
          <w:p w14:paraId="69E09F5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5" w:type="dxa"/>
          </w:tcPr>
          <w:p w14:paraId="69E09F5C"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(Justering för tillfälligt undantag för exponeringar mot centralbanker (i tillämpliga fall))</w:t>
            </w:r>
          </w:p>
          <w:p w14:paraId="69E09F5D" w14:textId="215E052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Artikel 429a.1 n i </w:t>
            </w:r>
            <w:r>
              <w:rPr>
                <w:rFonts w:ascii="Times New Roman" w:hAnsi="Times New Roman"/>
                <w:b/>
                <w:sz w:val="24"/>
              </w:rPr>
              <w:t>förordning (EU) nr 575/2013</w:t>
            </w:r>
            <w:r>
              <w:rPr>
                <w:rFonts w:ascii="Times New Roman" w:hAnsi="Times New Roman"/>
                <w:sz w:val="24"/>
              </w:rPr>
              <w:t>.</w:t>
            </w:r>
          </w:p>
          <w:p w14:paraId="69E09F5E" w14:textId="2EF94E5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 xml:space="preserve">I tillämpliga fall ska instituten offentliggöra beloppet av mynt och sedlar som utgör laglig valuta inom centralbankens jurisdiktion och tillgångar som utgör fordringar på centralbanken, inklusive reserver som förvaras </w:t>
            </w:r>
            <w:r>
              <w:rPr>
                <w:rStyle w:val="TeksttreciPogrubienie"/>
                <w:rFonts w:ascii="Times New Roman" w:hAnsi="Times New Roman"/>
                <w:color w:val="auto"/>
                <w:sz w:val="24"/>
              </w:rPr>
              <w:lastRenderedPageBreak/>
              <w:t>i centralbanken. Dessa exponeringar kan omfattas av ett tillfälligt undantag med förbehåll för de villkor som anges i artikel 429a.5 och 429a.6 i förordning (EU) nr 575/2013.</w:t>
            </w:r>
          </w:p>
          <w:p w14:paraId="69E09F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Eftersom denna justering minskar det totala exponeringsmåttet ska instituten sätta värdet i denna rad inom parentes (negativt belopp).</w:t>
            </w:r>
            <w:r>
              <w:rPr>
                <w:rStyle w:val="TeksttreciPogrubienie"/>
                <w:rFonts w:ascii="Times New Roman" w:hAnsi="Times New Roman"/>
                <w:color w:val="auto"/>
                <w:sz w:val="24"/>
              </w:rPr>
              <w:t xml:space="preserve"> </w:t>
            </w:r>
          </w:p>
        </w:tc>
      </w:tr>
      <w:tr w:rsidR="002312DE" w:rsidRPr="007717F5" w14:paraId="69E09F65" w14:textId="77777777" w:rsidTr="5E9D3914">
        <w:trPr>
          <w:trHeight w:val="2265"/>
        </w:trPr>
        <w:tc>
          <w:tcPr>
            <w:tcW w:w="1384" w:type="dxa"/>
            <w:vAlign w:val="center"/>
          </w:tcPr>
          <w:p w14:paraId="69E09F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5</w:t>
            </w:r>
          </w:p>
        </w:tc>
        <w:tc>
          <w:tcPr>
            <w:tcW w:w="7655" w:type="dxa"/>
          </w:tcPr>
          <w:p w14:paraId="69E09F62" w14:textId="2D40166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(Justering för förvaltningstillgångar som redovisas i balansräkningen i enlighet med de tillämpliga redovisningsreglerna men som undantas från det totala exponeringsmåttet i enlighet med artikel 429a.1 i) i kapitalkravsförordningen)</w:t>
            </w:r>
          </w:p>
          <w:p w14:paraId="69E09F63" w14:textId="7111A0F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summan av förvaltningstillgångar som tagits bort från balansräkningen i enlighet med artikel 429.1 i) i förordning (EU) nr 575/2013.</w:t>
            </w:r>
          </w:p>
          <w:p w14:paraId="69E09F6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Eftersom denna justering minskar det totala exponeringsmåttet ska instituten sätta värdet i denna rad inom parentes (negativt belopp).</w:t>
            </w:r>
          </w:p>
        </w:tc>
      </w:tr>
      <w:tr w:rsidR="002312DE" w:rsidRPr="007717F5" w14:paraId="69E09F6E" w14:textId="77777777" w:rsidTr="5E9D3914">
        <w:trPr>
          <w:trHeight w:val="1559"/>
        </w:trPr>
        <w:tc>
          <w:tcPr>
            <w:tcW w:w="1384" w:type="dxa"/>
            <w:vAlign w:val="center"/>
          </w:tcPr>
          <w:p w14:paraId="69E09F6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5" w:type="dxa"/>
          </w:tcPr>
          <w:p w14:paraId="69E09F6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Justering för avistaköp och avistaförsäljning av finansiella tillgångar som omfattas av handelsdagsredovisning</w:t>
            </w:r>
          </w:p>
          <w:p w14:paraId="69E09F68" w14:textId="4C5850C9"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429g.1 och 429g.2 i förordning (EU) nr 575/2013.</w:t>
            </w:r>
          </w:p>
          <w:p w14:paraId="69E09F69" w14:textId="73200602" w:rsidR="00646595" w:rsidRPr="007717F5" w:rsidRDefault="00646595" w:rsidP="17C07D06">
            <w:pPr>
              <w:tabs>
                <w:tab w:val="left" w:pos="400"/>
              </w:tabs>
              <w:spacing w:after="120"/>
              <w:jc w:val="both"/>
              <w:rPr>
                <w:rFonts w:ascii="Times New Roman" w:hAnsi="Times New Roman" w:cs="Times New Roman"/>
                <w:sz w:val="24"/>
              </w:rPr>
            </w:pPr>
            <w:r>
              <w:rPr>
                <w:rFonts w:ascii="Times New Roman" w:hAnsi="Times New Roman"/>
                <w:sz w:val="24"/>
              </w:rPr>
              <w:t>Instituten ska offentliggöra den justering av det bokförda värdet som rör avistaköp och avistaförsäljningar i väntan på avveckling som ska redovisas på handelsdagen i enlighet med artikel 429g.1 och 429g.2 i förordning (EU) nr 575/2013. Justeringen är summan av följande:</w:t>
            </w:r>
          </w:p>
          <w:p w14:paraId="69E09F6A" w14:textId="77777777"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Det belopp som kvittas mellan kontantfordringar för avistaförsäljningar som väntar på avveckling och kontantskulder för avistaköp som väntar på avveckling i enlighet med redovisningsreglerna. Detta är ett positivt belopp. </w:t>
            </w:r>
          </w:p>
          <w:p w14:paraId="69E09F6B" w14:textId="2E937682"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Det belopp som kvittas mellan kontantfordringar och kontantskulder när både relaterade avistaförsäljningar och avistaköp avvecklas genom leverans mot betalning i enlighet med artikel 429g.2 i förordning (EU) nr 575/2013. Detta är ett negativt värde. </w:t>
            </w:r>
          </w:p>
          <w:p w14:paraId="69E09F6C" w14:textId="6A3635C3" w:rsidR="00646595" w:rsidRPr="007717F5" w:rsidRDefault="00646595" w:rsidP="17C07D06">
            <w:pPr>
              <w:spacing w:after="120"/>
              <w:jc w:val="both"/>
              <w:rPr>
                <w:rFonts w:ascii="Times New Roman" w:hAnsi="Times New Roman" w:cs="Times New Roman"/>
                <w:sz w:val="24"/>
              </w:rPr>
            </w:pPr>
            <w:r>
              <w:rPr>
                <w:rFonts w:ascii="Times New Roman" w:hAnsi="Times New Roman"/>
                <w:sz w:val="24"/>
              </w:rPr>
              <w:t>Avistaköp eller avistaförsäljningar i väntan på avveckling som omfattas av likviddagsredovisning i enlighet med artikel 429g.3 i förordning (EU) nr 575/2013 ska inkluderas i rad 10 i mall EU LR1 - LRSum.</w:t>
            </w:r>
          </w:p>
          <w:p w14:paraId="69E09F6D" w14:textId="77777777" w:rsidR="00646595" w:rsidRPr="007717F5" w:rsidRDefault="00646595" w:rsidP="00E9371F">
            <w:pPr>
              <w:tabs>
                <w:tab w:val="left" w:pos="400"/>
              </w:tabs>
              <w:spacing w:after="120"/>
              <w:jc w:val="both"/>
              <w:rPr>
                <w:rStyle w:val="TeksttreciPogrubienie"/>
                <w:rFonts w:ascii="Times New Roman" w:hAnsi="Times New Roman" w:cs="Times New Roman"/>
                <w:color w:val="auto"/>
                <w:sz w:val="24"/>
              </w:rPr>
            </w:pPr>
            <w:r>
              <w:rPr>
                <w:rFonts w:ascii="Times New Roman" w:hAnsi="Times New Roman"/>
                <w:sz w:val="24"/>
              </w:rPr>
              <w:t>Om denna justering leder till ökad exponering ska instituten offentliggöra detta som ett positivt belopp. Om denna justering leder till minskad exponering ska instituten sätta värdet i denna rad inom parentes (negativt belopp).</w:t>
            </w:r>
          </w:p>
        </w:tc>
      </w:tr>
      <w:tr w:rsidR="002312DE" w:rsidRPr="007717F5" w14:paraId="69E09F74" w14:textId="77777777" w:rsidTr="5E9D3914">
        <w:trPr>
          <w:trHeight w:val="708"/>
        </w:trPr>
        <w:tc>
          <w:tcPr>
            <w:tcW w:w="1384" w:type="dxa"/>
            <w:vAlign w:val="center"/>
          </w:tcPr>
          <w:p w14:paraId="69E09F6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7</w:t>
            </w:r>
          </w:p>
        </w:tc>
        <w:tc>
          <w:tcPr>
            <w:tcW w:w="7655" w:type="dxa"/>
          </w:tcPr>
          <w:p w14:paraId="69E09F7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Justering för godtagbara överföringar för poolning av kontanta medel</w:t>
            </w:r>
          </w:p>
          <w:p w14:paraId="69E09F71" w14:textId="3CB9603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429b.2 och 429b.3 i förordning (EU) nr 575/2013.</w:t>
            </w:r>
          </w:p>
          <w:p w14:paraId="69E09F72" w14:textId="2EAC164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skillnaden mellan redovisningsvärdet och bruttosoliditetsgradens exponeringsvärde för poolningssystem för kontanta medel i enlighet med de villkor som anges i artikel 429b.2 och 429b.3 i förordning (EU) nr 575/2013.</w:t>
            </w:r>
          </w:p>
          <w:p w14:paraId="69E09F73" w14:textId="165E1FDD" w:rsidR="00646595" w:rsidRPr="007717F5"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 xml:space="preserve">Om denna justering leder till ökad exponering, på grund av transaktioner som redovisas netto enligt de tillämpliga redovisningsreglerna men som inte </w:t>
            </w:r>
            <w:r>
              <w:rPr>
                <w:rFonts w:ascii="Times New Roman" w:hAnsi="Times New Roman"/>
                <w:sz w:val="24"/>
              </w:rPr>
              <w:lastRenderedPageBreak/>
              <w:t>uppfyller villkoren för nettopresentation enligt artikel 429b.2 och 429b.3 i förordning (EU) nr 575/2013, ska instituten offentliggöra detta som ett positivt belopp. Om denna justering leder till minskad exponering, på grund av transaktioner som inte redovisas netto enligt de tillämpliga redovisningsreglerna men som uppfyller villkoren för nettopresentation enligt artikel 429b.2 och 429b.3 i förordning (EU) nr 575/2013, ska instituten sätta värdet i denna rad inom parentes (negativt belopp).</w:t>
            </w:r>
          </w:p>
        </w:tc>
      </w:tr>
      <w:tr w:rsidR="002312DE" w:rsidRPr="007717F5" w14:paraId="69E09F79" w14:textId="77777777" w:rsidTr="5E9D3914">
        <w:trPr>
          <w:trHeight w:val="2265"/>
        </w:trPr>
        <w:tc>
          <w:tcPr>
            <w:tcW w:w="1384" w:type="dxa"/>
            <w:vAlign w:val="center"/>
          </w:tcPr>
          <w:p w14:paraId="69E09F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8</w:t>
            </w:r>
          </w:p>
        </w:tc>
        <w:tc>
          <w:tcPr>
            <w:tcW w:w="7655" w:type="dxa"/>
          </w:tcPr>
          <w:p w14:paraId="69E09F7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Justering för finansiella derivatinstrument</w:t>
            </w:r>
          </w:p>
          <w:p w14:paraId="69E09F77" w14:textId="0B4B1D18"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För kreditderivat och kontrakt som förtecknas i bilaga II till förordning (EU) nr 575/2013 ska instituten offentliggöra skillnaden i värde mellan redovisningsvärdet av de derivat som upptas som tillgångar och exponeringsvärdet för bruttosoliditetsgraden såsom fastställd genom tillämpning av artiklarna 429.4 b, 429c, 429d, 429a.1 g och h och 429.5 i förordning (EU) nr 575/2013.</w:t>
            </w:r>
          </w:p>
          <w:p w14:paraId="69E09F7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Om denna justering leder till ökad exponering ska instituten offentliggöra detta som ett positivt belopp. Om denna justering leder till minskad exponering ska instituten sätta värdet i denna rad inom parentes (negativt belopp).</w:t>
            </w:r>
          </w:p>
        </w:tc>
      </w:tr>
      <w:tr w:rsidR="002312DE" w:rsidRPr="007717F5" w14:paraId="69E09F7E" w14:textId="77777777" w:rsidTr="5E9D3914">
        <w:trPr>
          <w:trHeight w:val="2265"/>
        </w:trPr>
        <w:tc>
          <w:tcPr>
            <w:tcW w:w="1384" w:type="dxa"/>
            <w:vAlign w:val="center"/>
          </w:tcPr>
          <w:p w14:paraId="69E09F7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655" w:type="dxa"/>
          </w:tcPr>
          <w:p w14:paraId="69E09F7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Justering för transaktioner för värdepappersfinansiering</w:t>
            </w:r>
          </w:p>
          <w:p w14:paraId="69E09F7C" w14:textId="1160CBC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För transaktioner för värdepappersfinansiering ska instituten offentliggöra skillnaden i värde mellan det bokförda värdet av de transaktioner för värdepappersfinansiering som upptas som tillgångar och det exponeringsvärde för bruttosoliditetsgraden som fastställts genom tillämpning av artikel 429.4 a och c jämförd med artikel 429e, artikel 429.7 b och artikel 429b.1 b, med artikel 429b.4 samt med artikel 429a.1 g och h i förordning (EU) nr 575/2013.</w:t>
            </w:r>
          </w:p>
          <w:p w14:paraId="69E09F7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Om denna justering leder till ökad exponering ska instituten offentliggöra detta som ett positivt belopp. Om denna justering leder till minskad exponering ska instituten sätta värdet i denna rad inom parentes (negativt belopp).</w:t>
            </w:r>
          </w:p>
        </w:tc>
      </w:tr>
      <w:tr w:rsidR="002312DE" w:rsidRPr="007717F5" w14:paraId="69E09F84" w14:textId="77777777" w:rsidTr="5E9D3914">
        <w:trPr>
          <w:trHeight w:val="132"/>
        </w:trPr>
        <w:tc>
          <w:tcPr>
            <w:tcW w:w="1384" w:type="dxa"/>
            <w:vAlign w:val="center"/>
          </w:tcPr>
          <w:p w14:paraId="69E09F7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5" w:type="dxa"/>
          </w:tcPr>
          <w:p w14:paraId="69E09F8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Justering för poster utanför balansräkningen (dvs. konvertering till kreditbelopp som motsvarar exponeringar utanför balansräkningen)</w:t>
            </w:r>
          </w:p>
          <w:p w14:paraId="69E09F8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skillnaden i värde mellan bruttosoliditetsgradens exponering som offentliggörs i rad 13 i mall EU LR1 – LRSum och de sammanlagda redovisningstillgångar som offentliggörs i rad 1 i mall EU LR1 – LRSum, som är resultatet av att poster utanför balansräkningen inkluderas i exponeringsmåttet för bruttosoliditetsgraden.</w:t>
            </w:r>
          </w:p>
          <w:p w14:paraId="69E09F82" w14:textId="497618B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Detta omfattar de betalningsåtaganden som rör avistaköp enligt metoden för likviddagsredovisning och som beräknats i enlighet med artikel 429g.3 i förordning (EU) nr 575/2013.</w:t>
            </w:r>
          </w:p>
          <w:p w14:paraId="69E09F8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Eftersom denna justering ökar det totala exponeringsmåttet ska den offentliggöras som ett positivt belopp.</w:t>
            </w:r>
          </w:p>
        </w:tc>
      </w:tr>
      <w:tr w:rsidR="002312DE" w:rsidRPr="007717F5" w14:paraId="69E09F89" w14:textId="77777777" w:rsidTr="5E9D3914">
        <w:trPr>
          <w:trHeight w:val="983"/>
        </w:trPr>
        <w:tc>
          <w:tcPr>
            <w:tcW w:w="1384" w:type="dxa"/>
            <w:vAlign w:val="center"/>
          </w:tcPr>
          <w:p w14:paraId="69E09F8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5" w:type="dxa"/>
          </w:tcPr>
          <w:p w14:paraId="69E09F8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(Justering för krav på försiktig värdering och specifika och allmänna avsättningar som har lett till reducerat primärkapital)</w:t>
            </w:r>
          </w:p>
          <w:p w14:paraId="69E09F87" w14:textId="024D443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Pr>
                <w:rFonts w:ascii="Times New Roman" w:hAnsi="Times New Roman"/>
                <w:sz w:val="24"/>
              </w:rPr>
              <w:t xml:space="preserve">Instituten ska offentliggöra beloppet av justeringar för försiktig värdering i enlighet med artikel 429a.1 a och b i förordning (EU) nr 575/2013 och </w:t>
            </w:r>
            <w:r>
              <w:rPr>
                <w:rFonts w:ascii="Times New Roman" w:hAnsi="Times New Roman"/>
                <w:sz w:val="24"/>
              </w:rPr>
              <w:lastRenderedPageBreak/>
              <w:t xml:space="preserve">beloppet av specifika (i relevanta fall) och allmänna kreditriskjusteringar av poster i och utanför balansräkningen enligt artikel 429.4 sista meningen och artikel 429f.2 i förordning (EU) nr 575/2013 som har reducerat primärkapital. Specifika avsättningar ska endast upptas om de, i enlighet med de tillämpliga redovisningsreglerna, inte redan har dragits av från de redovisade bruttovärdena. </w:t>
            </w:r>
            <w:bookmarkStart w:id="2" w:name="_DV_M411"/>
            <w:bookmarkEnd w:id="2"/>
          </w:p>
          <w:p w14:paraId="69E09F8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Eftersom denna justering minskar det totala exponeringsmåttet ska instituten sätta värdet i denna rad inom parentes (negativt belopp).</w:t>
            </w:r>
          </w:p>
        </w:tc>
      </w:tr>
      <w:tr w:rsidR="002312DE" w:rsidRPr="007717F5" w14:paraId="69E09F8F" w14:textId="77777777" w:rsidTr="5E9D3914">
        <w:trPr>
          <w:trHeight w:val="2265"/>
        </w:trPr>
        <w:tc>
          <w:tcPr>
            <w:tcW w:w="1384" w:type="dxa"/>
            <w:vAlign w:val="center"/>
          </w:tcPr>
          <w:p w14:paraId="69E09F8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EU-11a</w:t>
            </w:r>
          </w:p>
        </w:tc>
        <w:tc>
          <w:tcPr>
            <w:tcW w:w="7655" w:type="dxa"/>
          </w:tcPr>
          <w:p w14:paraId="69E09F8B" w14:textId="4021AA4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(Justering för exponeringar som undantas från det totala exponeringsmåttet i enlighet med artikel 429a.1 c och ca</w:t>
            </w:r>
          </w:p>
          <w:p w14:paraId="69E09F8C" w14:textId="325E9E6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429a.1 c och ca samt artikel 113.6 och 113.7 i förordning (EU) nr 575/2013.</w:t>
            </w:r>
          </w:p>
          <w:p w14:paraId="69E09F8D" w14:textId="6ACDE61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de exponeringar i balansräkningen som undantas från det totala exponeringsmåttet i enlighet med artikel 429a.1 c i förordning (EU) nr 575/2013.</w:t>
            </w:r>
          </w:p>
          <w:p w14:paraId="69E09F8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Eftersom denna justering minskar det totala exponeringsmåttet ska instituten sätta värdet i denna rad inom parentes (negativt belopp).</w:t>
            </w:r>
          </w:p>
        </w:tc>
      </w:tr>
      <w:tr w:rsidR="002312DE" w:rsidRPr="007717F5" w14:paraId="69E09F95" w14:textId="77777777" w:rsidTr="5E9D3914">
        <w:trPr>
          <w:trHeight w:val="2265"/>
        </w:trPr>
        <w:tc>
          <w:tcPr>
            <w:tcW w:w="1384" w:type="dxa"/>
            <w:vAlign w:val="center"/>
          </w:tcPr>
          <w:p w14:paraId="69E09F9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EU-11b</w:t>
            </w:r>
          </w:p>
        </w:tc>
        <w:tc>
          <w:tcPr>
            <w:tcW w:w="7655" w:type="dxa"/>
          </w:tcPr>
          <w:p w14:paraId="69E09F9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(Justering för exponeringar som undantas från det totala exponeringsmåttet i enlighet med artikel 429a.1 j i kapitalkravsförordningen)</w:t>
            </w:r>
          </w:p>
          <w:p w14:paraId="69E09F92" w14:textId="429747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429a.1 j, artikel 116.4 i förordning (EU) nr 575/2013</w:t>
            </w:r>
          </w:p>
          <w:p w14:paraId="69E09F93" w14:textId="46A9228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de exponeringar i balansräkningen som undantas från det totala exponeringsmåttet i enlighet med artikel 429a.1 j i förordning (EU) nr 575/2013.</w:t>
            </w:r>
          </w:p>
          <w:p w14:paraId="69E09F9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Eftersom denna justering minskar det totala exponeringsmåttet ska instituten sätta värdena i denna rad inom parentes (negativt belopp).</w:t>
            </w:r>
          </w:p>
        </w:tc>
      </w:tr>
      <w:tr w:rsidR="002312DE" w:rsidRPr="007717F5" w14:paraId="69E09F9A" w14:textId="77777777" w:rsidTr="5E9D3914">
        <w:trPr>
          <w:trHeight w:val="2265"/>
        </w:trPr>
        <w:tc>
          <w:tcPr>
            <w:tcW w:w="1384" w:type="dxa"/>
            <w:vAlign w:val="center"/>
          </w:tcPr>
          <w:p w14:paraId="69E09F9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5" w:type="dxa"/>
          </w:tcPr>
          <w:p w14:paraId="69E09F9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Pr>
                <w:rStyle w:val="TeksttreciPogrubienie"/>
                <w:rFonts w:ascii="Times New Roman" w:hAnsi="Times New Roman"/>
                <w:color w:val="auto"/>
                <w:sz w:val="24"/>
              </w:rPr>
              <w:t>Andra justeringar</w:t>
            </w:r>
          </w:p>
          <w:p w14:paraId="69E09F98" w14:textId="126BA29D"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Instituten ska ange en eventuell återstående skillnad i värde mellan det totala exponeringsmåttet och de sammanlagda redovisningstillgångarna. Instituten ska ta hänsyn till exponeringsjusteringarna </w:t>
            </w:r>
            <w:r>
              <w:rPr>
                <w:rStyle w:val="TeksttreciPogrubienie"/>
                <w:rFonts w:ascii="Times New Roman" w:hAnsi="Times New Roman"/>
                <w:color w:val="auto"/>
                <w:sz w:val="24"/>
              </w:rPr>
              <w:t>i enlighet med artikel 429.8</w:t>
            </w:r>
            <w:r>
              <w:rPr>
                <w:rFonts w:ascii="Times New Roman" w:hAnsi="Times New Roman"/>
                <w:sz w:val="24"/>
              </w:rPr>
              <w:t xml:space="preserve"> i förordning (EU) nr 575/2013 </w:t>
            </w:r>
            <w:r>
              <w:rPr>
                <w:rStyle w:val="TeksttreciPogrubienie"/>
                <w:rFonts w:ascii="Times New Roman" w:hAnsi="Times New Roman"/>
                <w:color w:val="auto"/>
                <w:sz w:val="24"/>
              </w:rPr>
              <w:t>och andra exponeringsjusteringar som anges i artikel 429a.1</w:t>
            </w:r>
            <w:r>
              <w:rPr>
                <w:rFonts w:ascii="Times New Roman" w:hAnsi="Times New Roman"/>
                <w:sz w:val="24"/>
              </w:rPr>
              <w:t xml:space="preserve"> ca, d, da, e, f, h, k, l, o, p och q i förordning (EU) nr 575/2013 </w:t>
            </w:r>
            <w:r>
              <w:rPr>
                <w:rStyle w:val="TeksttreciPogrubienie"/>
                <w:rFonts w:ascii="Times New Roman" w:hAnsi="Times New Roman"/>
                <w:color w:val="auto"/>
                <w:sz w:val="24"/>
              </w:rPr>
              <w:t>och som inte offentliggörs någon annanstans i mallen</w:t>
            </w:r>
            <w:r>
              <w:rPr>
                <w:rFonts w:ascii="Times New Roman" w:hAnsi="Times New Roman"/>
                <w:sz w:val="24"/>
              </w:rPr>
              <w:t>.</w:t>
            </w:r>
          </w:p>
          <w:p w14:paraId="69E09F9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Om dessa justeringar leder till ökad exponering ska instituten offentliggöra detta som ett positivt belopp. Om dessa justeringar leder till minskad exponering ska instituten sätta värdet i denna rad inom parentes (negativt belopp).</w:t>
            </w:r>
          </w:p>
        </w:tc>
      </w:tr>
      <w:tr w:rsidR="00646595" w:rsidRPr="007717F5" w14:paraId="69E09F9E" w14:textId="77777777" w:rsidTr="5E9D3914">
        <w:trPr>
          <w:trHeight w:val="1015"/>
        </w:trPr>
        <w:tc>
          <w:tcPr>
            <w:tcW w:w="1384" w:type="dxa"/>
            <w:vAlign w:val="center"/>
          </w:tcPr>
          <w:p w14:paraId="69E09F9B" w14:textId="77777777" w:rsidR="00646595" w:rsidRPr="007717F5" w:rsidRDefault="00646595" w:rsidP="00E9371F">
            <w:pPr>
              <w:pStyle w:val="Applicationdirecte"/>
              <w:spacing w:before="0"/>
              <w:jc w:val="center"/>
            </w:pPr>
            <w:r>
              <w:t>13</w:t>
            </w:r>
          </w:p>
        </w:tc>
        <w:tc>
          <w:tcPr>
            <w:tcW w:w="7655" w:type="dxa"/>
          </w:tcPr>
          <w:p w14:paraId="69E09F9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Totalt exponeringsmått</w:t>
            </w:r>
          </w:p>
          <w:p w14:paraId="69E09F9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Totalt exponeringsmått (som även offentliggörs i rad 24 i mall EU LR2 – LRCom), vilket är summan av de föregående posterna.</w:t>
            </w:r>
          </w:p>
        </w:tc>
      </w:tr>
    </w:tbl>
    <w:p w14:paraId="69E09F9F" w14:textId="77777777" w:rsidR="00646595" w:rsidRPr="007717F5" w:rsidRDefault="00646595" w:rsidP="00646595">
      <w:pPr>
        <w:spacing w:after="120"/>
        <w:rPr>
          <w:rFonts w:ascii="Times New Roman" w:hAnsi="Times New Roman" w:cs="Times New Roman"/>
          <w:sz w:val="24"/>
        </w:rPr>
      </w:pPr>
    </w:p>
    <w:p w14:paraId="69E09FA0" w14:textId="77777777" w:rsidR="00646595" w:rsidRPr="007717F5"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Pr>
          <w:rFonts w:ascii="Times New Roman" w:hAnsi="Times New Roman"/>
          <w:sz w:val="24"/>
        </w:rPr>
        <w:lastRenderedPageBreak/>
        <w:t>Mall EU LR2 – LRCom: Enhetligt offentliggörande av bruttosoliditetsgrad</w:t>
      </w:r>
      <w:bookmarkEnd w:id="3"/>
      <w:r>
        <w:t>.</w:t>
      </w:r>
      <w:r>
        <w:rPr>
          <w:rFonts w:ascii="Times New Roman" w:hAnsi="Times New Roman"/>
          <w:sz w:val="24"/>
        </w:rPr>
        <w:t xml:space="preserve"> </w:t>
      </w:r>
      <w:r>
        <w:rPr>
          <w:rFonts w:ascii="Times New Roman" w:hAnsi="Times New Roman"/>
          <w:b w:val="0"/>
          <w:sz w:val="24"/>
        </w:rPr>
        <w:t>Mall med fast format</w:t>
      </w:r>
    </w:p>
    <w:p w14:paraId="69E09FA1" w14:textId="09225CB4"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Instituten ska följa de instruktioner som ges i detta avsnitt för att fylla i mall EU LR2 – LRCom vid tillämpning av artikel 451.1 a och b i förordning (EU) nr 575/2013 och 451.3 i förordning (EU) nr 575/2013, i tillämpliga fall med beaktande av artikel 451.1 c och artikel 451.2 i förordning (EU) nr 575/2013.</w:t>
      </w:r>
    </w:p>
    <w:p w14:paraId="69E09FA2" w14:textId="77777777"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Instituten ska offentliggöra värdena i de olika raderna för redovisningsperioden i kolumn a och värdena i raderna för den föregående offentliggörandeperioden i kolumn b.</w:t>
      </w:r>
    </w:p>
    <w:p w14:paraId="69E09FA3" w14:textId="77777777" w:rsidR="00646595" w:rsidRPr="007717F5" w:rsidRDefault="00646595" w:rsidP="00646595">
      <w:pPr>
        <w:pStyle w:val="ListParagraph"/>
        <w:numPr>
          <w:ilvl w:val="0"/>
          <w:numId w:val="6"/>
        </w:numPr>
        <w:spacing w:after="120"/>
        <w:ind w:left="426"/>
        <w:jc w:val="both"/>
        <w:rPr>
          <w:rFonts w:ascii="Times New Roman" w:hAnsi="Times New Roman"/>
          <w:sz w:val="24"/>
        </w:rPr>
      </w:pPr>
      <w:r>
        <w:rPr>
          <w:rFonts w:ascii="Times New Roman" w:hAnsi="Times New Roman"/>
          <w:sz w:val="24"/>
        </w:rPr>
        <w:t>I den beskrivning som medföljer mallen ska instituten förklara sammansättningen av subventionerade lån som offentliggörs i raderna EU-22d och EU-22e i denna mall, inbegripet information per typ av motpart.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Rättsliga hänvisningar och instruktioner</w:t>
            </w:r>
          </w:p>
        </w:tc>
      </w:tr>
      <w:tr w:rsidR="002312DE" w:rsidRPr="007717F5" w14:paraId="69E09FA8" w14:textId="77777777" w:rsidTr="009F3999">
        <w:trPr>
          <w:trHeight w:val="238"/>
        </w:trPr>
        <w:tc>
          <w:tcPr>
            <w:tcW w:w="1380" w:type="dxa"/>
            <w:shd w:val="clear" w:color="auto" w:fill="D9D9D9" w:themeFill="background1" w:themeFillShade="D9"/>
          </w:tcPr>
          <w:p w14:paraId="69E09FA6"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Rad nr</w:t>
            </w:r>
          </w:p>
        </w:tc>
        <w:tc>
          <w:tcPr>
            <w:tcW w:w="7659" w:type="dxa"/>
            <w:shd w:val="clear" w:color="auto" w:fill="D9D9D9" w:themeFill="background1" w:themeFillShade="D9"/>
          </w:tcPr>
          <w:p w14:paraId="69E09FA7"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Förklaring</w:t>
            </w:r>
          </w:p>
        </w:tc>
      </w:tr>
      <w:tr w:rsidR="002312DE" w:rsidRPr="007717F5" w14:paraId="69E09FB0" w14:textId="77777777" w:rsidTr="009F3999">
        <w:trPr>
          <w:trHeight w:val="708"/>
        </w:trPr>
        <w:tc>
          <w:tcPr>
            <w:tcW w:w="1380" w:type="dxa"/>
            <w:vAlign w:val="center"/>
          </w:tcPr>
          <w:p w14:paraId="69E09FA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9" w:type="dxa"/>
          </w:tcPr>
          <w:p w14:paraId="69E09FA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Poster i balansräkningen (med undantag för derivat och transaktioner för värdepappersfinansiering, men inklusive säkerhet)</w:t>
            </w:r>
          </w:p>
          <w:p w14:paraId="69E09FAB" w14:textId="064B1AF8"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Artiklarna 429 och 429b i förordning (EU) nr 575/2013.</w:t>
            </w:r>
          </w:p>
          <w:p w14:paraId="69E09FAC" w14:textId="2B7C8E1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Instituten ska offentliggöra alla tillgångar, förutom kontrakt som förtecknas i bilaga II till förordning (EU) nr 575/2013, kreditderivat och transaktioner för värdepappersfinansiering. Instituten ska basera värderingen av dessa tillgångar på de principer som fastställs i artikel 429.7 och 429b.1 i förordning (EU) nr 575/2013. </w:t>
            </w:r>
          </w:p>
          <w:p w14:paraId="69E09FAD" w14:textId="073853E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 denna beräkning ska instituten, i tillämpliga fall, ta hänsyn till artikel 429a.1 i, m och n i förordning (EU) nr 575/2013, artikel 429g och artikel 429.4 sista stycket i förordning (EU) nr 575/2013. </w:t>
            </w:r>
          </w:p>
          <w:p w14:paraId="69E09FA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 denna cell ska instituten ta med mottagna kontanter eller värdepapper som tillhandahålles en motpart genom transaktioner för värdepappersfinansiering och som tas med i balansräkningen (dvs. redovisningskraven för borttagning enligt de tillämpliga redovisningsreglerna är inte uppfyllda).</w:t>
            </w:r>
          </w:p>
          <w:p w14:paraId="69E09FAF" w14:textId="3D7CA3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 beräkningen ska instituten inte ta hänsyn till artikel 429.8 och 429a.1 a–h, j och k i förordning (EU) nr 575/2013, dvs. de ska inte minska det belopp som ska offentliggöras i denna rad genom dessa undantag. </w:t>
            </w:r>
          </w:p>
        </w:tc>
      </w:tr>
      <w:tr w:rsidR="002312DE" w:rsidRPr="007717F5" w14:paraId="69E09FB6" w14:textId="77777777" w:rsidTr="009F3999">
        <w:trPr>
          <w:trHeight w:val="708"/>
        </w:trPr>
        <w:tc>
          <w:tcPr>
            <w:tcW w:w="1380" w:type="dxa"/>
            <w:vAlign w:val="center"/>
          </w:tcPr>
          <w:p w14:paraId="69E09F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9" w:type="dxa"/>
          </w:tcPr>
          <w:p w14:paraId="69E09FB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Tilläggsbelopp med avseende på ställd derivatsäkerhet som dragits av från tillgångarna i balansräkningen i enlighet med de tillämpliga redovisningsreglerna</w:t>
            </w:r>
          </w:p>
          <w:p w14:paraId="69E09FB3" w14:textId="7197DA61"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429c.2 i förordning (EU) nr 575/2013.</w:t>
            </w:r>
          </w:p>
          <w:p w14:paraId="69E09FB4" w14:textId="69A1A66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beloppet för den derivatsäkerhet som ställs där den säkerheten minskar tillgångsbeloppet enligt den tillämpliga redovisningsramen, enligt artikel 429c.2 i förordning (EU) nr 575/2013.</w:t>
            </w:r>
          </w:p>
          <w:p w14:paraId="69E09FB5" w14:textId="7978F436"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I denna cell ska instituten inte ta med den ursprungliga marginalen för derivattransaktioner med kvalificerad central motpart eller medräkningsbar kontantvariationsmarginal som clearats genom motpart, enligt artikel 429c.3 i förordning (EU) nr 575/2013.</w:t>
            </w:r>
          </w:p>
        </w:tc>
      </w:tr>
      <w:tr w:rsidR="002312DE" w:rsidRPr="007717F5" w14:paraId="69E09FBC" w14:textId="77777777" w:rsidTr="009F3999">
        <w:trPr>
          <w:trHeight w:val="708"/>
        </w:trPr>
        <w:tc>
          <w:tcPr>
            <w:tcW w:w="1380" w:type="dxa"/>
            <w:vAlign w:val="center"/>
          </w:tcPr>
          <w:p w14:paraId="69E09FB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3</w:t>
            </w:r>
          </w:p>
        </w:tc>
        <w:tc>
          <w:tcPr>
            <w:tcW w:w="7659" w:type="dxa"/>
          </w:tcPr>
          <w:p w14:paraId="69E09FB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(Avdrag för tillgångar i form av fordringar för kontant tilläggsmarginalsäkerhet i derivattransaktioner)</w:t>
            </w:r>
          </w:p>
          <w:p w14:paraId="69E09FB9" w14:textId="303DAA1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429c.3 i förordning (EU) nr 575/2013.</w:t>
            </w:r>
          </w:p>
          <w:p w14:paraId="69E09FBA" w14:textId="6E7AC669" w:rsidR="00646595" w:rsidRPr="0051168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511685">
              <w:rPr>
                <w:rFonts w:ascii="Times New Roman" w:hAnsi="Times New Roman"/>
                <w:sz w:val="24"/>
                <w:szCs w:val="24"/>
              </w:rPr>
              <w:t>Instituten ska offentliggöra fordringar för variationsmarginalsäkerhet som betalas kontant till motparten i derivattransaktioner om institutet är skyldigt, enligt tillämpliga redovisningsregler, att redovisa dessa fordringar som en tillgång, förutsatt att kraven i artikel 429c.3 a–e i förordning (EU) nr 575/2013 är uppfyllda.</w:t>
            </w:r>
          </w:p>
          <w:p w14:paraId="69E09FB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Eftersom denna justering minskar det totala exponeringsmåttet ska instituten sätta värdet i denna rad inom parentes (negativt belopp).</w:t>
            </w:r>
          </w:p>
        </w:tc>
      </w:tr>
      <w:tr w:rsidR="002312DE" w:rsidRPr="007717F5" w14:paraId="69E09FC1" w14:textId="77777777" w:rsidTr="009F3999">
        <w:trPr>
          <w:trHeight w:val="1417"/>
        </w:trPr>
        <w:tc>
          <w:tcPr>
            <w:tcW w:w="1380" w:type="dxa"/>
            <w:vAlign w:val="center"/>
          </w:tcPr>
          <w:p w14:paraId="69E09F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9" w:type="dxa"/>
          </w:tcPr>
          <w:p w14:paraId="69E09FB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(Justering för värdepapper som tagits emot under transaktioner för värdepappersfinansiering och som redovisas som en tillgång)</w:t>
            </w:r>
          </w:p>
          <w:p w14:paraId="69E09FBF" w14:textId="771A8A6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Justering för värdepapper som tagits emot under en transaktion för värdepappersfinansiering där banken har redovisat värdepapperen som en tillgång i sin balansräkning. Dessa belopp ska undantas från det totala exponeringsmåttet i enlighet med artikel 429e.6</w:t>
            </w:r>
            <w:r>
              <w:rPr>
                <w:rFonts w:ascii="Times New Roman" w:hAnsi="Times New Roman"/>
                <w:sz w:val="24"/>
              </w:rPr>
              <w:t xml:space="preserve"> i förordning (EU) nr 575/2013</w:t>
            </w:r>
            <w:r>
              <w:rPr>
                <w:rStyle w:val="TeksttreciPogrubienie"/>
                <w:rFonts w:ascii="Times New Roman" w:hAnsi="Times New Roman"/>
                <w:b w:val="0"/>
                <w:color w:val="auto"/>
                <w:sz w:val="24"/>
              </w:rPr>
              <w:t>.</w:t>
            </w:r>
          </w:p>
          <w:p w14:paraId="69E09FC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Eftersom justeringarna i denna rad minskar det totala exponeringsmåttet ska instituten sätta värdet i denna rad inom parentes (negativt belopp).</w:t>
            </w:r>
          </w:p>
        </w:tc>
      </w:tr>
      <w:tr w:rsidR="002312DE" w:rsidRPr="007717F5" w14:paraId="69E09FC6" w14:textId="77777777" w:rsidTr="009F3999">
        <w:trPr>
          <w:trHeight w:val="1417"/>
        </w:trPr>
        <w:tc>
          <w:tcPr>
            <w:tcW w:w="1380" w:type="dxa"/>
            <w:vAlign w:val="center"/>
          </w:tcPr>
          <w:p w14:paraId="69E09F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5</w:t>
            </w:r>
          </w:p>
        </w:tc>
        <w:tc>
          <w:tcPr>
            <w:tcW w:w="7659" w:type="dxa"/>
          </w:tcPr>
          <w:p w14:paraId="69E09FC3"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(Allmänna kreditriskjusteringar av poster i balansräkningen)</w:t>
            </w:r>
          </w:p>
          <w:p w14:paraId="69E09FC4" w14:textId="036EEABA"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Beloppet av allmänna kreditriskjusteringar som motsvarar poster i balansräkningen enligt artikel 429.4 a i förordning (EU) nr 575/2013, som instituten drar av i enlighet med artikel 429.4 sista stycket i förordning (EU) nr 575/2013.</w:t>
            </w:r>
          </w:p>
          <w:p w14:paraId="69E09FC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Eftersom justeringarna i denna rad minskar det totala exponeringsmåttet ska instituten sätta värdet i denna rad inom parentes (negativt belopp).</w:t>
            </w:r>
          </w:p>
        </w:tc>
      </w:tr>
      <w:tr w:rsidR="002312DE" w:rsidRPr="007717F5" w14:paraId="69E09FD3" w14:textId="77777777" w:rsidTr="009F3999">
        <w:trPr>
          <w:trHeight w:val="1417"/>
        </w:trPr>
        <w:tc>
          <w:tcPr>
            <w:tcW w:w="1380" w:type="dxa"/>
            <w:vAlign w:val="center"/>
          </w:tcPr>
          <w:p w14:paraId="69E09F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9" w:type="dxa"/>
          </w:tcPr>
          <w:p w14:paraId="69E09F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(Tillgångsbelopp som dragits av för att fastställa primärkapital)</w:t>
            </w:r>
          </w:p>
          <w:p w14:paraId="69E09FC9" w14:textId="2764D6D4"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Artikel 429a.1 a och b och artikel 499.2 i förordning (EU) nr 575/2013.</w:t>
            </w:r>
          </w:p>
          <w:p w14:paraId="69E09FCA" w14:textId="629253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beloppet av lagstadgade värdejusteringar av primärkapitalbelopp i överensstämmelse med det val som gjorts i enlighet med artikel 499.2 i förordning (EU) nr 575/2013.</w:t>
            </w:r>
          </w:p>
          <w:p w14:paraId="69E09FC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Mer specifikt ska instituten offentliggöra värdet av summan av samtliga justeringar som avser värdet av en tillgång och som föreskrivs genom</w:t>
            </w:r>
          </w:p>
          <w:p w14:paraId="69E09FCC" w14:textId="2296DF87"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artiklarna 32–35 i förordning (EU) nr 575/2013, eller</w:t>
            </w:r>
          </w:p>
          <w:p w14:paraId="69E09FCD" w14:textId="110A059A"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artiklarna 36–47 i förordning (EU) nr 575/2013, eller</w:t>
            </w:r>
          </w:p>
          <w:p w14:paraId="69E09FCE" w14:textId="4885AA54"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artiklarna 56–60 i förordning (EU) nr 575/2013, enligt vad som är tillämpligt.</w:t>
            </w:r>
          </w:p>
          <w:p w14:paraId="69E09FCF" w14:textId="3091D18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 denna cell ska instituten ta med det belopp som avses i artikel 429a.1 a i förordning (EU) nr 575/2013.</w:t>
            </w:r>
          </w:p>
          <w:p w14:paraId="69E09FD0" w14:textId="2673D57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Om valet att offentliggöra kärnprimärkapitalet görs i enlighet med artikel 499.1 a i förordning (EU) nr 575/2013 ska instituten beakta de undantag, alternativ och avståenden från sådana avdrag enligt artiklarna 48, 49 och 79 i </w:t>
            </w:r>
            <w:r>
              <w:rPr>
                <w:rFonts w:ascii="Times New Roman" w:hAnsi="Times New Roman"/>
                <w:sz w:val="24"/>
              </w:rPr>
              <w:lastRenderedPageBreak/>
              <w:t>förordning (EU) nr 575/2013, utan hänsyn tagen till undantaget enligt del tio avdelning I kapitlen 1 och 2 i förordning (EU) nr 575/2013. Om däremot valet att offentliggöra kärnprimärkapitalet görs i enlighet med artikel 499.1 b i förordning (EU) nr 575/2013 ska instituten beakta de undantag, alternativ och avståenden från sådana avdrag enligt artiklarna 48, 49 och 79 i förordning (EU) nr 575/2013, förutom hänsyn tagen till undantagen enligt del tio avdelning I kapitlen 1 och 2 i förordning (EU) nr 575/2013.</w:t>
            </w:r>
          </w:p>
          <w:p w14:paraId="69E09FD1" w14:textId="44D219F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För att undvika dubbelräkning ska instituten varken offentliggöra de justeringar som redan tillämpats enligt artikel 111 i förordning (EU) nr 575/2013 när de beräknar exponeringsvärdet eller offentliggöra justeringar som inte drar av värdet på en specifik tillgång.</w:t>
            </w:r>
          </w:p>
          <w:p w14:paraId="69E09FD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Eftersom beloppet i denna rad minskar det totala exponeringsmåttet</w:t>
            </w:r>
            <w:r>
              <w:rPr>
                <w:rFonts w:ascii="Times New Roman" w:hAnsi="Times New Roman"/>
                <w:sz w:val="24"/>
              </w:rPr>
              <w:t xml:space="preserve"> ska instituten sätta värdet i denna cell inom parentes (negativt belopp).</w:t>
            </w:r>
          </w:p>
        </w:tc>
      </w:tr>
      <w:tr w:rsidR="002312DE" w:rsidRPr="007717F5" w14:paraId="69E09FD7" w14:textId="77777777" w:rsidTr="009F3999">
        <w:trPr>
          <w:trHeight w:val="694"/>
        </w:trPr>
        <w:tc>
          <w:tcPr>
            <w:tcW w:w="1380" w:type="dxa"/>
            <w:vAlign w:val="center"/>
          </w:tcPr>
          <w:p w14:paraId="69E09F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7</w:t>
            </w:r>
          </w:p>
        </w:tc>
        <w:tc>
          <w:tcPr>
            <w:tcW w:w="7659" w:type="dxa"/>
          </w:tcPr>
          <w:p w14:paraId="69E09FD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Sammanlagda exponeringar i balansräkningen (med undantag för derivat och transaktioner för värdepappersfinansiering) </w:t>
            </w:r>
          </w:p>
          <w:p w14:paraId="69E09FD6" w14:textId="591C15AA" w:rsidR="00646595" w:rsidRPr="007717F5"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Pr>
                <w:rStyle w:val="TeksttreciPogrubienie"/>
                <w:rFonts w:ascii="Times New Roman" w:hAnsi="Times New Roman"/>
                <w:color w:val="auto"/>
                <w:sz w:val="24"/>
              </w:rPr>
              <w:t xml:space="preserve">Summan av raderna 1–6 </w:t>
            </w:r>
          </w:p>
        </w:tc>
      </w:tr>
      <w:tr w:rsidR="002312DE" w:rsidRPr="007717F5" w14:paraId="69E09FE0" w14:textId="77777777" w:rsidTr="009F3999">
        <w:trPr>
          <w:trHeight w:val="1559"/>
        </w:trPr>
        <w:tc>
          <w:tcPr>
            <w:tcW w:w="1380" w:type="dxa"/>
            <w:vAlign w:val="center"/>
          </w:tcPr>
          <w:p w14:paraId="69E09F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659" w:type="dxa"/>
          </w:tcPr>
          <w:p w14:paraId="69E09F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Återanskaffningskostnad som sammanhänger med transaktioner enligt schablonmetoden för motpartskreditrisk (dvs. netto av den medräkningsbara kontantvariationsmarginalen)</w:t>
            </w:r>
          </w:p>
          <w:p w14:paraId="69E09FDA" w14:textId="4B3BE93C"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Artiklarna 274, 275, 295, 296, 297, 298, 429c och 429c.3 i förordning (EU) nr 575/2013.</w:t>
            </w:r>
          </w:p>
          <w:p w14:paraId="69E09FDB" w14:textId="4A9E98A0" w:rsidR="00646595" w:rsidRPr="0051168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511685">
              <w:rPr>
                <w:rFonts w:ascii="Times New Roman" w:hAnsi="Times New Roman"/>
                <w:sz w:val="24"/>
                <w:szCs w:val="24"/>
              </w:rPr>
              <w:t>Instituten ska offentliggöra den aktuella återanskaffningskostnaden som specificeras i artikel 275.1 i kontrakt som förtecknas i bilaga II till förordning (EU) nr 575/2013 och kreditderivat, inbegripet de som är utanför balansräkningen. Dessa återanskaffningskostnader ska vara netto av medräkningsbar kontantvariationsmarginal i enlighet med artikel 429c.3 i förordning (EU) nr 575/2013, medan ingen kontantvariationsmarginal som mottagits för ett undantaget centralt motpartsled i enlighet med artikel 429a.1 g eller h i förordning (EU) nr 575/2013 ska beaktas.</w:t>
            </w:r>
          </w:p>
          <w:p w14:paraId="69E09FDC" w14:textId="290DEEF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Som fastställs i artikel 429c.1 i förordning (EU) nr 575/2013 får instituten beakta effekten av avtal om novation och andra nettningsöverenskommelser i enlighet med artikel 295 i förordning (EU) nr 575/2013. Produktövergripande nettning ska inte tillämpas. Instituten får emellertid netta inom den produktkategori som avses i artikel 272.25 c i förordning (EU) nr 575/2013 och kreditderivat när dessa omfattas av avtal om produktövergripande nettning som avses i artikel 295 c i förordning (EU) nr 575/2013.</w:t>
            </w:r>
          </w:p>
          <w:p w14:paraId="69E09FDD" w14:textId="169448E7" w:rsidR="00646595" w:rsidRPr="0051168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511685">
              <w:rPr>
                <w:rFonts w:ascii="Times New Roman" w:hAnsi="Times New Roman"/>
                <w:sz w:val="24"/>
                <w:szCs w:val="24"/>
              </w:rPr>
              <w:t>I denna cell ska instituten inte inkludera kontrakt som beräknas genom tillämpning av de metoder som avses i artikel 429c.6, dvs. metoderna i del tre avdelning II kapitel 6 avsnitt 4 eller 5 i förordning (EU) nr 575/2013 (den förenklade schablonmetoden för motpartskreditrisk eller ursprungligt åtagande-metoden).</w:t>
            </w:r>
          </w:p>
          <w:p w14:paraId="69E09FDE" w14:textId="51BD85F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Vid beräkning av återanskaffningskostnaderna ska instituten, i enlighet med artikel 429c.4 och artikel 429c.4a i förordning (EU) nr 575/2013, ta hänsyn till effekten av redovisningen av säkerheter på NICA på derivatkontrakt som slutits med kunder och som clearas av kvalificerade centrala motparter. </w:t>
            </w:r>
          </w:p>
          <w:p w14:paraId="69E09FDF" w14:textId="6EC9D3A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Beloppet ska offentliggöras med den alfa-faktor på 1,4 som anges i artikel 274.2 i förordning (EU) nr 575/2013.</w:t>
            </w:r>
          </w:p>
        </w:tc>
      </w:tr>
      <w:tr w:rsidR="002312DE" w:rsidRPr="007717F5" w14:paraId="69E09FE7" w14:textId="77777777" w:rsidTr="009F3999">
        <w:trPr>
          <w:trHeight w:val="2265"/>
        </w:trPr>
        <w:tc>
          <w:tcPr>
            <w:tcW w:w="1380" w:type="dxa"/>
            <w:vAlign w:val="center"/>
          </w:tcPr>
          <w:p w14:paraId="69E09FE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EU-8a</w:t>
            </w:r>
          </w:p>
        </w:tc>
        <w:tc>
          <w:tcPr>
            <w:tcW w:w="7659" w:type="dxa"/>
          </w:tcPr>
          <w:p w14:paraId="69E09FE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Undantag för derivat: Bidrag till ersättningskostnader enligt den förenklade schablonmetoden</w:t>
            </w:r>
          </w:p>
          <w:p w14:paraId="69E09FE3" w14:textId="4FC8EBC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Artiklarna 429c.6 och 281 i förordning (EU) nr 575/2013.</w:t>
            </w:r>
          </w:p>
          <w:p w14:paraId="69E09FE4" w14:textId="47F3D5A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I denna cell anges exponeringsmåttet för kontrakt som förtecknas i punkterna 1 och 2 i bilaga II till förordning (EU) nr 575/2013, beräknat i enlighet med den förenklade schablonmetod som fastställs i artikel 281 i förordning (EU) nr 575/2013, utan effekten av säkerheter på NICA. Beloppet ska offentliggöras med den alfa-faktor på 1,4 som tillämpas i enlighet med artikel 274.2 i förordning (EU) nr 575/2013.</w:t>
            </w:r>
          </w:p>
          <w:p w14:paraId="69E09FE5" w14:textId="2F5BA025"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Institut som tillämpar den förenklade schablonmetoden ska inte minska det totala exponeringsmåttet med beloppet för den marginalsäkerhet som erhållits i enlighet med artikel 429c.6 i förordning (EU) nr 575/2013. </w:t>
            </w:r>
            <w:r w:rsidRPr="00511685">
              <w:rPr>
                <w:rFonts w:ascii="Times New Roman" w:hAnsi="Times New Roman"/>
                <w:color w:val="auto"/>
                <w:sz w:val="24"/>
              </w:rPr>
              <w:t>Undantaget för derivatkontrakt med kunder om dessa kontrakt clearas av en kvalificerad central motpart enligt artikel 429c.4 och 429c.4a i förordning (EU) nr 575/2013 ska därför inte tillämpas.</w:t>
            </w:r>
          </w:p>
          <w:p w14:paraId="69E09F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I denna cell ska institut inte inkludera kontrakt som beräknas genom tillämpning av schablonmetoden för motpartskreditrisk eller ursprungliga åtagandemetoden. </w:t>
            </w:r>
          </w:p>
        </w:tc>
      </w:tr>
      <w:tr w:rsidR="002312DE" w:rsidRPr="007717F5" w14:paraId="69E09FEE" w14:textId="77777777" w:rsidTr="009F3999">
        <w:trPr>
          <w:trHeight w:val="2265"/>
        </w:trPr>
        <w:tc>
          <w:tcPr>
            <w:tcW w:w="1380" w:type="dxa"/>
            <w:vAlign w:val="center"/>
          </w:tcPr>
          <w:p w14:paraId="69E09F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659" w:type="dxa"/>
          </w:tcPr>
          <w:p w14:paraId="69E09FE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Tilläggsbelopp för möjlig framtida exponering i samband med derivattransaktioner enligt schablonmetoden för motpartskreditrisk </w:t>
            </w:r>
          </w:p>
          <w:p w14:paraId="69E09FEA" w14:textId="691B65F5"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Artiklarna 274, 275, 295, 296, 297, 298, 299.2 och 429c i förordning (EU) nr 575/2013.</w:t>
            </w:r>
          </w:p>
          <w:p w14:paraId="69E09FEB" w14:textId="2782791C" w:rsidR="00646595" w:rsidRPr="00511685" w:rsidRDefault="00646595" w:rsidP="00E9371F">
            <w:pPr>
              <w:pStyle w:val="Teksttreci0"/>
              <w:shd w:val="clear" w:color="auto" w:fill="auto"/>
              <w:spacing w:after="120" w:line="240" w:lineRule="auto"/>
              <w:ind w:firstLine="0"/>
              <w:rPr>
                <w:rFonts w:ascii="Times New Roman" w:hAnsi="Times New Roman"/>
                <w:sz w:val="24"/>
              </w:rPr>
            </w:pPr>
            <w:r w:rsidRPr="00511685">
              <w:rPr>
                <w:rFonts w:ascii="Times New Roman" w:hAnsi="Times New Roman"/>
                <w:sz w:val="24"/>
              </w:rPr>
              <w:t>Instituten ska offentliggöra tillägget för den möjliga framtida exponeringen av kontrakt angivna i bilaga II till förordning (EU) nr 575/2013 och kreditderivat inbegripet dem som är utanför balansräkningen och beräknade enligt artikel 278 i förordning (EU) nr 575/2013 för avtal förtecknade i bilaga II till förordning (EU) nr 575/2013 och artikel 299.2 i förordning (EU) nr 575/2013 för kreditderivat och genom tillämpning av nettningsbestämmelserna i artikel 429c.1 i förordning (EU) nr 575/2013.</w:t>
            </w:r>
            <w:r>
              <w:rPr>
                <w:rFonts w:ascii="Times New Roman" w:hAnsi="Times New Roman"/>
                <w:sz w:val="24"/>
              </w:rPr>
              <w:t xml:space="preserve"> När instituten fastställer exponeringsvärdet för dessa kontrakt får de ta hänsyn till effekterna av avtal om novation och andra nettningsavtal, utom avtal om produktövergripande nettning, i enlighet med artikel 295 i förordning (EU) nr 575/2013. Produktövergripande nettning ska inte tillämpas. </w:t>
            </w:r>
            <w:r w:rsidRPr="00511685">
              <w:rPr>
                <w:rFonts w:ascii="Times New Roman" w:hAnsi="Times New Roman"/>
                <w:sz w:val="24"/>
              </w:rPr>
              <w:t>Instituten får emellertid netta inom den produktkategori som avses i artikel 272.25 c i förordning (EU) nr 575/2013 och kreditderivat när dessa omfattas av avtal om produktövergripande nettning som avses i artikel 295 c i förordning (EU) nr 575/2013.</w:t>
            </w:r>
          </w:p>
          <w:p w14:paraId="69E09FEC" w14:textId="17F20015" w:rsidR="00646595" w:rsidRPr="007717F5" w:rsidRDefault="00646595">
            <w:pPr>
              <w:tabs>
                <w:tab w:val="left" w:pos="400"/>
              </w:tabs>
              <w:spacing w:after="120"/>
              <w:jc w:val="both"/>
              <w:rPr>
                <w:rFonts w:ascii="Times New Roman" w:hAnsi="Times New Roman" w:cs="Times New Roman"/>
                <w:sz w:val="24"/>
              </w:rPr>
            </w:pPr>
            <w:r>
              <w:rPr>
                <w:rFonts w:ascii="Times New Roman" w:hAnsi="Times New Roman"/>
                <w:sz w:val="24"/>
              </w:rPr>
              <w:t xml:space="preserve">I enlighet med artikel 429c.5 i förordning (EU) nr 575/2013 ska instituten fastställa den multiplikator som ska användas vid beräkning av potentiell framtida exponering enligt artikel 278.1 i förordning (EU) nr 575/2013 till </w:t>
            </w:r>
            <w:r>
              <w:rPr>
                <w:rFonts w:ascii="Times New Roman" w:hAnsi="Times New Roman"/>
                <w:sz w:val="24"/>
              </w:rPr>
              <w:lastRenderedPageBreak/>
              <w:t>värdet 1, utom i fråga om derivatkontrakt som slutits med kunder och som clearas av kvalificerade centrala motparter.</w:t>
            </w:r>
          </w:p>
          <w:p w14:paraId="69E09FED" w14:textId="39F9EFC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511685">
              <w:rPr>
                <w:rFonts w:ascii="Times New Roman" w:eastAsiaTheme="minorEastAsia" w:hAnsi="Times New Roman" w:cstheme="minorBidi"/>
                <w:sz w:val="24"/>
                <w:szCs w:val="24"/>
              </w:rPr>
              <w:t>I denna cell ska instituten inte inkludera kontrakt som beräknas genom tillämpning av de metoder som avses i artikel 429c.6, dvs. metoderna i del tre avdelning II kapitel 6 avsnitt 4 eller 5 i förordning (EU) nr 575/2013 (den förenklade schablonmetoden för motpartskreditrisk eller ursprungligt åtagande-metoden).</w:t>
            </w:r>
          </w:p>
        </w:tc>
      </w:tr>
      <w:tr w:rsidR="002312DE" w:rsidRPr="007717F5" w14:paraId="69E09FF5" w14:textId="77777777" w:rsidTr="009F3999">
        <w:trPr>
          <w:trHeight w:val="2265"/>
        </w:trPr>
        <w:tc>
          <w:tcPr>
            <w:tcW w:w="1380" w:type="dxa"/>
            <w:vAlign w:val="center"/>
          </w:tcPr>
          <w:p w14:paraId="69E09FE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EU-9a</w:t>
            </w:r>
          </w:p>
        </w:tc>
        <w:tc>
          <w:tcPr>
            <w:tcW w:w="7659" w:type="dxa"/>
          </w:tcPr>
          <w:p w14:paraId="69E09FF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Undantag för derivat: Bidrag till möjlig framtida exponering enligt den förenklade schablonmetoden </w:t>
            </w:r>
          </w:p>
          <w:p w14:paraId="69E09FF1" w14:textId="4471AB4B" w:rsidR="00646595" w:rsidRPr="002B7F3A"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Artikel 429c.5 i förordning (EU) nr 575/2013.</w:t>
            </w:r>
          </w:p>
          <w:p w14:paraId="69E09FF2" w14:textId="463F7E91"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Den möjliga framtida exponeringen i enlighet med den förenklade schablonmetod som anges i artikel 281 i förordning (EU) nr 575/2013, med antagande av en multiplikator på 1. Beloppet ska offentliggöras med den alfa-faktor på 1,4 som anges i artikel 274.2 i förordning (EU) nr 575/2013.</w:t>
            </w:r>
          </w:p>
          <w:p w14:paraId="69E09FF3" w14:textId="217CF7A8"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Institut som tillämpar den förenklade schablonmetoden ska inte minska det totala exponeringsmåttet med beloppet för den marginalsäkerhet som erhållits i enlighet med artikel 429c.6 i förordning (EU) nr 575/2013. Undantaget för derivatkontrakt med kunder om dessa kontrakt clearas av en kvalificerad central motpart enligt artikel 429c.5 i förordning (EU) nr 575/2013 ska därför inte tillämpas.</w:t>
            </w:r>
          </w:p>
          <w:p w14:paraId="69E09FF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 denna cell ska institut inte inkludera kontrakt som beräknas genom tillämpning av schablonmetoden för motpartskreditrisk eller ursprungliga åtagandemetoden.</w:t>
            </w:r>
          </w:p>
        </w:tc>
      </w:tr>
      <w:tr w:rsidR="002312DE" w:rsidRPr="007717F5" w14:paraId="69E09FFC" w14:textId="77777777" w:rsidTr="009F3999">
        <w:trPr>
          <w:trHeight w:val="558"/>
        </w:trPr>
        <w:tc>
          <w:tcPr>
            <w:tcW w:w="1380" w:type="dxa"/>
            <w:vAlign w:val="center"/>
          </w:tcPr>
          <w:p w14:paraId="69E09FF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EU-9b</w:t>
            </w:r>
          </w:p>
        </w:tc>
        <w:tc>
          <w:tcPr>
            <w:tcW w:w="7659" w:type="dxa"/>
          </w:tcPr>
          <w:p w14:paraId="69E09FF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Exponering fastställd enligt ursprunglig åtagandemetod</w:t>
            </w:r>
          </w:p>
          <w:p w14:paraId="69E09FF8" w14:textId="52359AAF"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429c.6 och del tre avdelning II kapitel 6 avsnitt 4 eller 5 i förordning (EU) nr 575/2013</w:t>
            </w:r>
          </w:p>
          <w:p w14:paraId="69E09FF9" w14:textId="48B21326"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exponeringsmåttet för kontrakt som förtecknas i punkterna 1 och 2 i bilaga II till förordning (EU) nr 575/2013 beräknat i enlighet med ursprungligt åtagande-metoden som fastställs i del tre avdelning II kapitel 6 avsnitt 4 eller 5 i förordning (EU) nr 575/2013.</w:t>
            </w:r>
          </w:p>
          <w:p w14:paraId="69E09FFA" w14:textId="7295630E"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 som tillämpar ursprungligt åtagande-metoden ska inte minska exponeringsmåttet med beloppet för den marginalsäkerhet som de har erhållit i enlighet med artikel 429c.6 i förordning (EU) nr 575/2013.</w:t>
            </w:r>
          </w:p>
          <w:p w14:paraId="69E09FF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 som inte tillämpar ursprungligt åtagande-metoden ska inte offentliggöra denna cell.</w:t>
            </w:r>
          </w:p>
        </w:tc>
      </w:tr>
      <w:tr w:rsidR="002312DE" w:rsidRPr="007717F5" w14:paraId="69E0A003" w14:textId="77777777" w:rsidTr="009F3999">
        <w:trPr>
          <w:trHeight w:val="1408"/>
        </w:trPr>
        <w:tc>
          <w:tcPr>
            <w:tcW w:w="1380" w:type="dxa"/>
            <w:vAlign w:val="center"/>
          </w:tcPr>
          <w:p w14:paraId="69E09FF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9" w:type="dxa"/>
          </w:tcPr>
          <w:p w14:paraId="69E09FF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(Undantagen central motpartsdel av handelsexponeringar som clearats av kunden) (schablonmetod för motpartskreditrisk)</w:t>
            </w:r>
          </w:p>
          <w:p w14:paraId="69E09FFF" w14:textId="4BB4585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Artikel 429a.1 g och h i förordning (EU) nr 575/2013.</w:t>
            </w:r>
          </w:p>
          <w:p w14:paraId="69E0A000" w14:textId="369087A0"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undantagna handelsexponeringar mot en kvalificerad central motpart från derivattransaktioner som clearats av kunden, förutsatt att dessa poster uppfyller kraven som fastställs i artikel 306.1 c i förordning (EU) nr 575/2013.</w:t>
            </w:r>
          </w:p>
          <w:p w14:paraId="69E0A00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Eftersom detta minskar det totala exponeringsmåttet ska instituten sätta värdet </w:t>
            </w:r>
            <w:r>
              <w:rPr>
                <w:rFonts w:ascii="Times New Roman" w:hAnsi="Times New Roman"/>
                <w:sz w:val="24"/>
              </w:rPr>
              <w:lastRenderedPageBreak/>
              <w:t>i denna cell inom parentes (negativt belopp).</w:t>
            </w:r>
          </w:p>
          <w:p w14:paraId="69E0A00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Det offentliggjorda beloppet ska även inkluderas i tillämpliga celler ovan som om inget undantag gällde.</w:t>
            </w:r>
          </w:p>
        </w:tc>
      </w:tr>
      <w:tr w:rsidR="002312DE" w:rsidRPr="007717F5" w14:paraId="69E0A009" w14:textId="77777777" w:rsidTr="009F3999">
        <w:trPr>
          <w:trHeight w:val="1266"/>
        </w:trPr>
        <w:tc>
          <w:tcPr>
            <w:tcW w:w="1380" w:type="dxa"/>
            <w:vAlign w:val="center"/>
          </w:tcPr>
          <w:p w14:paraId="69E0A00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EU-10a</w:t>
            </w:r>
          </w:p>
        </w:tc>
        <w:tc>
          <w:tcPr>
            <w:tcW w:w="7659" w:type="dxa"/>
          </w:tcPr>
          <w:p w14:paraId="69E0A00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(Undantagen central motpartsdel av handelsexponeringar som clearats av kunden) (förenklad schablonmetod)</w:t>
            </w:r>
          </w:p>
          <w:p w14:paraId="69E0A006" w14:textId="322385C0"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 Artikel 429a.1 g och h i förordning (EU) nr 575/2013.</w:t>
            </w:r>
          </w:p>
          <w:p w14:paraId="69E0A007" w14:textId="13BB69D5"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Instituten ska offentliggöra undantagna handelsexponeringar mot en kvalificerad central motpart från derivattransaktioner som clearats av kunden (förenklad schablonmetod), förutsatt att dessa poster uppfyller kraven som fastställs i artikel 306.1 c i förordning (EU) nr 575/2013. </w:t>
            </w:r>
            <w:r>
              <w:rPr>
                <w:rFonts w:ascii="Times New Roman" w:hAnsi="Times New Roman"/>
                <w:color w:val="auto"/>
              </w:rPr>
              <w:t>Beloppet ska offentliggöras med den alfa-faktor på 1,4 som anges i artikel 274.2 i förordning (EU) nr 575/2013 (negativt belopp).</w:t>
            </w:r>
          </w:p>
          <w:p w14:paraId="69E0A008" w14:textId="77777777" w:rsidR="00646595" w:rsidRPr="007717F5" w:rsidRDefault="00646595" w:rsidP="00E9371F">
            <w:pPr>
              <w:pStyle w:val="BodyText1"/>
              <w:spacing w:line="240" w:lineRule="auto"/>
              <w:rPr>
                <w:rStyle w:val="TeksttreciPogrubienie"/>
                <w:rFonts w:ascii="Times New Roman" w:hAnsi="Times New Roman" w:cs="Times New Roman"/>
                <w:color w:val="auto"/>
                <w:sz w:val="24"/>
                <w:szCs w:val="24"/>
              </w:rPr>
            </w:pPr>
            <w:r>
              <w:rPr>
                <w:rFonts w:ascii="Times New Roman" w:hAnsi="Times New Roman"/>
                <w:color w:val="auto"/>
                <w:sz w:val="24"/>
              </w:rPr>
              <w:t>Det offentliggjorda beloppet ska även inkluderas i tillämpliga celler ovan som om inget undantag gällde.</w:t>
            </w:r>
          </w:p>
        </w:tc>
      </w:tr>
      <w:tr w:rsidR="002312DE" w:rsidRPr="007717F5" w14:paraId="69E0A010" w14:textId="77777777" w:rsidTr="009F3999">
        <w:trPr>
          <w:trHeight w:val="558"/>
        </w:trPr>
        <w:tc>
          <w:tcPr>
            <w:tcW w:w="1380" w:type="dxa"/>
            <w:vAlign w:val="center"/>
          </w:tcPr>
          <w:p w14:paraId="69E0A00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EU-10b</w:t>
            </w:r>
          </w:p>
        </w:tc>
        <w:tc>
          <w:tcPr>
            <w:tcW w:w="7659" w:type="dxa"/>
          </w:tcPr>
          <w:p w14:paraId="69E0A00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(Undantagen central motpartsdel av handelsexponeringar som clearats av kunden) (ursprungligt åtagande-metoden)</w:t>
            </w:r>
          </w:p>
          <w:p w14:paraId="69E0A00C" w14:textId="4F0251E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429a.1 g och h i förordning (EU) nr 575/2013.</w:t>
            </w:r>
          </w:p>
          <w:p w14:paraId="69E0A00D" w14:textId="14E9E625"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undantagna handelsexponeringar mot en kvalificerad central motpart från derivattransaktioner som clearats av kunden (ursprungligt åtagande-metoden), förutsatt att dessa poster uppfyller kraven som fastställs i artikel 306.1 c i förordning (EU) nr 575/2013.</w:t>
            </w:r>
          </w:p>
          <w:p w14:paraId="69E0A00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Eftersom detta minskar det totala exponeringsmåttet ska instituten sätta värdet i denna cell inom parentes (negativt belopp).</w:t>
            </w:r>
          </w:p>
          <w:p w14:paraId="69E0A00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Det offentliggjorda beloppet ska även inkluderas i tillämpliga celler ovan som om inget undantag gällde.</w:t>
            </w:r>
          </w:p>
        </w:tc>
      </w:tr>
      <w:tr w:rsidR="002312DE" w:rsidRPr="007717F5" w14:paraId="69E0A015" w14:textId="77777777" w:rsidTr="009F3999">
        <w:trPr>
          <w:trHeight w:val="1587"/>
        </w:trPr>
        <w:tc>
          <w:tcPr>
            <w:tcW w:w="1380" w:type="dxa"/>
            <w:vAlign w:val="center"/>
          </w:tcPr>
          <w:p w14:paraId="69E0A01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9" w:type="dxa"/>
          </w:tcPr>
          <w:p w14:paraId="69E0A01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Justerat effektivt teoretiskt belopp i skriftliga kreditderivat</w:t>
            </w:r>
          </w:p>
          <w:p w14:paraId="69E0A013" w14:textId="6C2ECC9D"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429d i förordning (EU) nr 575/2013.</w:t>
            </w:r>
          </w:p>
          <w:p w14:paraId="69E0A014" w14:textId="5A6CA58F"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det begränsade teoretiska beloppet av skriftliga kreditderivat (dvs. där institutet tillhandahåller motparten kreditskydd) som anges i artikel 429d i förordning (EU) nr 575/2013.</w:t>
            </w:r>
          </w:p>
        </w:tc>
      </w:tr>
      <w:tr w:rsidR="002312DE" w:rsidRPr="007717F5" w14:paraId="69E0A01C" w14:textId="77777777" w:rsidTr="009F3999">
        <w:trPr>
          <w:trHeight w:val="850"/>
        </w:trPr>
        <w:tc>
          <w:tcPr>
            <w:tcW w:w="1380" w:type="dxa"/>
            <w:vAlign w:val="center"/>
          </w:tcPr>
          <w:p w14:paraId="69E0A01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9" w:type="dxa"/>
          </w:tcPr>
          <w:p w14:paraId="69E0A01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(Justerade effektiva teoretiska kvittningar och tilläggsavdrag för skriftliga kreditderivat)</w:t>
            </w:r>
          </w:p>
          <w:p w14:paraId="69E0A018" w14:textId="151848FA"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429d i förordning (EU) nr 575/2013.</w:t>
            </w:r>
          </w:p>
          <w:p w14:paraId="69E0A01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det begränsade teoretiska beloppet för förvärvade kreditderivat (dvs. om institutet köper kreditskydd från en motpart) under samma underliggande referensnamn som de kreditderivat vilka institutet anger och om den återstående löptiden för kreditskyddet motsvarar eller är längre än löptiden för det sålda skyddet. Därför ska värdet inte vara större än det värde som angivits i rad 11 i mall EU LR2 – LRCom för varje referensnamn.</w:t>
            </w:r>
          </w:p>
          <w:p w14:paraId="69E0A0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Eftersom det offentliggjorda beloppet minskar det totala exponeringsmåttet ska instituten sätta värdet i denna cell inom parentes (negativt belopp).</w:t>
            </w:r>
          </w:p>
          <w:p w14:paraId="69E0A01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Det offentliggjorda beloppet ska även inkluderas i den föregående cellen som </w:t>
            </w:r>
            <w:r>
              <w:rPr>
                <w:rFonts w:ascii="Times New Roman" w:hAnsi="Times New Roman"/>
                <w:sz w:val="24"/>
              </w:rPr>
              <w:lastRenderedPageBreak/>
              <w:t>om ingen justering tillämpats.</w:t>
            </w:r>
          </w:p>
        </w:tc>
      </w:tr>
      <w:tr w:rsidR="002312DE" w:rsidRPr="007717F5" w14:paraId="69E0A020" w14:textId="77777777" w:rsidTr="009F3999">
        <w:trPr>
          <w:trHeight w:val="949"/>
        </w:trPr>
        <w:tc>
          <w:tcPr>
            <w:tcW w:w="1380" w:type="dxa"/>
            <w:vAlign w:val="center"/>
          </w:tcPr>
          <w:p w14:paraId="69E0A01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13</w:t>
            </w:r>
          </w:p>
        </w:tc>
        <w:tc>
          <w:tcPr>
            <w:tcW w:w="7659" w:type="dxa"/>
          </w:tcPr>
          <w:p w14:paraId="69E0A01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Sammanlagda derivatexponeringar </w:t>
            </w:r>
          </w:p>
          <w:p w14:paraId="69E0A0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Summan av raderna 8–12</w:t>
            </w:r>
          </w:p>
        </w:tc>
      </w:tr>
      <w:tr w:rsidR="002312DE" w:rsidRPr="007717F5" w14:paraId="69E0A027" w14:textId="77777777" w:rsidTr="009F3999">
        <w:trPr>
          <w:trHeight w:val="708"/>
        </w:trPr>
        <w:tc>
          <w:tcPr>
            <w:tcW w:w="1380" w:type="dxa"/>
            <w:vAlign w:val="center"/>
          </w:tcPr>
          <w:p w14:paraId="69E0A02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14</w:t>
            </w:r>
          </w:p>
        </w:tc>
        <w:tc>
          <w:tcPr>
            <w:tcW w:w="7659" w:type="dxa"/>
          </w:tcPr>
          <w:p w14:paraId="69E0A02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Bruttotillgångar i transaktioner för värdepappersfinansiering (utan godkännande av nettning) efter justering för försäljningstransaktioner</w:t>
            </w:r>
          </w:p>
          <w:p w14:paraId="69E0A023" w14:textId="23E59DDC"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4.1.77 och artiklarna 206 och 429e.6 i förordning (EU) nr 575/2013.</w:t>
            </w:r>
          </w:p>
          <w:p w14:paraId="69E0A024" w14:textId="3AE5D35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det redovisade balansräkningsvärdet enligt tillämplig redovisningsram för transaktioner för värdepappersfinansiering som täcks respektive inte täcks av ett ramavtal om nettning enligt artikel 206 i förordning (EU) nr 575/2013 där kontrakten betraktas som tillgångar i balansräkningen, utan effekter avseende tillsyn, redovisningsrelaterad nettning eller riskreducering (dvs. det redovisade balansräkningsvärdet justerat efter effekterna av redovisningsrelaterad nettning eller riskreducering).</w:t>
            </w:r>
          </w:p>
          <w:p w14:paraId="69E0A025" w14:textId="1DE9A95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Om vidare en transaktion för värdepappersfinansiering försäljningsredovisas enligt tillämplig redovisningsram, ska instituten ändra alla försäljningsrelaterade bokföringsposter i enlighet med artikel 429e.6 i förordning (EU) nr 575/2013.</w:t>
            </w:r>
          </w:p>
          <w:p w14:paraId="69E0A02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 denna cell ska institut inte inkludera mottagna kontanter eller värdepapper som lämnas till en motpart genom ovannämnda transaktioner och som tas med i balansräkningen (dvs. redovisningskraven för borttagning uppfylls inte).</w:t>
            </w:r>
          </w:p>
        </w:tc>
      </w:tr>
      <w:tr w:rsidR="002312DE" w:rsidRPr="007717F5" w14:paraId="69E0A02D" w14:textId="77777777" w:rsidTr="009F3999">
        <w:trPr>
          <w:trHeight w:val="557"/>
        </w:trPr>
        <w:tc>
          <w:tcPr>
            <w:tcW w:w="1380" w:type="dxa"/>
            <w:vAlign w:val="center"/>
          </w:tcPr>
          <w:p w14:paraId="69E0A028" w14:textId="77777777" w:rsidR="00646595" w:rsidRPr="007717F5" w:rsidRDefault="00646595" w:rsidP="00E9371F">
            <w:pPr>
              <w:pStyle w:val="Applicationdirecte"/>
              <w:spacing w:before="0"/>
              <w:jc w:val="center"/>
            </w:pPr>
            <w:r>
              <w:t>15</w:t>
            </w:r>
          </w:p>
        </w:tc>
        <w:tc>
          <w:tcPr>
            <w:tcW w:w="7659" w:type="dxa"/>
          </w:tcPr>
          <w:p w14:paraId="69E0A0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(Nettade belopp för kontantskulder och kontantfordringar av bruttotillgångar i transaktioner för värdepapperisering)</w:t>
            </w:r>
          </w:p>
          <w:p w14:paraId="69E0A02A" w14:textId="22AD135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4.1.77, artikel 206, artikel 429b.1 b och 429b.4 och artikel 429e.6 i förordning (EU) nr 575/2013.</w:t>
            </w:r>
          </w:p>
          <w:p w14:paraId="69E0A02B" w14:textId="64CCCF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beloppet av kontantskulder för bruttotillgångar i transaktioner för värdepappersfinansiering som har nettats i enlighet med artikel 429b.4 i förordning (EU) nr 575/2013</w:t>
            </w:r>
          </w:p>
          <w:p w14:paraId="69E0A02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Eftersom denna justering minskar det totala exponeringsmåttet ska instituten sätta värdet i denna rad inom parentes (negativt belopp).</w:t>
            </w:r>
          </w:p>
        </w:tc>
      </w:tr>
      <w:tr w:rsidR="002312DE" w:rsidRPr="007717F5" w14:paraId="69E0A034" w14:textId="77777777" w:rsidTr="009F3999">
        <w:trPr>
          <w:trHeight w:val="2265"/>
        </w:trPr>
        <w:tc>
          <w:tcPr>
            <w:tcW w:w="1380" w:type="dxa"/>
            <w:vAlign w:val="center"/>
          </w:tcPr>
          <w:p w14:paraId="69E0A02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16</w:t>
            </w:r>
          </w:p>
        </w:tc>
        <w:tc>
          <w:tcPr>
            <w:tcW w:w="7659" w:type="dxa"/>
          </w:tcPr>
          <w:p w14:paraId="69E0A02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Motpartens kreditriskexponering mot tillgångar i transaktioner för värdepappersfinansiering</w:t>
            </w:r>
          </w:p>
          <w:p w14:paraId="69E0A030" w14:textId="204C860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429e.1 i förordning (EU) nr 575/2013.</w:t>
            </w:r>
          </w:p>
          <w:p w14:paraId="69E0A031" w14:textId="32BD6D0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tillägget för motpartens kreditrisk i transaktioner för värdepappersfinansiering, inbegripet de som ligger utanför balansräkningen, som fastställts i enlighet med artikel 429e.2 eller 429e.3 i förordning (EU) nr 575/2013, enligt vad som är tillämpligt.</w:t>
            </w:r>
          </w:p>
          <w:p w14:paraId="69E0A032" w14:textId="6FDEDAD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 denna cell ska instituten beakta transaktioner i enlighet med artikel 429e.7 c i förordning (EU) nr 575/2013.</w:t>
            </w:r>
          </w:p>
          <w:p w14:paraId="69E0A033" w14:textId="182A88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 denna cell ska instituten inte inkludera transaktioner för värdepappersfinansiering genom ombud, om institutet ger en kund eller en </w:t>
            </w:r>
            <w:r>
              <w:rPr>
                <w:rFonts w:ascii="Times New Roman" w:hAnsi="Times New Roman"/>
                <w:sz w:val="24"/>
              </w:rPr>
              <w:lastRenderedPageBreak/>
              <w:t xml:space="preserve">motpart en kompensation eller garanti, som begränsas till skillnaden mellan värdet av den tillgång eller de kontanter som kunden har lånat ut, och värdet av den säkerhet som låntagaren har tillhandahållit i enlighet med artikel 429e.7 a i förordning (EU) nr 575/2013. </w:t>
            </w:r>
          </w:p>
        </w:tc>
      </w:tr>
      <w:tr w:rsidR="002312DE" w:rsidRPr="007717F5" w14:paraId="69E0A03B" w14:textId="77777777" w:rsidTr="009F3999">
        <w:trPr>
          <w:trHeight w:val="555"/>
        </w:trPr>
        <w:tc>
          <w:tcPr>
            <w:tcW w:w="1380" w:type="dxa"/>
            <w:vAlign w:val="center"/>
          </w:tcPr>
          <w:p w14:paraId="69E0A03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EU-16a</w:t>
            </w:r>
          </w:p>
        </w:tc>
        <w:tc>
          <w:tcPr>
            <w:tcW w:w="7659" w:type="dxa"/>
          </w:tcPr>
          <w:p w14:paraId="69E0A036" w14:textId="4C04A87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Undantag för transaktioner för värdepappersfinansiering: Motpartens kreditriskexponering i enlighet med artiklarna 429e.5 och 222 i kapitalkravsförordningen</w:t>
            </w:r>
            <w:r>
              <w:rPr>
                <w:rFonts w:ascii="Times New Roman" w:hAnsi="Times New Roman"/>
                <w:sz w:val="24"/>
              </w:rPr>
              <w:t xml:space="preserve"> </w:t>
            </w:r>
          </w:p>
          <w:p w14:paraId="69E0A037" w14:textId="32BACA4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Artiklarna 429e.5 och 222 i förordning (EU) nr 575/2013.</w:t>
            </w:r>
          </w:p>
          <w:p w14:paraId="69E0A038" w14:textId="42EF18B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tillägget för transaktioner för värdepappersfinansiering, inbegripet dem som ligger utanför balansräkningen och beräknas i enlighet med artikel 222 i förordning (EU) nr 575/2013, med ett golv på 20 % för den tillämpliga riskvikten.</w:t>
            </w:r>
          </w:p>
          <w:p w14:paraId="69E0A039" w14:textId="699478F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 denna cell ska instituten inkludera transaktioner i enlighet med artikel 429e.7 c i förordning (EU) nr 575/2013.</w:t>
            </w:r>
          </w:p>
          <w:p w14:paraId="69E0A03A" w14:textId="7FF1EDC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 denna cell ska instituten inte inkludera transaktioner för vilka tilläggsdelen i bruttosoliditetsgradens exponeringsvärde fastställs i enlighet med den metod som anges i artikel 429e.1 i förordning (EU) nr 575/2013.</w:t>
            </w:r>
          </w:p>
        </w:tc>
      </w:tr>
      <w:tr w:rsidR="002312DE" w:rsidRPr="007717F5" w14:paraId="69E0A041" w14:textId="77777777" w:rsidTr="009F3999">
        <w:trPr>
          <w:trHeight w:val="1134"/>
        </w:trPr>
        <w:tc>
          <w:tcPr>
            <w:tcW w:w="1380" w:type="dxa"/>
            <w:vAlign w:val="center"/>
          </w:tcPr>
          <w:p w14:paraId="69E0A03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17</w:t>
            </w:r>
          </w:p>
        </w:tc>
        <w:tc>
          <w:tcPr>
            <w:tcW w:w="7659" w:type="dxa"/>
          </w:tcPr>
          <w:p w14:paraId="69E0A03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Exponeringar mot förmedlade transaktioner</w:t>
            </w:r>
          </w:p>
          <w:p w14:paraId="69E0A03E" w14:textId="6340DC81" w:rsidR="00646595" w:rsidRPr="007717F5" w:rsidRDefault="00646595" w:rsidP="5E9D3914">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429e.2, 429e.3 och 429e.7 a i förordning (EU) nr 575/2013</w:t>
            </w:r>
          </w:p>
          <w:p w14:paraId="69E0A03F" w14:textId="055A1A3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 denna cell ska instituten offentliggöra exponeringsvärdet för transaktioner för värdepappersfinansiering genom ombud, om institutet ger en kund eller en motpart en kompensation eller garanti, som begränsas till skillnaden mellan värdet av den tillgång eller de kontanter som kunden har lånat ut, och värdet av den säkerhet som låntagaren har tillhandahållit i enlighet med artikel 429e.7 a i förordning (EU) nr 575/2013. Exponeringsvärdet ska endast innefatta det tillägg som fastställs i enlighet med artikel 429e.2 eller 429e.3 i förordning (EU) nr 575/2013, enligt vad som är tillämpligt.</w:t>
            </w:r>
          </w:p>
          <w:p w14:paraId="69E0A040" w14:textId="127A7C2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 denna cell ska instituten inte inkludera transaktioner i enlighet med artikel 429e.7 c i förordning (EU) nr 575/2013.</w:t>
            </w:r>
          </w:p>
        </w:tc>
      </w:tr>
      <w:tr w:rsidR="002312DE" w:rsidRPr="007717F5" w14:paraId="69E0A049" w14:textId="77777777" w:rsidTr="009F3999">
        <w:trPr>
          <w:trHeight w:val="978"/>
        </w:trPr>
        <w:tc>
          <w:tcPr>
            <w:tcW w:w="1380" w:type="dxa"/>
            <w:vAlign w:val="center"/>
          </w:tcPr>
          <w:p w14:paraId="69E0A04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EU-17a</w:t>
            </w:r>
          </w:p>
        </w:tc>
        <w:tc>
          <w:tcPr>
            <w:tcW w:w="7659" w:type="dxa"/>
          </w:tcPr>
          <w:p w14:paraId="69E0A04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(Undantagen central motpartsdel av exponeringar mot transaktioner för värdepappersfinansiering som clearats av kunden)</w:t>
            </w:r>
          </w:p>
          <w:p w14:paraId="69E0A044" w14:textId="17A7EC1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Artikel 429a.1 g och h och artikel 306.1 c i förordning (EU) nr 575/2013. </w:t>
            </w:r>
          </w:p>
          <w:p w14:paraId="69E0A045" w14:textId="757CDB7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den undantagna centrala motpartsdelen av handelsexponeringar mot transaktioner för värdepappersfinansiering som clearats av kunden, förutsatt att dessa poster uppfyller kraven som fastställs i artikel 306.1 c i förordning (EU) nr 575/2013.</w:t>
            </w:r>
          </w:p>
          <w:p w14:paraId="69E0A046" w14:textId="51FC915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Om den undantagna centrala motpartsdelen är ett värdepapper ska det inte inkluderas i denna cell, såvida inte det rör sig om ett återpantsatt värdepapper som enligt de tillämpliga redovisningsreglerna (dvs. i enlighet med artikel 111.1 första meningen i förordning (EU) nr 575/2013) inkluderas till det fulla </w:t>
            </w:r>
            <w:r>
              <w:rPr>
                <w:rFonts w:ascii="Times New Roman" w:hAnsi="Times New Roman"/>
                <w:sz w:val="24"/>
              </w:rPr>
              <w:lastRenderedPageBreak/>
              <w:t>värdet.</w:t>
            </w:r>
          </w:p>
          <w:p w14:paraId="69E0A04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Eftersom denna justering minskar det totala exponeringsmåttet ska instituten sätta värdet i denna rad inom parentes (negativt belopp).</w:t>
            </w:r>
          </w:p>
          <w:p w14:paraId="69E0A0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Det offentliggjorda beloppet ska även inkluderas i tillämpliga celler ovan som om inget undantag gällde.</w:t>
            </w:r>
          </w:p>
        </w:tc>
      </w:tr>
      <w:tr w:rsidR="002312DE" w:rsidRPr="007717F5" w14:paraId="69E0A04D" w14:textId="77777777" w:rsidTr="009F3999">
        <w:trPr>
          <w:trHeight w:val="862"/>
        </w:trPr>
        <w:tc>
          <w:tcPr>
            <w:tcW w:w="1380" w:type="dxa"/>
            <w:vAlign w:val="center"/>
          </w:tcPr>
          <w:p w14:paraId="69E0A04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18</w:t>
            </w:r>
          </w:p>
        </w:tc>
        <w:tc>
          <w:tcPr>
            <w:tcW w:w="7659" w:type="dxa"/>
          </w:tcPr>
          <w:p w14:paraId="69E0A04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Sammanlagda exponeringar i transaktioner för värdepappersfinansiering</w:t>
            </w:r>
          </w:p>
          <w:p w14:paraId="69E0A04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Summan av raderna 14–EU-17a</w:t>
            </w:r>
          </w:p>
        </w:tc>
      </w:tr>
      <w:tr w:rsidR="002312DE" w:rsidRPr="007717F5" w14:paraId="69E0A052" w14:textId="77777777" w:rsidTr="009F3999">
        <w:trPr>
          <w:trHeight w:val="1590"/>
        </w:trPr>
        <w:tc>
          <w:tcPr>
            <w:tcW w:w="1380" w:type="dxa"/>
            <w:vAlign w:val="center"/>
          </w:tcPr>
          <w:p w14:paraId="69E0A0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19</w:t>
            </w:r>
          </w:p>
        </w:tc>
        <w:tc>
          <w:tcPr>
            <w:tcW w:w="7659" w:type="dxa"/>
          </w:tcPr>
          <w:p w14:paraId="69E0A0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Exponeringar utanför balansräkningen i effektiva teoretiska belopp</w:t>
            </w:r>
          </w:p>
          <w:p w14:paraId="69E0A050" w14:textId="615F9AA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429f i förordning (EU) nr 575/2013</w:t>
            </w:r>
          </w:p>
          <w:p w14:paraId="69E0A051" w14:textId="2BBDDF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det nominella värdet av alla poster utanför balansräkningen enligt definitionen i artikel 429f i förordning (EU) nr 575/2013 före eventuella justeringar för konverteringsfaktorer och specifika kreditriskjusteringar.</w:t>
            </w:r>
          </w:p>
        </w:tc>
      </w:tr>
      <w:tr w:rsidR="002312DE" w:rsidRPr="007717F5" w14:paraId="69E0A057" w14:textId="77777777" w:rsidTr="009F3999">
        <w:trPr>
          <w:trHeight w:val="1530"/>
        </w:trPr>
        <w:tc>
          <w:tcPr>
            <w:tcW w:w="1380" w:type="dxa"/>
            <w:vAlign w:val="center"/>
          </w:tcPr>
          <w:p w14:paraId="69E0A05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20</w:t>
            </w:r>
          </w:p>
        </w:tc>
        <w:tc>
          <w:tcPr>
            <w:tcW w:w="7659" w:type="dxa"/>
          </w:tcPr>
          <w:p w14:paraId="69E0A05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(Justeringar för konvertering till kreditekvivalenter)</w:t>
            </w:r>
          </w:p>
          <w:p w14:paraId="69E0A055" w14:textId="2E2B67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429f i förordning (EU) nr 575/2013.</w:t>
            </w:r>
          </w:p>
          <w:p w14:paraId="69E0A05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Minskning av bruttobeloppet av exponeringar utanför balansräkningen på grund av tillämpningen av kreditkonverteringsfaktorer. Eftersom det minskar det totala exponeringsmåttet ska det värde som offentliggörs i denna rad bidra negativt i beräkningen av den summa som ska offentliggöras i rad 22 i mall EU LR2 – LRCom.</w:t>
            </w:r>
          </w:p>
        </w:tc>
      </w:tr>
      <w:tr w:rsidR="002312DE" w:rsidRPr="007717F5" w14:paraId="69E0A060" w14:textId="77777777" w:rsidTr="009F3999">
        <w:trPr>
          <w:trHeight w:val="2265"/>
        </w:trPr>
        <w:tc>
          <w:tcPr>
            <w:tcW w:w="1380" w:type="dxa"/>
            <w:vAlign w:val="center"/>
          </w:tcPr>
          <w:p w14:paraId="69E0A05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21</w:t>
            </w:r>
          </w:p>
        </w:tc>
        <w:tc>
          <w:tcPr>
            <w:tcW w:w="7659" w:type="dxa"/>
          </w:tcPr>
          <w:p w14:paraId="69E0A0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(Allmänna avsättningar som dras av vid fastställande av primärkapital och särskilda avsättningar i samband med exponeringar utanför balansräkningen)</w:t>
            </w:r>
          </w:p>
          <w:p w14:paraId="69E0A05A" w14:textId="521B84C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Artiklarna 429.4, 429f.1 och 429f.2 i förordning (EU) nr 575/2013.</w:t>
            </w:r>
          </w:p>
          <w:p w14:paraId="69E0A05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Instituten får minska det belopp som motsvarar kreditriskexponeringen i fråga om en post utanför balansräkningen med motsvarande belopp i allmänna kreditriskjusteringar som dras av från primärkapital. Resultatet av subtraktionen får inte understiga noll. </w:t>
            </w:r>
          </w:p>
          <w:p w14:paraId="69E0A05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Instituten får minska det belopp som motsvarar kreditriskexponeringen i fråga om en post utanför balansräkningen med motsvarande belopp i specifika kreditriskjusteringar. Resultatet av subtraktionen får inte understiga noll. </w:t>
            </w:r>
          </w:p>
          <w:p w14:paraId="69E0A05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Det absoluta värdet av dessa kreditriskjusteringar ska inte överstiga summan av raderna 19 och 20. </w:t>
            </w:r>
          </w:p>
          <w:p w14:paraId="69E0A05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Eftersom dessa justeringar minskar det totala exponeringsmåttet ska instituten sätta värdet i denna rad inom parentes (negativt belopp).</w:t>
            </w:r>
          </w:p>
          <w:p w14:paraId="69E0A0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Det offentliggjorda beloppet ska även inkluderas i tillämpliga celler ovan som om denna minskning inte gällde.</w:t>
            </w:r>
          </w:p>
        </w:tc>
      </w:tr>
      <w:tr w:rsidR="002312DE" w:rsidRPr="007717F5" w14:paraId="69E0A066" w14:textId="77777777" w:rsidTr="009F3999">
        <w:trPr>
          <w:trHeight w:val="805"/>
        </w:trPr>
        <w:tc>
          <w:tcPr>
            <w:tcW w:w="1380" w:type="dxa"/>
            <w:vAlign w:val="center"/>
          </w:tcPr>
          <w:p w14:paraId="69E0A0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22</w:t>
            </w:r>
          </w:p>
        </w:tc>
        <w:tc>
          <w:tcPr>
            <w:tcW w:w="7659" w:type="dxa"/>
          </w:tcPr>
          <w:p w14:paraId="69E0A06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Exponeringar utanför balansräkningen </w:t>
            </w:r>
          </w:p>
          <w:p w14:paraId="69E0A063" w14:textId="6F18296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Artiklarna 429f, 111.2 och 166.9 i förordning (EU) nr 575/2013; summan av raderna 19–21</w:t>
            </w:r>
          </w:p>
          <w:p w14:paraId="69E0A064" w14:textId="0E2CBC5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Instituten ska offentliggöra bruttosoliditetsgradens exponeringsvärden för poster utanför balansräkningen som fastställs i enlighet med artikel 429f i förordning (EU) nr 575/2013, med beaktande av relevanta konverteringsfaktorer.</w:t>
            </w:r>
          </w:p>
          <w:p w14:paraId="69E0A06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ta hänsyn till att raderna 20–21 i mall EU LR2 – LRCom bidrar negativt i beräkningen av denna summa.</w:t>
            </w:r>
          </w:p>
        </w:tc>
      </w:tr>
      <w:tr w:rsidR="002312DE" w:rsidRPr="007717F5" w14:paraId="69E0A06D" w14:textId="77777777" w:rsidTr="009F3999">
        <w:trPr>
          <w:trHeight w:val="274"/>
        </w:trPr>
        <w:tc>
          <w:tcPr>
            <w:tcW w:w="1380" w:type="dxa"/>
            <w:vAlign w:val="center"/>
          </w:tcPr>
          <w:p w14:paraId="69E0A06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EU-22a</w:t>
            </w:r>
          </w:p>
        </w:tc>
        <w:tc>
          <w:tcPr>
            <w:tcW w:w="7659" w:type="dxa"/>
          </w:tcPr>
          <w:p w14:paraId="69E0A068" w14:textId="0CF9C8C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(Exponeringar som undantas från det totala exponeringsmåttet i enlighet med artikel 429a.1 c i kapitalkravsförordningen)</w:t>
            </w:r>
          </w:p>
          <w:p w14:paraId="69E0A069" w14:textId="2F97EDE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429a.1 c och ca samt artikel 113.6 och 113.7 i förordning (EU) nr 575/2013.</w:t>
            </w:r>
          </w:p>
          <w:p w14:paraId="69E0A06A" w14:textId="6AAFB10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Instituten ska offentliggöra de exponeringar som undantas i enlighet med artikel 429a.1 c och ca.  </w:t>
            </w:r>
          </w:p>
          <w:p w14:paraId="69E0A06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Det offentliggjorda beloppet ska även inkluderas i tillämpliga celler ovan som om inget undantag gällde.</w:t>
            </w:r>
          </w:p>
          <w:p w14:paraId="69E0A06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Eftersom detta belopp minskar det totala exponeringsmåttet ska instituten sätta värdet i denna rad inom parentes (negativt belopp).</w:t>
            </w:r>
          </w:p>
        </w:tc>
      </w:tr>
      <w:tr w:rsidR="002312DE" w:rsidRPr="007717F5" w14:paraId="69E0A074" w14:textId="77777777" w:rsidTr="009F3999">
        <w:trPr>
          <w:trHeight w:val="129"/>
        </w:trPr>
        <w:tc>
          <w:tcPr>
            <w:tcW w:w="1380" w:type="dxa"/>
            <w:vAlign w:val="center"/>
          </w:tcPr>
          <w:p w14:paraId="69E0A06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EU-22b</w:t>
            </w:r>
          </w:p>
        </w:tc>
        <w:tc>
          <w:tcPr>
            <w:tcW w:w="7659" w:type="dxa"/>
          </w:tcPr>
          <w:p w14:paraId="69E0A06F" w14:textId="728EA21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(Undantagna exponeringar i enlighet med artikel 429a.1 j i kapitalkravsförordningen (i och utanför balansräkningen))</w:t>
            </w:r>
          </w:p>
          <w:p w14:paraId="69E0A070" w14:textId="54EAFC03"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429a.1 j i förordning (EU) nr 575/2013.</w:t>
            </w:r>
          </w:p>
          <w:p w14:paraId="69E0A071" w14:textId="1B152033" w:rsidR="00646595" w:rsidRPr="00511685" w:rsidRDefault="00646595" w:rsidP="00E9371F">
            <w:pPr>
              <w:pStyle w:val="Teksttreci0"/>
              <w:shd w:val="clear" w:color="auto" w:fill="auto"/>
              <w:spacing w:after="120" w:line="240" w:lineRule="auto"/>
              <w:ind w:firstLine="0"/>
              <w:rPr>
                <w:rFonts w:ascii="Times New Roman" w:hAnsi="Times New Roman"/>
                <w:sz w:val="24"/>
              </w:rPr>
            </w:pPr>
            <w:r w:rsidRPr="00511685">
              <w:rPr>
                <w:rFonts w:ascii="Times New Roman" w:hAnsi="Times New Roman"/>
                <w:sz w:val="24"/>
              </w:rPr>
              <w:t>Instituten ska offentliggöra de exponeringar som undantas i enlighet med artikel 429a.1 j i förordning (EU) nr 575/2013, förutsatt att de villkor som anges däri är uppfyllda.</w:t>
            </w:r>
            <w:r>
              <w:rPr>
                <w:rFonts w:ascii="Times New Roman" w:hAnsi="Times New Roman"/>
                <w:sz w:val="24"/>
              </w:rPr>
              <w:t xml:space="preserve"> </w:t>
            </w:r>
          </w:p>
          <w:p w14:paraId="69E0A07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Det offentliggjorda beloppet ska även inkluderas i tillämpliga celler ovan som om inget undantag gällde.</w:t>
            </w:r>
          </w:p>
          <w:p w14:paraId="69E0A07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Eftersom beloppet minskar det totala exponeringsmåttet ska instituten sätta värdet i denna rad inom parentes (negativt belopp).</w:t>
            </w:r>
          </w:p>
        </w:tc>
      </w:tr>
      <w:tr w:rsidR="002312DE" w:rsidRPr="007717F5" w14:paraId="69E0A07A" w14:textId="77777777" w:rsidTr="009F3999">
        <w:trPr>
          <w:trHeight w:val="1535"/>
        </w:trPr>
        <w:tc>
          <w:tcPr>
            <w:tcW w:w="1380" w:type="dxa"/>
            <w:vAlign w:val="center"/>
          </w:tcPr>
          <w:p w14:paraId="69E0A0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EU-22c</w:t>
            </w:r>
          </w:p>
        </w:tc>
        <w:tc>
          <w:tcPr>
            <w:tcW w:w="7659" w:type="dxa"/>
          </w:tcPr>
          <w:p w14:paraId="69E0A07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(Undantagna exponeringar för offentliga utvecklingsbanker (eller enheter) – offentliga investeringar)</w:t>
            </w:r>
          </w:p>
          <w:p w14:paraId="69E0A077" w14:textId="34D93777"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429a.1 och 429a.2 d i förordning (EU) nr 575/2013.</w:t>
            </w:r>
          </w:p>
          <w:p w14:paraId="69E0A078" w14:textId="456706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Exponeringar som härrör från tillgångar som utgör fordringar på nationella regeringar, delstatliga eller lokala självstyrelseorgan eller offentliga organ i samband med investeringar i den offentliga sektorn, vilka kan undantas i enlighet med artikel 429a.1 d i förordning (EU) nr 575/2013. Detta ska endast omfatta fall där institutet är ett offentligt utvecklingskreditinstitut eller där exponeringarna innehas inom en enhet som behandlas som en offentlig utvecklingsenhet i enlighet med artikel 429a.2 sista stycket i förordning (EU) nr 575/2013.</w:t>
            </w:r>
          </w:p>
          <w:p w14:paraId="69E0A079"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Eftersom beloppet minskar det totala exponeringsmåttet ska instituten sätta värdet i denna cell inom parentes (negativt belopp).</w:t>
            </w:r>
          </w:p>
        </w:tc>
      </w:tr>
      <w:tr w:rsidR="002312DE" w:rsidRPr="007717F5" w14:paraId="69E0A080" w14:textId="77777777" w:rsidTr="009F3999">
        <w:trPr>
          <w:trHeight w:val="1535"/>
        </w:trPr>
        <w:tc>
          <w:tcPr>
            <w:tcW w:w="1380" w:type="dxa"/>
            <w:vAlign w:val="center"/>
          </w:tcPr>
          <w:p w14:paraId="69E0A07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EU-22d</w:t>
            </w:r>
          </w:p>
        </w:tc>
        <w:tc>
          <w:tcPr>
            <w:tcW w:w="7659" w:type="dxa"/>
          </w:tcPr>
          <w:p w14:paraId="69E0A07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(Undantagna exponeringar för offentliga utvecklingsbanker (eller utvecklingsenheter) – subventionerade lån) </w:t>
            </w:r>
          </w:p>
          <w:p w14:paraId="69E0A07D" w14:textId="1C75F22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Artikel 429a.1 d och 429a.2 i förordning (EU) nr 575/2013.</w:t>
            </w:r>
          </w:p>
          <w:p w14:paraId="69E0A07E" w14:textId="10B322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undantagna subventionerade lån i enlighet med artikel 429a.1 d i förordning (EU) nr 575/2013. Detta ska endast omfatta fall där institutet är ett offentligt utvecklingskreditinstitut eller där de subventionerade lånen innehas inom en enhet som behandlas som en offentlig utvecklingsenhet i enlighet med artikel 429a.2 sista stycket i förordning (EU) nr 575/2013.</w:t>
            </w:r>
          </w:p>
          <w:p w14:paraId="69E0A07F"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Eftersom beloppet minskar det totala exponeringsmåttet ska instituten sätta värdet i denna rad inom parentes (negativt belopp).</w:t>
            </w:r>
          </w:p>
        </w:tc>
      </w:tr>
      <w:tr w:rsidR="002312DE" w:rsidRPr="007717F5" w14:paraId="69E0A086" w14:textId="77777777" w:rsidTr="009F3999">
        <w:trPr>
          <w:trHeight w:val="1535"/>
        </w:trPr>
        <w:tc>
          <w:tcPr>
            <w:tcW w:w="1380" w:type="dxa"/>
            <w:vAlign w:val="center"/>
          </w:tcPr>
          <w:p w14:paraId="69E0A08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EU-22e</w:t>
            </w:r>
          </w:p>
        </w:tc>
        <w:tc>
          <w:tcPr>
            <w:tcW w:w="7659" w:type="dxa"/>
          </w:tcPr>
          <w:p w14:paraId="69E0A08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(Undantagna exponeringar vid förmedling (passing-through) av subventionerade lån för icke-offentliga utvecklingsbanker (eller utvecklingsenheter))</w:t>
            </w:r>
          </w:p>
          <w:p w14:paraId="69E0A083" w14:textId="434A873C"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Artikel 429a.1 e i förordning (EU) nr 575/2013.</w:t>
            </w:r>
          </w:p>
          <w:p w14:paraId="69E0A084" w14:textId="540FB7A1" w:rsidR="00646595" w:rsidRPr="007717F5" w:rsidRDefault="00646595" w:rsidP="00E9371F">
            <w:pPr>
              <w:pStyle w:val="BodyText1"/>
              <w:spacing w:after="120" w:line="240" w:lineRule="auto"/>
              <w:rPr>
                <w:rFonts w:ascii="Times New Roman" w:hAnsi="Times New Roman"/>
                <w:color w:val="auto"/>
                <w:sz w:val="24"/>
                <w:szCs w:val="24"/>
              </w:rPr>
            </w:pPr>
            <w:r w:rsidRPr="00511685">
              <w:rPr>
                <w:rFonts w:ascii="Times New Roman" w:hAnsi="Times New Roman"/>
                <w:color w:val="auto"/>
                <w:sz w:val="24"/>
              </w:rPr>
              <w:t>Instituten ska offentliggöra de undantagna exponeringar i enlighet med artikel 429a.1 e i förordning (EU) nr 575/2013 som rör de delar av exponeringar som härrör från förmedling (passing-through) av subventionerade lån till andra kreditinstitut.</w:t>
            </w:r>
            <w:r>
              <w:rPr>
                <w:rFonts w:ascii="Times New Roman" w:hAnsi="Times New Roman"/>
                <w:color w:val="auto"/>
                <w:sz w:val="24"/>
              </w:rPr>
              <w:t xml:space="preserve"> Detta ska endast omfatta fall där institutet inte är ett offentligt utvecklingskreditinstitut och där verksamheten inte bedrivs inom en enhet som behandlas som en offentlig utvecklingsenhet i enlighet med artikel 429a.2 sista stycket i förordning (EU) nr 575/2013.</w:t>
            </w:r>
          </w:p>
          <w:p w14:paraId="69E0A08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Eftersom beloppet minskar det totala exponeringsmåttet ska instituten sätta värdet i denna rad inom parentes (negativt belopp).</w:t>
            </w:r>
          </w:p>
        </w:tc>
      </w:tr>
      <w:tr w:rsidR="002312DE" w:rsidRPr="007717F5" w14:paraId="69E0A08C" w14:textId="77777777" w:rsidTr="009F3999">
        <w:trPr>
          <w:trHeight w:val="1535"/>
        </w:trPr>
        <w:tc>
          <w:tcPr>
            <w:tcW w:w="1380" w:type="dxa"/>
            <w:vAlign w:val="center"/>
          </w:tcPr>
          <w:p w14:paraId="69E0A08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EU-22f</w:t>
            </w:r>
          </w:p>
        </w:tc>
        <w:tc>
          <w:tcPr>
            <w:tcW w:w="7659" w:type="dxa"/>
          </w:tcPr>
          <w:p w14:paraId="69E0A08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(Undantagna garanterade delar av exponeringar i samband med exportkrediter)</w:t>
            </w:r>
          </w:p>
          <w:p w14:paraId="69E0A089" w14:textId="7A04873B"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Artikel 429a.1 f i förordning (EU) nr 575/2013.</w:t>
            </w:r>
          </w:p>
          <w:p w14:paraId="69E0A08A" w14:textId="0F5C8BC6" w:rsidR="00646595" w:rsidRPr="007717F5" w:rsidRDefault="00646595" w:rsidP="00E9371F">
            <w:pPr>
              <w:pStyle w:val="BodyText1"/>
              <w:spacing w:after="120" w:line="240" w:lineRule="auto"/>
              <w:rPr>
                <w:rFonts w:ascii="Times New Roman" w:hAnsi="Times New Roman"/>
                <w:color w:val="auto"/>
                <w:sz w:val="24"/>
                <w:szCs w:val="24"/>
              </w:rPr>
            </w:pPr>
            <w:r w:rsidRPr="00511685">
              <w:rPr>
                <w:rFonts w:ascii="Times New Roman" w:eastAsia="Book Antiqua" w:hAnsi="Times New Roman" w:cs="Book Antiqua"/>
                <w:color w:val="auto"/>
                <w:sz w:val="24"/>
                <w:szCs w:val="16"/>
              </w:rPr>
              <w:t>De garanterade delarna av exponeringar till följd av exportkrediter som kan uteslutas om villkoren i artikel 429a.1 f i förordning (EU) nr 575/2013</w:t>
            </w:r>
            <w:r>
              <w:rPr>
                <w:rFonts w:ascii="Times New Roman" w:hAnsi="Times New Roman"/>
                <w:color w:val="auto"/>
              </w:rPr>
              <w:t xml:space="preserve"> </w:t>
            </w:r>
            <w:r w:rsidRPr="00511685">
              <w:rPr>
                <w:rFonts w:ascii="Times New Roman" w:eastAsia="Book Antiqua" w:hAnsi="Times New Roman" w:cs="Book Antiqua"/>
                <w:color w:val="auto"/>
                <w:sz w:val="24"/>
                <w:szCs w:val="16"/>
              </w:rPr>
              <w:t>är uppfyllda.</w:t>
            </w:r>
          </w:p>
          <w:p w14:paraId="69E0A08B"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Eftersom beloppet minskar det totala exponeringsmåttet ska instituten sätta värdet i denna rad inom parentes (negativt belopp).</w:t>
            </w:r>
          </w:p>
        </w:tc>
      </w:tr>
      <w:tr w:rsidR="002312DE" w:rsidRPr="007717F5" w14:paraId="69E0A092" w14:textId="77777777" w:rsidTr="009F3999">
        <w:trPr>
          <w:trHeight w:val="1535"/>
        </w:trPr>
        <w:tc>
          <w:tcPr>
            <w:tcW w:w="1380" w:type="dxa"/>
            <w:vAlign w:val="center"/>
          </w:tcPr>
          <w:p w14:paraId="69E0A08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EU-22g</w:t>
            </w:r>
          </w:p>
        </w:tc>
        <w:tc>
          <w:tcPr>
            <w:tcW w:w="7659" w:type="dxa"/>
          </w:tcPr>
          <w:p w14:paraId="69E0A08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(Undantagna överskjutande säkerheter som deponerats hos trepartsagenter) </w:t>
            </w:r>
          </w:p>
          <w:p w14:paraId="69E0A08F" w14:textId="6C6AE692"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Artikel 429a.1 k i förordning (EU) nr 575/2013.</w:t>
            </w:r>
          </w:p>
          <w:p w14:paraId="69E0A090" w14:textId="47830AB0" w:rsidR="00646595" w:rsidRPr="007717F5" w:rsidRDefault="00646595" w:rsidP="5E9D3914">
            <w:pPr>
              <w:pStyle w:val="BodyText1"/>
              <w:spacing w:after="120" w:line="240" w:lineRule="auto"/>
              <w:rPr>
                <w:rFonts w:ascii="Times New Roman" w:hAnsi="Times New Roman"/>
                <w:color w:val="auto"/>
                <w:sz w:val="24"/>
                <w:szCs w:val="24"/>
              </w:rPr>
            </w:pPr>
            <w:r>
              <w:rPr>
                <w:rFonts w:ascii="Times New Roman" w:hAnsi="Times New Roman"/>
                <w:color w:val="auto"/>
                <w:sz w:val="24"/>
              </w:rPr>
              <w:t>De överskjutande säkerheter som deponerats hos en trepartsagent och som inte har lånats ut, vilka kan uteslutas enligt artikel 429a.1 k i förordning (EU) nr 575/2013.</w:t>
            </w:r>
          </w:p>
          <w:p w14:paraId="69E0A091"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Eftersom beloppet minskar det totala exponeringsmåttet ska instituten sätta värdet i denna rad inom parentes (negativt belopp).</w:t>
            </w:r>
          </w:p>
        </w:tc>
      </w:tr>
      <w:tr w:rsidR="002312DE" w:rsidRPr="007717F5" w14:paraId="69E0A098" w14:textId="77777777" w:rsidTr="009F3999">
        <w:trPr>
          <w:trHeight w:val="1535"/>
        </w:trPr>
        <w:tc>
          <w:tcPr>
            <w:tcW w:w="1380" w:type="dxa"/>
            <w:vAlign w:val="center"/>
          </w:tcPr>
          <w:p w14:paraId="69E0A09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EU-22h</w:t>
            </w:r>
          </w:p>
        </w:tc>
        <w:tc>
          <w:tcPr>
            <w:tcW w:w="7659" w:type="dxa"/>
          </w:tcPr>
          <w:p w14:paraId="69E0A094"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(Undantagna värdepapperscentralrelaterade tjänster hos värdepapperscentraler/institut i enlighet med artikel 429a.1 o i kapitalkravsförordningen)</w:t>
            </w:r>
          </w:p>
          <w:p w14:paraId="69E0A095" w14:textId="24D1D6B8" w:rsidR="00646595" w:rsidRPr="007717F5" w:rsidRDefault="00646595" w:rsidP="17C07D06">
            <w:pPr>
              <w:pStyle w:val="BodyText1"/>
              <w:spacing w:after="120" w:line="240" w:lineRule="auto"/>
              <w:rPr>
                <w:rFonts w:ascii="Times New Roman" w:hAnsi="Times New Roman"/>
                <w:color w:val="auto"/>
              </w:rPr>
            </w:pPr>
            <w:r>
              <w:rPr>
                <w:rFonts w:ascii="Times New Roman" w:hAnsi="Times New Roman"/>
                <w:color w:val="auto"/>
                <w:sz w:val="24"/>
              </w:rPr>
              <w:t>Artikel 429a.1 o i förordning (EU) nr 575/2013.</w:t>
            </w:r>
          </w:p>
          <w:p w14:paraId="69E0A096" w14:textId="7175E89B"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Tjänster som rör värdepapperscentraler (VPC) hos värdepapperscentraler/institut som kan undantas i enlighet med artikel 429a.1 o i förordning (EU) nr 575/2013.</w:t>
            </w:r>
          </w:p>
          <w:p w14:paraId="69E0A097" w14:textId="77777777" w:rsidR="00646595" w:rsidRPr="007717F5" w:rsidRDefault="00646595" w:rsidP="00E9371F">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Eftersom beloppet minskar det totala exponeringsmåttet ska instituten sätta värdet i denna rad inom parentes (negativt belopp).</w:t>
            </w:r>
          </w:p>
        </w:tc>
      </w:tr>
      <w:tr w:rsidR="002312DE" w:rsidRPr="007717F5" w14:paraId="69E0A09E" w14:textId="77777777" w:rsidTr="009F3999">
        <w:trPr>
          <w:trHeight w:val="895"/>
        </w:trPr>
        <w:tc>
          <w:tcPr>
            <w:tcW w:w="1380" w:type="dxa"/>
            <w:vAlign w:val="center"/>
          </w:tcPr>
          <w:p w14:paraId="69E0A09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EU-22i</w:t>
            </w:r>
          </w:p>
        </w:tc>
        <w:tc>
          <w:tcPr>
            <w:tcW w:w="7659" w:type="dxa"/>
          </w:tcPr>
          <w:p w14:paraId="69E0A09A" w14:textId="53696776" w:rsidR="00646595" w:rsidRPr="007717F5"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(Undantagna värdepapperscentralrelaterade tjänster hos utsedda institut i enlighet med artikel 429a.1 p i kapitalkravsförordningen)</w:t>
            </w:r>
          </w:p>
          <w:p w14:paraId="69E0A09B" w14:textId="267E29F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Artikel 429a.1 p i förordning (EU) nr 575/2013.</w:t>
            </w:r>
          </w:p>
          <w:p w14:paraId="69E0A09C" w14:textId="34A37CD9"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Värdepapperscentralrelaterade tjänster hos utsedda institut som kan undantas i enlighet med artikel 429a.1 p i förordning (EU) nr 575/2013.</w:t>
            </w:r>
          </w:p>
          <w:p w14:paraId="69E0A09D"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Eftersom beloppet minskar det totala exponeringsmåttet ska instituten sätta värdet i denna rad inom parentes (negativt belopp).</w:t>
            </w:r>
          </w:p>
        </w:tc>
      </w:tr>
      <w:tr w:rsidR="002312DE" w:rsidRPr="007717F5" w14:paraId="69E0A0A4" w14:textId="77777777" w:rsidTr="009F3999">
        <w:trPr>
          <w:trHeight w:val="1535"/>
        </w:trPr>
        <w:tc>
          <w:tcPr>
            <w:tcW w:w="1380" w:type="dxa"/>
            <w:vAlign w:val="center"/>
          </w:tcPr>
          <w:p w14:paraId="69E0A09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EU-22j</w:t>
            </w:r>
          </w:p>
        </w:tc>
        <w:tc>
          <w:tcPr>
            <w:tcW w:w="7659" w:type="dxa"/>
          </w:tcPr>
          <w:p w14:paraId="69E0A0A0" w14:textId="77777777" w:rsidR="00646595" w:rsidRPr="007717F5" w:rsidRDefault="00646595" w:rsidP="00E9371F">
            <w:pPr>
              <w:pStyle w:val="BodyText1"/>
              <w:spacing w:after="120" w:line="240" w:lineRule="auto"/>
              <w:rPr>
                <w:rFonts w:ascii="Times New Roman" w:hAnsi="Times New Roman"/>
                <w:b/>
                <w:bCs/>
                <w:color w:val="auto"/>
                <w:sz w:val="24"/>
                <w:szCs w:val="24"/>
              </w:rPr>
            </w:pPr>
            <w:r>
              <w:rPr>
                <w:rFonts w:ascii="Times New Roman" w:hAnsi="Times New Roman"/>
                <w:b/>
                <w:color w:val="auto"/>
                <w:sz w:val="24"/>
              </w:rPr>
              <w:t xml:space="preserve">(Minskning av exponeringsvärdet för förfinansieringslån eller mellankredit) </w:t>
            </w:r>
          </w:p>
          <w:p w14:paraId="69E0A0A1" w14:textId="7EF951CB"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Artikel 429.8 i förordning (EU) nr 575/2013.</w:t>
            </w:r>
          </w:p>
          <w:p w14:paraId="69E0A0A2" w14:textId="3DC3C518"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Det belopp med vilket exponeringsvärdet för ett förfinansieringslån eller en mellankredit har minskats, i enlighet med artikel 429.8 i förordning (EU) nr 575/2013.</w:t>
            </w:r>
          </w:p>
          <w:p w14:paraId="69E0A0A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Eftersom beloppet minskar det totala exponeringsmåttet ska instituten sätta värdet i denna rad inom parentes (negativt belopp).</w:t>
            </w:r>
          </w:p>
        </w:tc>
      </w:tr>
      <w:tr w:rsidR="002312DE" w:rsidRPr="007717F5" w14:paraId="5DC38D05" w14:textId="77777777" w:rsidTr="009F3999">
        <w:trPr>
          <w:trHeight w:val="1448"/>
        </w:trPr>
        <w:tc>
          <w:tcPr>
            <w:tcW w:w="1380" w:type="dxa"/>
            <w:vAlign w:val="center"/>
          </w:tcPr>
          <w:p w14:paraId="3EB06772" w14:textId="3AE8DEF1" w:rsidR="0091769B" w:rsidRPr="007717F5"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EU-22k</w:t>
            </w:r>
          </w:p>
        </w:tc>
        <w:tc>
          <w:tcPr>
            <w:tcW w:w="7659" w:type="dxa"/>
          </w:tcPr>
          <w:p w14:paraId="4DE37801" w14:textId="51ED08A8" w:rsidR="0091769B" w:rsidRPr="007717F5"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(Undantagna exponeringar mot aktieägare i enlighet med artikel 429a.1 da i kapitalkravsförordningen)</w:t>
            </w:r>
          </w:p>
          <w:p w14:paraId="407F3CD9" w14:textId="61346D61" w:rsidR="001E11E0" w:rsidRPr="007717F5"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Artikel 429a.1 da i förordning (EU) nr 575/2013.</w:t>
            </w:r>
          </w:p>
          <w:p w14:paraId="107D6280" w14:textId="4AFC1128" w:rsidR="006E679B" w:rsidRPr="007717F5"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Eftersom beloppet minskar det totala exponeringsmåttet ska instituten sätta värdet i denna rad inom parentes (negativt belopp).</w:t>
            </w:r>
          </w:p>
        </w:tc>
      </w:tr>
      <w:tr w:rsidR="002312DE" w:rsidRPr="007717F5" w14:paraId="7203309B" w14:textId="77777777" w:rsidTr="009F3999">
        <w:trPr>
          <w:trHeight w:val="1448"/>
        </w:trPr>
        <w:tc>
          <w:tcPr>
            <w:tcW w:w="1380" w:type="dxa"/>
            <w:vAlign w:val="center"/>
          </w:tcPr>
          <w:p w14:paraId="522798DB" w14:textId="18FB2C45" w:rsidR="0091769B" w:rsidRPr="007717F5"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EU-22l</w:t>
            </w:r>
          </w:p>
        </w:tc>
        <w:tc>
          <w:tcPr>
            <w:tcW w:w="7659" w:type="dxa"/>
          </w:tcPr>
          <w:p w14:paraId="57CB95DF" w14:textId="33551E65" w:rsidR="0091769B" w:rsidRPr="007717F5"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(Exponeringar som dragits av i enlighet med artikel 429a.1 q i kapitalkravsförordningen)</w:t>
            </w:r>
          </w:p>
          <w:p w14:paraId="37A3A292" w14:textId="637BE1B4" w:rsidR="009346C3" w:rsidRPr="007717F5"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Artikel 429a.1 q i kapitalkravsförordningen.</w:t>
            </w:r>
          </w:p>
          <w:p w14:paraId="541FEF4F" w14:textId="08C00207" w:rsidR="009346C3" w:rsidRPr="007717F5"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Eftersom beloppet minskar det totala exponeringsmåttet ska instituten sätta värdet i denna rad inom parentes (negativt belopp).</w:t>
            </w:r>
          </w:p>
        </w:tc>
      </w:tr>
      <w:tr w:rsidR="002312DE" w:rsidRPr="007717F5" w14:paraId="69E0A0A9" w14:textId="77777777" w:rsidTr="009F3999">
        <w:trPr>
          <w:trHeight w:val="1448"/>
        </w:trPr>
        <w:tc>
          <w:tcPr>
            <w:tcW w:w="1380" w:type="dxa"/>
            <w:vAlign w:val="center"/>
          </w:tcPr>
          <w:p w14:paraId="69E0A0A5" w14:textId="228EAE81"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EU-22m</w:t>
            </w:r>
          </w:p>
        </w:tc>
        <w:tc>
          <w:tcPr>
            <w:tcW w:w="7659" w:type="dxa"/>
          </w:tcPr>
          <w:p w14:paraId="69E0A0A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(Totala undantagna exponeringar)</w:t>
            </w:r>
          </w:p>
          <w:p w14:paraId="69E0A0A7" w14:textId="56C944D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Summan av raderna EU-22a–EU-22l</w:t>
            </w:r>
          </w:p>
          <w:p w14:paraId="69E0A0A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Eftersom beloppet minskar det totala exponeringsmåttet ska instituten sätta värdet i denna rad inom parentes (negativt belopp).</w:t>
            </w:r>
          </w:p>
        </w:tc>
      </w:tr>
      <w:tr w:rsidR="002312DE" w:rsidRPr="007717F5" w14:paraId="69E0A0B0" w14:textId="77777777" w:rsidTr="009F3999">
        <w:trPr>
          <w:trHeight w:val="2265"/>
        </w:trPr>
        <w:tc>
          <w:tcPr>
            <w:tcW w:w="1380" w:type="dxa"/>
            <w:vAlign w:val="center"/>
          </w:tcPr>
          <w:p w14:paraId="69E0A0A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23</w:t>
            </w:r>
          </w:p>
        </w:tc>
        <w:tc>
          <w:tcPr>
            <w:tcW w:w="7659" w:type="dxa"/>
          </w:tcPr>
          <w:p w14:paraId="69E0A0A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Primärkapital</w:t>
            </w:r>
          </w:p>
          <w:p w14:paraId="69E0A0AC" w14:textId="0263760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Artiklarna 429.3 och 499.1 och 499.2 i förordning (EU) nr 575/2013.</w:t>
            </w:r>
          </w:p>
          <w:p w14:paraId="69E0A0AD" w14:textId="3CB3B6A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det primärkapitalbelopp som beräknats i enlighet med det val som institutet har gjort enligt artikel 499.2 i förordning (EU) nr 575/2013, och som offentliggjorts i rad EU-27 i mall EU LR2 – LRCom.</w:t>
            </w:r>
          </w:p>
          <w:p w14:paraId="69E0A0AE" w14:textId="71D2189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Om valet att offentliggöra kärnprimärkapitalet görs i enlighet med artikel 499.1 a i förordning (EU) nr 575/2013, ska institutet närmare bestämt offentliggöra det belopp för kärnprimärkapital som beräknats i enlighet med artikel 25 i förordning (EU) nr 575/2013, utan hänsyn tagen till undantagen enligt del tio avdelning I kapitlen 1 och 2 i förordning (EU) nr 575/2013.</w:t>
            </w:r>
          </w:p>
          <w:p w14:paraId="69E0A0AF" w14:textId="78E4F44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Om institutet däremot har valt att offentliggöra kärnprimärkapitalet i enlighet med artikel 499.1 b i förordning (EU) nr 575/2013, ska det belopp för kärnprimärkapital som beräknats i enlighet med artikel 25 i förordning (EU) nr 575/2013 offentliggöras, dock med hänsyn till undantagen enligt del tio avdelning I kapitlen 1 och 2 i förordning (EU) nr 575/2013.</w:t>
            </w:r>
          </w:p>
        </w:tc>
      </w:tr>
      <w:tr w:rsidR="002312DE" w:rsidRPr="007717F5" w14:paraId="69E0A0B4" w14:textId="77777777" w:rsidTr="009F3999">
        <w:trPr>
          <w:trHeight w:val="685"/>
        </w:trPr>
        <w:tc>
          <w:tcPr>
            <w:tcW w:w="1380" w:type="dxa"/>
            <w:vAlign w:val="center"/>
          </w:tcPr>
          <w:p w14:paraId="69E0A0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24</w:t>
            </w:r>
          </w:p>
        </w:tc>
        <w:tc>
          <w:tcPr>
            <w:tcW w:w="7659" w:type="dxa"/>
          </w:tcPr>
          <w:p w14:paraId="69E0A0B2"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Totalt exponeringsmått </w:t>
            </w:r>
          </w:p>
          <w:p w14:paraId="69E0A0B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Summan av beloppen i raderna 7, 13, 18, 22 och EU-22k</w:t>
            </w:r>
            <w:r>
              <w:rPr>
                <w:rFonts w:ascii="Times New Roman" w:hAnsi="Times New Roman"/>
                <w:sz w:val="24"/>
              </w:rPr>
              <w:t xml:space="preserve"> i EU LR2 – LRCom</w:t>
            </w:r>
          </w:p>
        </w:tc>
      </w:tr>
      <w:tr w:rsidR="002312DE" w:rsidRPr="007717F5" w14:paraId="69E0A0B8" w14:textId="77777777" w:rsidTr="009F3999">
        <w:trPr>
          <w:trHeight w:val="1164"/>
        </w:trPr>
        <w:tc>
          <w:tcPr>
            <w:tcW w:w="1380" w:type="dxa"/>
            <w:vAlign w:val="center"/>
          </w:tcPr>
          <w:p w14:paraId="69E0A0B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w:t>
            </w:r>
          </w:p>
        </w:tc>
        <w:tc>
          <w:tcPr>
            <w:tcW w:w="7659" w:type="dxa"/>
          </w:tcPr>
          <w:p w14:paraId="69E0A0B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Bruttosoliditetsgrad (%)</w:t>
            </w:r>
          </w:p>
          <w:p w14:paraId="69E0A0B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Instituten ska offentliggöra beloppet i rad 23 i mall EU LR2 – LRCom uttryckt som en procentandel av beloppet i rad 24 i mall EU LR2 – LRCom.</w:t>
            </w:r>
          </w:p>
        </w:tc>
      </w:tr>
      <w:tr w:rsidR="002312DE" w:rsidRPr="007717F5" w14:paraId="69E0A0BC" w14:textId="77777777" w:rsidTr="009F3999">
        <w:trPr>
          <w:trHeight w:val="1890"/>
        </w:trPr>
        <w:tc>
          <w:tcPr>
            <w:tcW w:w="1380" w:type="dxa"/>
            <w:vAlign w:val="center"/>
          </w:tcPr>
          <w:p w14:paraId="69E0A0B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EU-25</w:t>
            </w:r>
          </w:p>
        </w:tc>
        <w:tc>
          <w:tcPr>
            <w:tcW w:w="7659" w:type="dxa"/>
          </w:tcPr>
          <w:p w14:paraId="69E0A0B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Bruttosoliditetsgrad (bortsett från inverkan av undantaget för offentliga investeringar och subventionerade lån) (%)</w:t>
            </w:r>
          </w:p>
          <w:p w14:paraId="69E0A0BB" w14:textId="6C17F0EF"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I enlighet med artikel 451.2 i förordning (EU) nr 575/2013 ska offentliga utvecklingskreditinstitut, enligt definitionen i artikel 429a.2 i förordning (EU) nr 575/2013, offentliggöra bruttosoliditetsgraden utan justeringen till det totala exponeringsmått som fastställts i enlighet med artikel 429a.1 d i förordning (EU) nr 575/2013, dvs. den justering som offentliggörs i raderna EU-22c och EU-22d i denna mall.</w:t>
            </w:r>
          </w:p>
        </w:tc>
      </w:tr>
      <w:tr w:rsidR="002312DE" w:rsidRPr="007717F5" w14:paraId="69E0A0C1" w14:textId="77777777" w:rsidTr="009F3999">
        <w:trPr>
          <w:trHeight w:val="2265"/>
        </w:trPr>
        <w:tc>
          <w:tcPr>
            <w:tcW w:w="1380" w:type="dxa"/>
            <w:vAlign w:val="center"/>
          </w:tcPr>
          <w:p w14:paraId="69E0A0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25a</w:t>
            </w:r>
          </w:p>
        </w:tc>
        <w:tc>
          <w:tcPr>
            <w:tcW w:w="7659" w:type="dxa"/>
            <w:vAlign w:val="center"/>
          </w:tcPr>
          <w:p w14:paraId="69E0A0B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Bruttosoliditetsgrad (bortsett från inverkan av tillämpliga tillfälliga undantag för centralbanksreserver) (%)</w:t>
            </w:r>
          </w:p>
          <w:p w14:paraId="69E0A0BF" w14:textId="5660B49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Om ett instituts totala exponeringsmått omfattas av det tillfälliga undantag för centralbanksreserver som fastställs i artikel 429a.1 n i förordning (EU) nr 575/2013 definieras denna bruttosoliditetsgrad som måttet på primärkapital dividerat med summan av det totala exponeringsmåttet och beloppet av undantaget för centralbanksreserver, med bruttosoliditetsgraden uttryckt som en procentandel.</w:t>
            </w:r>
          </w:p>
          <w:p w14:paraId="69E0A0C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Om institutets totala exponeringsmått inte omfattas av ett tillfälligt undantag för centralbanksreserver kommer denna bruttosoliditetsgrad att vara identisk med den som offentliggörs i rad 25.</w:t>
            </w:r>
          </w:p>
        </w:tc>
      </w:tr>
      <w:tr w:rsidR="002312DE" w:rsidRPr="007717F5" w14:paraId="69E0A0C6" w14:textId="77777777" w:rsidTr="009F3999">
        <w:trPr>
          <w:trHeight w:val="1152"/>
        </w:trPr>
        <w:tc>
          <w:tcPr>
            <w:tcW w:w="1380" w:type="dxa"/>
            <w:vAlign w:val="center"/>
          </w:tcPr>
          <w:p w14:paraId="69E0A0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26</w:t>
            </w:r>
          </w:p>
        </w:tc>
        <w:tc>
          <w:tcPr>
            <w:tcW w:w="7659" w:type="dxa"/>
            <w:vAlign w:val="center"/>
          </w:tcPr>
          <w:p w14:paraId="69E0A0C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Lagstadgade minimikrav på bruttosoliditetsgrad (%)</w:t>
            </w:r>
          </w:p>
          <w:p w14:paraId="69E0A0C4" w14:textId="2CD9CB31" w:rsidR="00646595" w:rsidRPr="007717F5" w:rsidRDefault="00646595" w:rsidP="17C07D06">
            <w:pPr>
              <w:widowControl w:val="0"/>
              <w:spacing w:after="120"/>
              <w:jc w:val="both"/>
              <w:rPr>
                <w:rFonts w:ascii="Times New Roman" w:eastAsia="Book Antiqua" w:hAnsi="Times New Roman" w:cs="Times New Roman"/>
                <w:sz w:val="24"/>
                <w:shd w:val="clear" w:color="auto" w:fill="FFFFFF"/>
              </w:rPr>
            </w:pPr>
            <w:r>
              <w:rPr>
                <w:rFonts w:ascii="Times New Roman" w:hAnsi="Times New Roman"/>
                <w:sz w:val="24"/>
              </w:rPr>
              <w:t>Artikel 92.1 d, artikel 429a.1 n och artikel 429a.7 i förordning (EU) nr 575/2013.</w:t>
            </w:r>
          </w:p>
          <w:p w14:paraId="69E0A0C5" w14:textId="7127224C" w:rsidR="00646595" w:rsidRPr="007717F5" w:rsidRDefault="00646595" w:rsidP="17C07D06">
            <w:pPr>
              <w:tabs>
                <w:tab w:val="left" w:pos="400"/>
              </w:tabs>
              <w:spacing w:after="120"/>
              <w:jc w:val="both"/>
              <w:rPr>
                <w:rFonts w:ascii="Times New Roman" w:hAnsi="Times New Roman" w:cs="Times New Roman"/>
                <w:sz w:val="24"/>
                <w:u w:val="single"/>
              </w:rPr>
            </w:pPr>
            <w:r>
              <w:rPr>
                <w:rFonts w:ascii="Times New Roman" w:hAnsi="Times New Roman"/>
                <w:sz w:val="24"/>
              </w:rPr>
              <w:t>Instituten ska offentliggöra kravet på bruttosoliditetsgrad som fastställs i artikel 92.1 d i förordning (EU) nr 575/2013.</w:t>
            </w:r>
            <w:r>
              <w:rPr>
                <w:rFonts w:ascii="Times New Roman" w:hAnsi="Times New Roman"/>
                <w:sz w:val="24"/>
                <w:shd w:val="clear" w:color="auto" w:fill="FFFFFF"/>
              </w:rPr>
              <w:t xml:space="preserve"> </w:t>
            </w:r>
            <w:r>
              <w:rPr>
                <w:rFonts w:ascii="Times New Roman" w:hAnsi="Times New Roman"/>
                <w:sz w:val="24"/>
              </w:rPr>
              <w:t>Om ett institut gör undantag för de exponeringar som avses i artikel 429a.1 n i förordning (EU) nr 575/2013 ska institutet offentliggöra det justerade bruttosoliditetskrav som beräknats i enlighet med artikel 429a.7 i förordning (EU) nr 575/2013.</w:t>
            </w:r>
          </w:p>
        </w:tc>
      </w:tr>
      <w:tr w:rsidR="002312DE" w:rsidRPr="007717F5" w14:paraId="69E0A0CA" w14:textId="77777777" w:rsidTr="009F3999">
        <w:trPr>
          <w:trHeight w:val="1792"/>
        </w:trPr>
        <w:tc>
          <w:tcPr>
            <w:tcW w:w="1380" w:type="dxa"/>
            <w:vAlign w:val="center"/>
          </w:tcPr>
          <w:p w14:paraId="69E0A0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EU-26a</w:t>
            </w:r>
          </w:p>
        </w:tc>
        <w:tc>
          <w:tcPr>
            <w:tcW w:w="7659" w:type="dxa"/>
          </w:tcPr>
          <w:p w14:paraId="69E0A0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rPr>
              <w:t xml:space="preserve">Ytterligare kapitalbaskrav för att hantera risken för alltför låg bruttosoliditet (%) </w:t>
            </w:r>
          </w:p>
          <w:p w14:paraId="69E0A0C9" w14:textId="055BB86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 ytterligare kapitalbaskrav för att hantera risken för alltför låg bruttosoliditet som införts av den behöriga myndigheten enligt artikel 104.1 a i direktiv 2013/36/EU (</w:t>
            </w:r>
            <w:r>
              <w:rPr>
                <w:rFonts w:ascii="Times New Roman" w:hAnsi="Times New Roman"/>
                <w:i/>
                <w:iCs/>
                <w:sz w:val="24"/>
              </w:rPr>
              <w:t>kapitalbaskravsdirektivet</w:t>
            </w:r>
            <w:r>
              <w:rPr>
                <w:rFonts w:ascii="Times New Roman" w:hAnsi="Times New Roman"/>
                <w:sz w:val="24"/>
              </w:rPr>
              <w:t>), uttryckta som en procentandel av det totala exponeringsmåttet</w:t>
            </w:r>
          </w:p>
        </w:tc>
      </w:tr>
      <w:tr w:rsidR="002312DE" w:rsidRPr="007717F5" w14:paraId="69E0A0CE" w14:textId="77777777" w:rsidTr="009F3999">
        <w:trPr>
          <w:trHeight w:val="1691"/>
        </w:trPr>
        <w:tc>
          <w:tcPr>
            <w:tcW w:w="1380" w:type="dxa"/>
            <w:vAlign w:val="center"/>
          </w:tcPr>
          <w:p w14:paraId="69E0A0C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EU-26b</w:t>
            </w:r>
          </w:p>
        </w:tc>
        <w:tc>
          <w:tcPr>
            <w:tcW w:w="7659" w:type="dxa"/>
          </w:tcPr>
          <w:p w14:paraId="69E0A0C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    varav: ska utgöras av kärnprimärkapital (procentenheter)</w:t>
            </w:r>
          </w:p>
          <w:p w14:paraId="69E0A0CD" w14:textId="529DADB5" w:rsidR="00646595" w:rsidRPr="007717F5" w:rsidRDefault="00646595" w:rsidP="17C07D06">
            <w:pPr>
              <w:spacing w:after="120"/>
              <w:jc w:val="both"/>
              <w:rPr>
                <w:rFonts w:ascii="Times New Roman" w:hAnsi="Times New Roman" w:cs="Times New Roman"/>
                <w:b/>
                <w:bCs/>
                <w:sz w:val="24"/>
              </w:rPr>
            </w:pPr>
            <w:r>
              <w:rPr>
                <w:rFonts w:ascii="Times New Roman" w:hAnsi="Times New Roman"/>
                <w:sz w:val="24"/>
              </w:rPr>
              <w:t>Den del av de ytterligare kapitalbaskrav för att hantera risken för alltför låg bruttosoliditet som införts av den behöriga myndigheten enligt artikel 104.1 a i direktiv 2013/36/EU, som måste uppfyllas med kärnprimärkapital i enlighet med artikel 104a.4 tredje stycket.</w:t>
            </w:r>
          </w:p>
        </w:tc>
      </w:tr>
      <w:tr w:rsidR="002312DE" w:rsidRPr="007717F5" w14:paraId="69E0A0D3" w14:textId="77777777" w:rsidTr="009F3999">
        <w:trPr>
          <w:trHeight w:val="1290"/>
        </w:trPr>
        <w:tc>
          <w:tcPr>
            <w:tcW w:w="1380" w:type="dxa"/>
            <w:vAlign w:val="center"/>
          </w:tcPr>
          <w:p w14:paraId="69E0A0C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27</w:t>
            </w:r>
          </w:p>
        </w:tc>
        <w:tc>
          <w:tcPr>
            <w:tcW w:w="7659" w:type="dxa"/>
          </w:tcPr>
          <w:p w14:paraId="69E0A0D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Krav på bruttosoliditetsbuffert (%)</w:t>
            </w:r>
          </w:p>
          <w:p w14:paraId="69E0A0D1" w14:textId="486B2CA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Artikel 92.1a i förordning (EU) nr 575/2013</w:t>
            </w:r>
          </w:p>
          <w:p w14:paraId="69E0A0D2" w14:textId="31B8712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rPr>
              <w:t>Institut som omfattas av artikel 92.1a i förordning (EU) nr 575/2013 ska offentliggöra sina tillämpliga krav på bruttosoliditetsbuffert.</w:t>
            </w:r>
          </w:p>
        </w:tc>
      </w:tr>
      <w:tr w:rsidR="002312DE" w:rsidRPr="007717F5" w14:paraId="69E0A0D7" w14:textId="77777777" w:rsidTr="009F3999">
        <w:trPr>
          <w:trHeight w:val="816"/>
        </w:trPr>
        <w:tc>
          <w:tcPr>
            <w:tcW w:w="1380" w:type="dxa"/>
            <w:vAlign w:val="center"/>
          </w:tcPr>
          <w:p w14:paraId="69E0A0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EU-27a</w:t>
            </w:r>
          </w:p>
        </w:tc>
        <w:tc>
          <w:tcPr>
            <w:tcW w:w="7659" w:type="dxa"/>
          </w:tcPr>
          <w:p w14:paraId="69E0A0D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Samlade bruttosoliditetskrav (%)</w:t>
            </w:r>
          </w:p>
          <w:p w14:paraId="69E0A0D6" w14:textId="77777777" w:rsidR="00646595" w:rsidRPr="007717F5"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Summan av raderna 26, EU-26a och 27 i denna mall</w:t>
            </w:r>
          </w:p>
        </w:tc>
      </w:tr>
      <w:tr w:rsidR="002312DE" w:rsidRPr="007717F5" w14:paraId="69E0A0DE" w14:textId="77777777" w:rsidTr="009F3999">
        <w:trPr>
          <w:trHeight w:val="416"/>
        </w:trPr>
        <w:tc>
          <w:tcPr>
            <w:tcW w:w="1380" w:type="dxa"/>
            <w:vAlign w:val="center"/>
          </w:tcPr>
          <w:p w14:paraId="69E0A0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EU-27b</w:t>
            </w:r>
          </w:p>
        </w:tc>
        <w:tc>
          <w:tcPr>
            <w:tcW w:w="7659" w:type="dxa"/>
          </w:tcPr>
          <w:p w14:paraId="69E0A0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Val av övergångsarrangemang för definition av kapitalmåttet</w:t>
            </w:r>
          </w:p>
          <w:p w14:paraId="69E0A0DA" w14:textId="2FF0548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499.2 i förordning (EU) nr 575/2013</w:t>
            </w:r>
          </w:p>
          <w:p w14:paraId="69E0A0D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ange sitt val av övergångsarrangemang för kapital med avseende på offentliggörandeskyldighet genom att offentliggöra en av följande två beteckningar:</w:t>
            </w:r>
          </w:p>
          <w:p w14:paraId="69E0A0DC" w14:textId="34025D5D"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”Fullt infasad” om institutet väljer att offentliggöra bruttosoliditetsgraden i enlighet med artikel 499.1 a i förordning (EU) nr 575/2013.</w:t>
            </w:r>
          </w:p>
          <w:p w14:paraId="69E0A0DD" w14:textId="637F29B6"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”Övergångsarrangemang” om institutet väljer att offentliggöra bruttosoliditetsgraden i enlighet med artikel 499.1 b i förordning (EU) nr 575/2013.</w:t>
            </w:r>
          </w:p>
        </w:tc>
      </w:tr>
      <w:tr w:rsidR="002312DE" w:rsidRPr="007717F5" w14:paraId="69E0A0E2" w14:textId="77777777" w:rsidTr="009F3999">
        <w:trPr>
          <w:trHeight w:val="1461"/>
        </w:trPr>
        <w:tc>
          <w:tcPr>
            <w:tcW w:w="1380" w:type="dxa"/>
            <w:vAlign w:val="center"/>
          </w:tcPr>
          <w:p w14:paraId="69E0A0D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 xml:space="preserve"> 28</w:t>
            </w:r>
          </w:p>
        </w:tc>
        <w:tc>
          <w:tcPr>
            <w:tcW w:w="7659" w:type="dxa"/>
            <w:vAlign w:val="center"/>
          </w:tcPr>
          <w:p w14:paraId="69E0A0E0"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Dagliga medelvärden av bruttotillgångar i transaktioner för värdepappersfinansiering efter justering för försäljningstransaktioner och nettning av förbundna kontantskulder och kontantfordringar</w:t>
            </w:r>
          </w:p>
          <w:p w14:paraId="69E0A0E1" w14:textId="2070195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Artikel 451.3 i förordning (EU) nr 575/2013;</w:t>
            </w:r>
            <w:r>
              <w:rPr>
                <w:rStyle w:val="TeksttreciPogrubienie"/>
                <w:rFonts w:ascii="Times New Roman" w:hAnsi="Times New Roman"/>
                <w:b w:val="0"/>
                <w:color w:val="auto"/>
                <w:sz w:val="24"/>
              </w:rPr>
              <w:t xml:space="preserve"> medelvärdet av summorna i raderna 14 och 15, baserat på de summor som beräknats varje dag under offentliggörandekvartalet</w:t>
            </w:r>
          </w:p>
        </w:tc>
      </w:tr>
      <w:tr w:rsidR="002312DE" w:rsidRPr="007717F5" w14:paraId="69E0A0E7" w14:textId="77777777" w:rsidTr="009F3999">
        <w:trPr>
          <w:trHeight w:val="2265"/>
        </w:trPr>
        <w:tc>
          <w:tcPr>
            <w:tcW w:w="1380" w:type="dxa"/>
            <w:vAlign w:val="center"/>
          </w:tcPr>
          <w:p w14:paraId="69E0A0E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29</w:t>
            </w:r>
          </w:p>
        </w:tc>
        <w:tc>
          <w:tcPr>
            <w:tcW w:w="7659" w:type="dxa"/>
            <w:vAlign w:val="center"/>
          </w:tcPr>
          <w:p w14:paraId="69E0A0E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Värdet vid kvartalsslut för bruttotillgångar i transaktioner för värdepappersfinansiering, efter justering för försäljningstransaktioner och efter nettning av belopp för kontantskulder och kontantfordringar</w:t>
            </w:r>
          </w:p>
          <w:p w14:paraId="69E0A0E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Om raderna 14 och 15 baseras på värden vid kvartalsslut ska detta belopp vara summan av raderna 14 och 15.</w:t>
            </w:r>
          </w:p>
          <w:p w14:paraId="69E0A0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Om raderna 14 och 15 baseras på medelvärden ska detta belopp vara summan av värdena vid kvartalsslut motsvarande innehållet i raderna 14 och 15.</w:t>
            </w:r>
          </w:p>
        </w:tc>
      </w:tr>
      <w:tr w:rsidR="002312DE" w:rsidRPr="007717F5" w14:paraId="69E0A0EC" w14:textId="77777777" w:rsidTr="009F3999">
        <w:trPr>
          <w:trHeight w:val="2265"/>
        </w:trPr>
        <w:tc>
          <w:tcPr>
            <w:tcW w:w="1380" w:type="dxa"/>
            <w:vAlign w:val="center"/>
          </w:tcPr>
          <w:p w14:paraId="69E0A0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w:t>
            </w:r>
          </w:p>
        </w:tc>
        <w:tc>
          <w:tcPr>
            <w:tcW w:w="7659" w:type="dxa"/>
            <w:vAlign w:val="center"/>
          </w:tcPr>
          <w:p w14:paraId="69E0A0E9"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Totalt exponeringsmått (inbegripet inverkan av tillämpliga tillfälliga undantag för centralbanksreserver) som omfattar medelvärden från rad 28 av bruttotillgångar i transaktioner för värdepappersfinansiering (efter justering för försäljningstransaktioner och efter nettning av belopp för kontantskulder och kontantfordringar)</w:t>
            </w:r>
          </w:p>
          <w:p w14:paraId="69E0A0EA" w14:textId="0788D98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Artikel 451.3 i förordning (EU) nr 575/2013</w:t>
            </w:r>
          </w:p>
          <w:p w14:paraId="69E0A0E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Totalt exponeringsmått (inbegripet inverkan av tillämpliga tillfälliga undantag för centralbanksreserver) med användning av medelvärden som beräknats varje dag under offentliggörandekvartalet för de belopp av exponeringsmåttet som hör samman med bruttotillgångar i transaktioner för värdepappersfinansiering (efter justering för försäljningstransaktioner och efter nettning av belopp för kontantskulder och kontantfordringar).</w:t>
            </w:r>
          </w:p>
        </w:tc>
      </w:tr>
      <w:tr w:rsidR="002312DE" w:rsidRPr="007717F5" w14:paraId="69E0A0F2" w14:textId="77777777" w:rsidTr="009F3999">
        <w:trPr>
          <w:trHeight w:val="2265"/>
        </w:trPr>
        <w:tc>
          <w:tcPr>
            <w:tcW w:w="1380" w:type="dxa"/>
            <w:vAlign w:val="center"/>
          </w:tcPr>
          <w:p w14:paraId="69E0A0E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30a</w:t>
            </w:r>
          </w:p>
        </w:tc>
        <w:tc>
          <w:tcPr>
            <w:tcW w:w="7659" w:type="dxa"/>
            <w:vAlign w:val="center"/>
          </w:tcPr>
          <w:p w14:paraId="69E0A0EE"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Totalt exponeringsmått (bortsett från inverkan av tillämpliga tillfälliga undantag för centralbanksreserver) som omfattar medelvärden från rad 28 av bruttotillgångar i transaktioner för värdepappersfinansiering (efter justering för försäljningstransaktioner och efter nettning av belopp för kontantskulder och kontantfordringar)</w:t>
            </w:r>
          </w:p>
          <w:p w14:paraId="69E0A0EF" w14:textId="280CD48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Artikel 451.3 i förordning (EU) nr 575/2013</w:t>
            </w:r>
          </w:p>
          <w:p w14:paraId="69E0A0F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Totalt exponeringsmått (bortsett från inverkan av tillämpliga tillfälliga undantag för centralbanksreserver) med användning av medelvärden som beräknats varje dag under offentliggörandekvartalet för de belopp av exponeringsmåttet som hör samman med bruttotillgångar i transaktioner för värdepappersfinansiering (efter justering för försäljningstransaktioner och efter nettning av belopp för kontantskulder och kontantfordringar).</w:t>
            </w:r>
          </w:p>
          <w:p w14:paraId="69E0A0F1"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b w:val="0"/>
                <w:color w:val="auto"/>
                <w:sz w:val="24"/>
              </w:rPr>
              <w:t>Om ett instituts totala exponeringsmått inte omfattas av ett tillfälligt undantag för centralbanksreserver kommer detta värde att vara identiskt med det värde som offentliggörs i rad 30 i denna mall.</w:t>
            </w:r>
          </w:p>
        </w:tc>
      </w:tr>
      <w:tr w:rsidR="002312DE" w:rsidRPr="007717F5" w14:paraId="69E0A0F6" w14:textId="77777777" w:rsidTr="009F3999">
        <w:trPr>
          <w:trHeight w:val="836"/>
        </w:trPr>
        <w:tc>
          <w:tcPr>
            <w:tcW w:w="1380" w:type="dxa"/>
            <w:vAlign w:val="center"/>
          </w:tcPr>
          <w:p w14:paraId="69E0A0F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w:t>
            </w:r>
          </w:p>
        </w:tc>
        <w:tc>
          <w:tcPr>
            <w:tcW w:w="7659" w:type="dxa"/>
            <w:vAlign w:val="center"/>
          </w:tcPr>
          <w:p w14:paraId="69E0A0F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Bruttosoliditetsgrad (inbegripet inverkan av tillämpliga tillfälliga undantag för centralbanksreserver) som omfattar medelvärden från rad 28 av bruttotillgångar i transaktioner för värdepappersfinansiering (efter justering för försäljningstransaktioner och efter nettning av belopp för kontantskulder och kontantfordringar)</w:t>
            </w:r>
          </w:p>
          <w:p w14:paraId="69E0A0F5" w14:textId="0F40F38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Artikel 451.3 i förordning (EU) nr 575/2013</w:t>
            </w:r>
          </w:p>
        </w:tc>
      </w:tr>
      <w:tr w:rsidR="002312DE" w:rsidRPr="007717F5" w14:paraId="69E0A0FA" w14:textId="77777777" w:rsidTr="009F3999">
        <w:trPr>
          <w:trHeight w:val="915"/>
        </w:trPr>
        <w:tc>
          <w:tcPr>
            <w:tcW w:w="1380" w:type="dxa"/>
            <w:vAlign w:val="center"/>
          </w:tcPr>
          <w:p w14:paraId="69E0A0F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31a</w:t>
            </w:r>
          </w:p>
        </w:tc>
        <w:tc>
          <w:tcPr>
            <w:tcW w:w="7659" w:type="dxa"/>
            <w:vAlign w:val="center"/>
          </w:tcPr>
          <w:p w14:paraId="69E0A0F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Bruttosoliditetsgrad (bortsett från inverkan av tillämpliga tillfälliga undantag för centralbanksreserver) som omfattar medelvärden från rad 28 av bruttotillgångar i transaktioner för värdepappersfinansiering (efter justering för försäljningstransaktioner och efter nettning av belopp för </w:t>
            </w:r>
            <w:r>
              <w:rPr>
                <w:rStyle w:val="TeksttreciPogrubienie"/>
                <w:rFonts w:ascii="Times New Roman" w:hAnsi="Times New Roman"/>
                <w:color w:val="auto"/>
                <w:sz w:val="24"/>
              </w:rPr>
              <w:lastRenderedPageBreak/>
              <w:t>kontantskulder och kontantfordringar)</w:t>
            </w:r>
          </w:p>
          <w:p w14:paraId="69E0A0F9" w14:textId="49CBC215"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Artikel 451.3 i förordning (EU) nr 575/2013</w:t>
            </w:r>
          </w:p>
        </w:tc>
      </w:tr>
    </w:tbl>
    <w:p w14:paraId="69E0A0FB" w14:textId="77777777" w:rsidR="00646595" w:rsidRPr="007717F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7717F5"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sz w:val="24"/>
        </w:rPr>
        <w:t xml:space="preserve">Mall EU LR3 – LRSpl: Uppdelning av exponeringar i balansräkningen (med undantag av derivat, transaktioner för värdepappersfinansiering och undantagna exponeringar). </w:t>
      </w:r>
      <w:r>
        <w:rPr>
          <w:rFonts w:ascii="Times New Roman" w:hAnsi="Times New Roman"/>
          <w:b w:val="0"/>
          <w:sz w:val="24"/>
        </w:rPr>
        <w:t>Fast format</w:t>
      </w:r>
    </w:p>
    <w:p w14:paraId="69E0A0FD" w14:textId="701FBE2E"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Instituten ska följa de instruktioner som ges i detta avsnitt för att fylla i mall LRSpl vid tillämpning av artikel 451.1 b i förordning (EU)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Rättsliga hänvisningar och instruktioner</w:t>
            </w:r>
          </w:p>
        </w:tc>
      </w:tr>
      <w:tr w:rsidR="002312DE" w:rsidRPr="007717F5" w14:paraId="69E0A102" w14:textId="77777777" w:rsidTr="009F3999">
        <w:trPr>
          <w:trHeight w:val="238"/>
        </w:trPr>
        <w:tc>
          <w:tcPr>
            <w:tcW w:w="1380" w:type="dxa"/>
            <w:shd w:val="clear" w:color="auto" w:fill="D9D9D9" w:themeFill="background1" w:themeFillShade="D9"/>
          </w:tcPr>
          <w:p w14:paraId="69E0A100"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Rad nr</w:t>
            </w:r>
          </w:p>
        </w:tc>
        <w:tc>
          <w:tcPr>
            <w:tcW w:w="7659" w:type="dxa"/>
            <w:shd w:val="clear" w:color="auto" w:fill="D9D9D9" w:themeFill="background1" w:themeFillShade="D9"/>
          </w:tcPr>
          <w:p w14:paraId="69E0A101"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Förklaring</w:t>
            </w:r>
          </w:p>
        </w:tc>
      </w:tr>
      <w:tr w:rsidR="002312DE" w:rsidRPr="007717F5" w14:paraId="69E0A106" w14:textId="77777777" w:rsidTr="009F3999">
        <w:trPr>
          <w:trHeight w:val="1161"/>
        </w:trPr>
        <w:tc>
          <w:tcPr>
            <w:tcW w:w="1380" w:type="dxa"/>
            <w:vAlign w:val="center"/>
          </w:tcPr>
          <w:p w14:paraId="69E0A10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w:t>
            </w:r>
          </w:p>
        </w:tc>
        <w:tc>
          <w:tcPr>
            <w:tcW w:w="7659" w:type="dxa"/>
          </w:tcPr>
          <w:p w14:paraId="69E0A10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Sammanlagda exponeringar i balansräkningen (med undantag av derivat, transaktioner för värdepappersfinansiering och undantagna exponeringar) varav:</w:t>
            </w:r>
          </w:p>
          <w:p w14:paraId="69E0A10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summan av beloppen i raderna EU-2 och EU-3 i mall EU LR3-LRSpl.</w:t>
            </w:r>
          </w:p>
        </w:tc>
      </w:tr>
      <w:tr w:rsidR="002312DE" w:rsidRPr="007717F5" w14:paraId="69E0A10A" w14:textId="77777777" w:rsidTr="009F3999">
        <w:trPr>
          <w:trHeight w:val="1438"/>
        </w:trPr>
        <w:tc>
          <w:tcPr>
            <w:tcW w:w="1380" w:type="dxa"/>
            <w:vAlign w:val="center"/>
          </w:tcPr>
          <w:p w14:paraId="69E0A10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w:t>
            </w:r>
          </w:p>
        </w:tc>
        <w:tc>
          <w:tcPr>
            <w:tcW w:w="7659" w:type="dxa"/>
          </w:tcPr>
          <w:p w14:paraId="69E0A10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Exponeringar i handelslagret</w:t>
            </w:r>
          </w:p>
          <w:p w14:paraId="69E0A10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de exponeringar som är en del av det totala exponeringsvärdet för tillgångar som ingår i handelslagret, med undantag av derivat, transaktioner för värdepappersfinansiering och undantagna exponeringar.</w:t>
            </w:r>
          </w:p>
        </w:tc>
      </w:tr>
      <w:tr w:rsidR="002312DE" w:rsidRPr="007717F5" w14:paraId="69E0A10E" w14:textId="77777777" w:rsidTr="009F3999">
        <w:trPr>
          <w:trHeight w:val="438"/>
        </w:trPr>
        <w:tc>
          <w:tcPr>
            <w:tcW w:w="1380" w:type="dxa"/>
            <w:vAlign w:val="center"/>
          </w:tcPr>
          <w:p w14:paraId="69E0A10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EU-3</w:t>
            </w:r>
          </w:p>
        </w:tc>
        <w:tc>
          <w:tcPr>
            <w:tcW w:w="7659" w:type="dxa"/>
          </w:tcPr>
          <w:p w14:paraId="69E0A10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Exponeringar utanför handelslagret, varav:</w:t>
            </w:r>
          </w:p>
          <w:p w14:paraId="69E0A10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summan av värdena i raderna EU-4 till EU-12 i mall EU LR3-LRSpl.</w:t>
            </w:r>
          </w:p>
        </w:tc>
      </w:tr>
      <w:tr w:rsidR="002312DE" w:rsidRPr="007717F5" w14:paraId="69E0A113" w14:textId="77777777" w:rsidTr="009F3999">
        <w:trPr>
          <w:trHeight w:val="1956"/>
        </w:trPr>
        <w:tc>
          <w:tcPr>
            <w:tcW w:w="1380" w:type="dxa"/>
            <w:vAlign w:val="center"/>
          </w:tcPr>
          <w:p w14:paraId="69E0A10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EU-4</w:t>
            </w:r>
          </w:p>
        </w:tc>
        <w:tc>
          <w:tcPr>
            <w:tcW w:w="7659" w:type="dxa"/>
          </w:tcPr>
          <w:p w14:paraId="69E0A11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Säkerställda obligationer</w:t>
            </w:r>
          </w:p>
          <w:p w14:paraId="69E0A111" w14:textId="1F8DC3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summan av exponeringar, vilken motsvarar det totala exponeringsvärdet för tillgångar i form av säkerställda obligationer enligt definitionen i artikel 129 och i artikel 161.1 d i förordning (EU) nr 575/2013.</w:t>
            </w:r>
          </w:p>
          <w:p w14:paraId="69E0A112"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Instituten ska offentliggöra den totala exponeringen i form av säkerställda obligationer utan fallerad exponering.</w:t>
            </w:r>
          </w:p>
        </w:tc>
      </w:tr>
      <w:tr w:rsidR="002312DE" w:rsidRPr="007717F5" w14:paraId="69E0A118" w14:textId="77777777" w:rsidTr="009F3999">
        <w:trPr>
          <w:trHeight w:val="2265"/>
        </w:trPr>
        <w:tc>
          <w:tcPr>
            <w:tcW w:w="1380" w:type="dxa"/>
            <w:vAlign w:val="center"/>
          </w:tcPr>
          <w:p w14:paraId="69E0A11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EU-5</w:t>
            </w:r>
          </w:p>
        </w:tc>
        <w:tc>
          <w:tcPr>
            <w:tcW w:w="7659" w:type="dxa"/>
          </w:tcPr>
          <w:p w14:paraId="69E0A11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Exponeringar som hanteras som exponeringar mot suveräna stater</w:t>
            </w:r>
          </w:p>
          <w:p w14:paraId="69E0A116" w14:textId="1BA4E3DF"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summan av exponeringar, vilken motsvarar det totala exponeringsvärdet mot enheter som behandlas som suveräna stater i enlighet med förordning (EU) nr 575/2013 (nationella regeringar och centralbanker (artikel 114 och i artikel 147.2 a i förordning (EU) nr 575/2013), delstatliga och lokala självstyrelseorgan och myndigheter som behandlas som suveräna stater (artikel 115.2 och 115.4 samt artikel 147.3 a i förordning (EU) nr 575/2013), multilaterala utvecklingsbanker och internationella organisationer som behandlas som suveräna stater (artiklarna 117.2 och 118 samt artikel 147.3 b och c i förordning (EU) nr 575/2013), offentliga organ (artikel 116.4 och artikel 147.3 a i förordning (EU) nr 575/2013))</w:t>
            </w:r>
          </w:p>
          <w:p w14:paraId="69E0A117"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lastRenderedPageBreak/>
              <w:t>Instituten ska offentliggöra den totala exponeringen mot suveräna stater utan fallerad exponering.</w:t>
            </w:r>
          </w:p>
        </w:tc>
      </w:tr>
      <w:tr w:rsidR="002312DE" w:rsidRPr="007717F5" w14:paraId="69E0A11D" w14:textId="77777777" w:rsidTr="009F3999">
        <w:trPr>
          <w:trHeight w:val="1121"/>
        </w:trPr>
        <w:tc>
          <w:tcPr>
            <w:tcW w:w="1380" w:type="dxa"/>
            <w:vAlign w:val="center"/>
          </w:tcPr>
          <w:p w14:paraId="69E0A11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EU-6</w:t>
            </w:r>
          </w:p>
        </w:tc>
        <w:tc>
          <w:tcPr>
            <w:tcW w:w="7659" w:type="dxa"/>
          </w:tcPr>
          <w:p w14:paraId="69E0A1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Exponeringar mot delstatliga självstyrelseorgan, multilaterala utvecklingsbanker, internationella organisationer och offentliga organ som inte behandlas som exponeringar mot suveräna stater</w:t>
            </w:r>
          </w:p>
          <w:p w14:paraId="69E0A11B" w14:textId="0C354BAB" w:rsidR="00646595" w:rsidRPr="007717F5" w:rsidRDefault="00646595" w:rsidP="17C07D06">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Instituten ska offentliggöra summan av exponeringar, vilken motsvarar det totala exponeringsvärdet mot delstatliga och lokala självstyrelseorgan och myndigheter enligt definitionen i artikel 115.1, 115.3 och 115.5 i förordning (EU) nr 575/2013 för exponeringar enligt schablonmetoden och i artikel 147.4 a i förordning (EU) nr 575/2013 för exponeringar enligt internmetoden; mot multilaterala utvecklingsbanker enligt definitionen i artikel 117.1 och 117.3 i förordning (EU) nr 575/2013 för exponeringar enligt schablonmetoden och i artikel 147.4 c i förordning (EU) nr 575/2013 för exponeringar enligt internmetoden, mot internationella organisationer och offentliga organ enligt definitionen i artikel 116.1, 116.2, 116.3 och 116.5 i förordning (EU) nr 575/2013 för exponeringar enligt schablonmetoden och i artikel 147.4 b i förordning (EU) nr 575/2013 för exponeringar enligt internmetoden, som inte behandlas som suveräna stater enligt förordning (EU) nr 575/2013.</w:t>
            </w:r>
          </w:p>
          <w:p w14:paraId="69E0A11C"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Instituten ska offentliggöra den ovannämnda totala exponeringen utan fallerad exponering.</w:t>
            </w:r>
          </w:p>
        </w:tc>
      </w:tr>
      <w:tr w:rsidR="002312DE" w:rsidRPr="007717F5" w14:paraId="69E0A122" w14:textId="77777777" w:rsidTr="009F3999">
        <w:trPr>
          <w:trHeight w:val="416"/>
        </w:trPr>
        <w:tc>
          <w:tcPr>
            <w:tcW w:w="1380" w:type="dxa"/>
            <w:vAlign w:val="center"/>
          </w:tcPr>
          <w:p w14:paraId="69E0A11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EU-7</w:t>
            </w:r>
          </w:p>
        </w:tc>
        <w:tc>
          <w:tcPr>
            <w:tcW w:w="7659" w:type="dxa"/>
          </w:tcPr>
          <w:p w14:paraId="69E0A1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Institut</w:t>
            </w:r>
          </w:p>
          <w:p w14:paraId="69E0A120" w14:textId="1CE5468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Instituten ska offentliggöra summan av exponeringar, vilken motsvarar exponeringsvärdet för exponeringar mot institut som omfattas av artiklarna 119–121 i förordning (EU) nr 575/2013 för exponeringar enligt schablonmetoden, och som omfattas av artikel 147.2 b i förordning (EU) nr 575/2013, som inte är exponeringar i form av säkerställda obligationer enligt artikel 161.1 d i förordning (EU) nr 575/2013 och som inte omfattas av artikel 147.4 a–c i förordning (EU) nr 575/2013 för exponeringar enligt internmetoden.</w:t>
            </w:r>
          </w:p>
          <w:p w14:paraId="69E0A121"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Instituten ska offentliggöra den totala exponeringen utan fallerad exponering.</w:t>
            </w:r>
          </w:p>
        </w:tc>
      </w:tr>
      <w:tr w:rsidR="002312DE" w:rsidRPr="007717F5" w14:paraId="69E0A127" w14:textId="77777777" w:rsidTr="009F3999">
        <w:trPr>
          <w:trHeight w:val="2265"/>
        </w:trPr>
        <w:tc>
          <w:tcPr>
            <w:tcW w:w="1380" w:type="dxa"/>
            <w:vAlign w:val="center"/>
          </w:tcPr>
          <w:p w14:paraId="69E0A12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EU-8</w:t>
            </w:r>
          </w:p>
        </w:tc>
        <w:tc>
          <w:tcPr>
            <w:tcW w:w="7659" w:type="dxa"/>
          </w:tcPr>
          <w:p w14:paraId="69E0A12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Säkrade genom panträtt i fastigheter</w:t>
            </w:r>
          </w:p>
          <w:p w14:paraId="69E0A125" w14:textId="1DF4863A"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Instituten ska offentliggöra summan av exponeringar, vilken motsvarar exponeringsvärdet för tillgångar som är exponeringar som säkrats genom panträtt i fastigheter som omfattas av artikel 124 i förordning (EU) nr 575/2013 för exponeringar enligt schablonmetoden, och som är exponeringar mot företag enligt artikel 147.2 c i förordning (EU) nr 575/2013 eller exponeringar mot hushåll enligt artikel 147.2 d i förordning (EU) nr 575/2013 om dessa exponeringar är säkrade genom panträtt i fastigheter i enlighet med artikel 199.1 a i förordning (EU) nr 575/2013 för exponeringar enligt internmetoden. </w:t>
            </w:r>
          </w:p>
          <w:p w14:paraId="69E0A126"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lastRenderedPageBreak/>
              <w:t>Instituten ska offentliggöra den totala exponeringen utan fallerad exponering.</w:t>
            </w:r>
          </w:p>
        </w:tc>
      </w:tr>
      <w:tr w:rsidR="002312DE" w:rsidRPr="007717F5" w14:paraId="69E0A12C" w14:textId="77777777" w:rsidTr="009F3999">
        <w:trPr>
          <w:trHeight w:val="2265"/>
        </w:trPr>
        <w:tc>
          <w:tcPr>
            <w:tcW w:w="1380" w:type="dxa"/>
            <w:vAlign w:val="center"/>
          </w:tcPr>
          <w:p w14:paraId="69E0A12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w:t>
            </w:r>
          </w:p>
        </w:tc>
        <w:tc>
          <w:tcPr>
            <w:tcW w:w="7659" w:type="dxa"/>
          </w:tcPr>
          <w:p w14:paraId="69E0A1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Hushållsexponeringar</w:t>
            </w:r>
          </w:p>
          <w:p w14:paraId="69E0A12A" w14:textId="2B0AE4A6"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Instituten ska offentliggöra summan av exponeringar, vilken motsvarar det totala exponeringsvärdet för tillgångar som är hushållsexponeringar enligt artikel 123 i förordning (EU) nr 575/2013 för exponeringar enligt schablonmetoden och som är exponeringar enligt artikel 147.2 d i förordning (EU) nr 575/2013, om dessa exponeringar </w:t>
            </w:r>
            <w:r>
              <w:rPr>
                <w:rFonts w:ascii="Times New Roman" w:hAnsi="Times New Roman"/>
                <w:b/>
                <w:color w:val="auto"/>
                <w:sz w:val="24"/>
                <w:u w:val="single"/>
              </w:rPr>
              <w:t>inte</w:t>
            </w:r>
            <w:r>
              <w:rPr>
                <w:rFonts w:ascii="Times New Roman" w:hAnsi="Times New Roman"/>
                <w:color w:val="auto"/>
                <w:sz w:val="24"/>
              </w:rPr>
              <w:t xml:space="preserve"> är säkrade genom panträtt i fastigheter i enlighet med artikel 199.1 a i förordning (EU) nr 575/2013, för exponeringar enligt internmetoden. </w:t>
            </w:r>
          </w:p>
          <w:p w14:paraId="69E0A12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den totala exponeringen utan fallerad exponering.</w:t>
            </w:r>
          </w:p>
        </w:tc>
      </w:tr>
      <w:tr w:rsidR="002312DE" w:rsidRPr="007717F5" w14:paraId="69E0A133" w14:textId="77777777" w:rsidTr="009F3999">
        <w:trPr>
          <w:trHeight w:val="625"/>
        </w:trPr>
        <w:tc>
          <w:tcPr>
            <w:tcW w:w="1380" w:type="dxa"/>
            <w:vAlign w:val="center"/>
          </w:tcPr>
          <w:p w14:paraId="69E0A12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w:t>
            </w:r>
          </w:p>
        </w:tc>
        <w:tc>
          <w:tcPr>
            <w:tcW w:w="7659" w:type="dxa"/>
          </w:tcPr>
          <w:p w14:paraId="69E0A12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Företag</w:t>
            </w:r>
          </w:p>
          <w:p w14:paraId="69E0A12F" w14:textId="1B36858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Instituten ska offentliggöra summan av exponeringar, vilken motsvarar det totala exponeringsvärdet för tillgångar som är företagsexponeringar (dvs. finansiella och icke finansiella). För exponeringar enligt schablonmetoden avses exponeringar mot företag som omfattas av artikel 122 i förordning (EU) nr 575/2013, och för exponeringar enligt internmetoden avses exponeringar mot företag enligt artikel 147.2 c i förordning (EU) nr 575/2013, om dessa exponeringar </w:t>
            </w:r>
            <w:r>
              <w:rPr>
                <w:rFonts w:ascii="Times New Roman" w:hAnsi="Times New Roman"/>
                <w:b/>
                <w:sz w:val="24"/>
                <w:u w:val="single"/>
              </w:rPr>
              <w:t>inte</w:t>
            </w:r>
            <w:r>
              <w:rPr>
                <w:rFonts w:ascii="Times New Roman" w:hAnsi="Times New Roman"/>
                <w:sz w:val="24"/>
              </w:rPr>
              <w:t xml:space="preserve"> är säkrade genom panträtt i fastigheter i enlighet med artikel 199.1 a i förordning (EU) nr 575/2013.</w:t>
            </w:r>
          </w:p>
          <w:p w14:paraId="69E0A130" w14:textId="45AC6532"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Med finansiella företag avses reglerade och oreglerade företag, bortsett från institut som avses i EU-7 i denna mall, vars huvudsakliga verksamhet är att förvärva innehav eller bedriva en eller flera av de aktiviteter som förtecknas i bilaga I till kapitalkravsdirektivet, såväl som företag enligt definitionen i artikel 4.1.27 i förordning (EU) nr 575/2013, bortsett från institut som avses i EU-7 i denna mall.</w:t>
            </w:r>
          </w:p>
          <w:p w14:paraId="69E0A131" w14:textId="4B0BACF1"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I denna cell tillämpas definitionen av små och medelstora företag i enlighet med artikel 501.2 b i förordning (EU) nr 575/2013.</w:t>
            </w:r>
          </w:p>
          <w:p w14:paraId="69E0A13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den totala exponeringen utan fallerad exponering.</w:t>
            </w:r>
          </w:p>
        </w:tc>
      </w:tr>
      <w:tr w:rsidR="002312DE" w:rsidRPr="007717F5" w14:paraId="69E0A137" w14:textId="77777777" w:rsidTr="009F3999">
        <w:trPr>
          <w:trHeight w:val="1729"/>
        </w:trPr>
        <w:tc>
          <w:tcPr>
            <w:tcW w:w="1380" w:type="dxa"/>
            <w:vAlign w:val="center"/>
          </w:tcPr>
          <w:p w14:paraId="69E0A13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w:t>
            </w:r>
          </w:p>
        </w:tc>
        <w:tc>
          <w:tcPr>
            <w:tcW w:w="7659" w:type="dxa"/>
          </w:tcPr>
          <w:p w14:paraId="69E0A13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Fallerande exponeringar</w:t>
            </w:r>
          </w:p>
          <w:p w14:paraId="69E0A136" w14:textId="18E90D6D"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Instituten ska offentliggöra summan av exponeringar, vilken motsvarar det totala exponeringsvärdet av tillgångar som är fallerande och som – för exponeringar enligt schablonmetoden – omfattas av artikel 127 i förordning (EU) nr 575/2013 eller, när det gäller exponeringar enligt internmetoden, kategoriseras i de exponeringsklasser som förtecknas i artikel 147.2 i förordning (EU) nr 575/2013 om ett fallissemang i enlighet med artikel 178 i förordning (EU) nr 575/2013 har inträffat.</w:t>
            </w:r>
          </w:p>
        </w:tc>
      </w:tr>
      <w:tr w:rsidR="002312DE" w:rsidRPr="007717F5" w14:paraId="69E0A13B" w14:textId="77777777" w:rsidTr="009F3999">
        <w:trPr>
          <w:trHeight w:val="992"/>
        </w:trPr>
        <w:tc>
          <w:tcPr>
            <w:tcW w:w="1380" w:type="dxa"/>
            <w:vAlign w:val="center"/>
          </w:tcPr>
          <w:p w14:paraId="69E0A13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EU-12</w:t>
            </w:r>
          </w:p>
        </w:tc>
        <w:tc>
          <w:tcPr>
            <w:tcW w:w="7659" w:type="dxa"/>
          </w:tcPr>
          <w:p w14:paraId="69E0A13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Övriga exponeringar (t.ex. aktier, värdepapperiseringar och övriga motpartslösa tillgångar)</w:t>
            </w:r>
          </w:p>
          <w:p w14:paraId="69E0A13A" w14:textId="0BF483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Instituten ska offentliggöra summan av exponeringar, vilken motsvarar det totala exponeringsvärdet för övriga exponeringar utanför handelslagret enligt förordning (EU) nr 575/2013 (t.ex. aktier, värdepapperiseringar och motpartslösa tillgångar; när det gäller exponeringar enligt schablonmetoden avses tillgångar som kategoriseras i de exponeringsklasser som förtecknas i artikel 112 k, m, n, o, p och q i förordning (EU) nr 575/2013, och när det gäller exponeringar enligt internmetoden de som förtecknas i artikel 147.2 e, f och g i förordning (EU) nr 575/2013). Instituten ska inkludera tillgångar som dras av för att fastställa primärkapital och som därför offentliggörs i rad 2 i mall EU LR2-LRCom, såvida dessa tillgångar inte ingår i raderna EU-2 och EU-4 till EU-11 i mall EU LR3-LRSpl.</w:t>
            </w:r>
          </w:p>
        </w:tc>
      </w:tr>
    </w:tbl>
    <w:p w14:paraId="69E0A13C" w14:textId="77777777" w:rsidR="00646595" w:rsidRPr="007717F5" w:rsidRDefault="00646595" w:rsidP="00646595">
      <w:pPr>
        <w:spacing w:after="120"/>
        <w:rPr>
          <w:rFonts w:ascii="Times New Roman" w:hAnsi="Times New Roman" w:cs="Times New Roman"/>
          <w:sz w:val="24"/>
        </w:rPr>
      </w:pPr>
    </w:p>
    <w:p w14:paraId="69E0A13D" w14:textId="77777777" w:rsidR="00646595" w:rsidRPr="007717F5"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Pr>
          <w:rFonts w:ascii="Times New Roman" w:hAnsi="Times New Roman"/>
          <w:sz w:val="24"/>
        </w:rPr>
        <w:t xml:space="preserve">Tabell EU LRA – Offentliggörande av kvalitativ information om bruttosoliditetsgraden. </w:t>
      </w:r>
      <w:r>
        <w:rPr>
          <w:rFonts w:ascii="Times New Roman" w:hAnsi="Times New Roman"/>
          <w:b w:val="0"/>
          <w:sz w:val="24"/>
        </w:rPr>
        <w:t>Fält för fri text om offentliggörande av kvalitativ information</w:t>
      </w:r>
    </w:p>
    <w:p w14:paraId="69E0A13E" w14:textId="1920A526" w:rsidR="00646595" w:rsidRPr="007717F5"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Pr>
          <w:rFonts w:ascii="Times New Roman" w:hAnsi="Times New Roman"/>
          <w:sz w:val="24"/>
        </w:rPr>
        <w:t>Instituten ska fylla i tabell</w:t>
      </w:r>
      <w:r>
        <w:rPr>
          <w:rFonts w:ascii="Times New Roman" w:hAnsi="Times New Roman"/>
        </w:rPr>
        <w:tab/>
      </w:r>
      <w:r>
        <w:rPr>
          <w:rFonts w:ascii="Times New Roman" w:hAnsi="Times New Roman"/>
          <w:sz w:val="24"/>
        </w:rPr>
        <w:t xml:space="preserve"> EU LRA genom att följa nedanstående instruktioner vid tillämpning av artikel 451.1 d och e i förordning (EU) nr 575/2013.</w:t>
      </w:r>
    </w:p>
    <w:p w14:paraId="69E0A13F" w14:textId="77777777" w:rsidR="00646595" w:rsidRPr="007717F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Rättsliga hänvisningar och instruktioner</w:t>
            </w:r>
          </w:p>
        </w:tc>
      </w:tr>
      <w:tr w:rsidR="002312DE" w:rsidRPr="007717F5" w14:paraId="69E0A144" w14:textId="77777777" w:rsidTr="17C07D06">
        <w:trPr>
          <w:trHeight w:val="238"/>
        </w:trPr>
        <w:tc>
          <w:tcPr>
            <w:tcW w:w="1384" w:type="dxa"/>
            <w:shd w:val="clear" w:color="auto" w:fill="D9D9D9" w:themeFill="background1" w:themeFillShade="D9"/>
          </w:tcPr>
          <w:p w14:paraId="69E0A142"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Rad nr</w:t>
            </w:r>
          </w:p>
        </w:tc>
        <w:tc>
          <w:tcPr>
            <w:tcW w:w="7655" w:type="dxa"/>
            <w:shd w:val="clear" w:color="auto" w:fill="D9D9D9" w:themeFill="background1" w:themeFillShade="D9"/>
          </w:tcPr>
          <w:p w14:paraId="69E0A143"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Förklaring</w:t>
            </w:r>
          </w:p>
        </w:tc>
      </w:tr>
      <w:tr w:rsidR="002312DE" w:rsidRPr="007717F5" w14:paraId="69E0A14D" w14:textId="77777777" w:rsidTr="17C07D06">
        <w:trPr>
          <w:trHeight w:val="805"/>
        </w:trPr>
        <w:tc>
          <w:tcPr>
            <w:tcW w:w="1384" w:type="dxa"/>
          </w:tcPr>
          <w:p w14:paraId="69E0A14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a)</w:t>
            </w:r>
          </w:p>
        </w:tc>
        <w:tc>
          <w:tcPr>
            <w:tcW w:w="7655" w:type="dxa"/>
          </w:tcPr>
          <w:p w14:paraId="69E0A14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En beskrivning av vilka åtgärder som vidtas för att hantera risken för alltför låg bruttosoliditet</w:t>
            </w:r>
          </w:p>
          <w:p w14:paraId="69E0A147" w14:textId="1D4D81C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 Artikel 451.1 d i förordning (EU) nr 575/2013.</w:t>
            </w:r>
          </w:p>
          <w:p w14:paraId="69E0A1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”Beskrivning av vilka åtgärder som vidtas för att hantera risken för alltför låg bruttosoliditet” ska innehålla relevant information om följande:</w:t>
            </w:r>
          </w:p>
          <w:p w14:paraId="69E0A149" w14:textId="77777777"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Förfaranden och resurser som används för att bedöma risken för alltför låg bruttosoliditet.</w:t>
            </w:r>
          </w:p>
          <w:p w14:paraId="69E0A14A" w14:textId="41786312"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Kvantitativa verktyg som används för att bedöma risken för alltför låg bruttosoliditet, inbegripet uppgifter om potentiella inre mål och huruvida andra indikatorer än bruttosoliditetsgraden används.</w:t>
            </w:r>
          </w:p>
          <w:p w14:paraId="69E0A14B" w14:textId="77777777" w:rsidR="00646595" w:rsidRPr="007717F5"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c) De sätt på vilka löptidsobalanser och inteckning av tillgångar beaktas vid hanteringen av alltför låg bruttosoliditet.</w:t>
            </w:r>
          </w:p>
          <w:p w14:paraId="69E0A14C" w14:textId="77777777" w:rsidR="00646595" w:rsidRPr="007717F5"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rPr>
              <w:t>d) Förfaranden för att reagera på förändringar av bruttosoliditeten, inbegripet förfaranden och tidsplaner för en potentiell ökning av kärnprimärkapitalet för att hantera risken för alltför låg bruttosoliditet, eller förfaranden och tidsplaner för att justera nämnaren i bruttosoliditeten (exponeringsmåttet) för att hantera risken för alltför låg bruttosoliditet.</w:t>
            </w:r>
          </w:p>
        </w:tc>
      </w:tr>
      <w:tr w:rsidR="00646595" w:rsidRPr="002312DE" w14:paraId="69E0A157" w14:textId="77777777" w:rsidTr="17C07D06">
        <w:trPr>
          <w:trHeight w:val="2265"/>
        </w:trPr>
        <w:tc>
          <w:tcPr>
            <w:tcW w:w="1384" w:type="dxa"/>
          </w:tcPr>
          <w:p w14:paraId="69E0A1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b)</w:t>
            </w:r>
          </w:p>
        </w:tc>
        <w:tc>
          <w:tcPr>
            <w:tcW w:w="7655" w:type="dxa"/>
          </w:tcPr>
          <w:p w14:paraId="69E0A1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En beskrivning av de faktorer som har påverkat bruttosoliditeten under den period som den offentliggjorda bruttosoliditeten avser</w:t>
            </w:r>
          </w:p>
          <w:p w14:paraId="69E0A150" w14:textId="427D70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451.1 e i förordning (EU) nr 575/2013.</w:t>
            </w:r>
          </w:p>
          <w:p w14:paraId="69E0A1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”Beskrivning av de faktorer som har påverkat bruttosoliditeten under den period som den offentliggjorda bruttosoliditeten avser” ska omfatta väsentlig information om följande:</w:t>
            </w:r>
          </w:p>
          <w:p w14:paraId="69E0A152"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Kvantifiering av förändringen i bruttosoliditeten sedan det föregående offentliggörandets referensdatum.</w:t>
            </w:r>
          </w:p>
          <w:p w14:paraId="69E0A153"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Huvudfaktorerna i bruttosoliditeten sedan det föregående offentliggörandets referensdatum med förklarande kommentarer om</w:t>
            </w:r>
          </w:p>
          <w:p w14:paraId="69E0A154"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1) förändringens art och huruvida det var en förändring i bruttosoliditetens täljare, nämnare eller båda delarna,</w:t>
            </w:r>
          </w:p>
          <w:p w14:paraId="69E0A155" w14:textId="77777777" w:rsidR="00646595" w:rsidRPr="007717F5"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2) huruvida den berodde på ett internt strategiskt beslut och, i så fall, huruvida det strategiska beslutet direkt avsåg bruttosoliditeten eller om det endast indirekt påverkade bruttosoliditeten,</w:t>
            </w:r>
          </w:p>
          <w:p w14:paraId="69E0A156"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3) de viktigaste yttre faktorerna med koppling till den ekonomiska och finansiella miljön som påverkade bruttosoliditeten.</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t>1</w:t>
        </w:r>
        <w: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3555030" w:rsidR="00646595" w:rsidRPr="00222AAB" w:rsidRDefault="00646595" w:rsidP="00646595">
      <w:pPr>
        <w:pStyle w:val="FootnoteText"/>
        <w:rPr>
          <w:rFonts w:cstheme="minorHAnsi"/>
        </w:rPr>
      </w:pPr>
      <w:r>
        <w:rPr>
          <w:rStyle w:val="FootnoteReference"/>
          <w:rFonts w:cstheme="minorHAnsi"/>
        </w:rPr>
        <w:footnoteRef/>
      </w:r>
      <w:r>
        <w:tab/>
        <w:t>Europaparlamentets och rådets förordning (EU) nr 575/2013 av den 26 juni 2013 om tillsynskrav för kreditinstitut och om ändring av förordning (EU) nr 648/2012, i dess lydelse enligt förordning (EU) 2024/1623 (</w:t>
      </w:r>
      <w:hyperlink r:id="rId1" w:history="1">
        <w:r>
          <w:rPr>
            <w:rStyle w:val="Hyperlink"/>
            <w:color w:val="800080"/>
          </w:rPr>
          <w:t>EUT L 176, 27.6.2013, s. 1</w:t>
        </w:r>
      </w:hyperlink>
      <w:r>
        <w:t>,</w:t>
      </w:r>
      <w:r>
        <w:rPr>
          <w:color w:val="800080"/>
          <w:u w:val="single"/>
        </w:rPr>
        <w:t xml:space="preserve"> </w:t>
      </w:r>
      <w:hyperlink r:id="rId2" w:history="1">
        <w:r>
          <w:rPr>
            <w:rStyle w:val="Hyperlink"/>
          </w:rPr>
          <w:t>förordning 2024/1623 – SV – EUR-Lex (europa.eu)</w:t>
        </w:r>
      </w:hyperlink>
      <w:r>
        <w:rPr>
          <w:color w:val="44444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47EA58B" id="_x0000_t202" coordsize="21600,21600" o:spt="202" path="m,l,21600r21600,l21600,xe">
              <v:stroke joinstyle="miter"/>
              <v:path gradientshapeok="t" o:connecttype="rect"/>
            </v:shapetype>
            <v:shape id="Text Box 577169965" o:spid="_x0000_s1026"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C9B6221" id="_x0000_t202" coordsize="21600,21600" o:spt="202" path="m,l,21600r21600,l21600,xe">
              <v:stroke joinstyle="miter"/>
              <v:path gradientshapeok="t" o:connecttype="rect"/>
            </v:shapetype>
            <v:shape id="Text Box 24114098"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6BEBC4F" id="_x0000_t202" coordsize="21600,21600" o:spt="202" path="m,l,21600r21600,l21600,xe">
              <v:stroke joinstyle="miter"/>
              <v:path gradientshapeok="t" o:connecttype="rect"/>
            </v:shapetype>
            <v:shape id="Text Box 911846403"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F4AA2"/>
    <w:rsid w:val="0015423D"/>
    <w:rsid w:val="001769C9"/>
    <w:rsid w:val="00192053"/>
    <w:rsid w:val="001CBA06"/>
    <w:rsid w:val="001E11E0"/>
    <w:rsid w:val="00203F2E"/>
    <w:rsid w:val="00215C28"/>
    <w:rsid w:val="00221920"/>
    <w:rsid w:val="002312DE"/>
    <w:rsid w:val="00241128"/>
    <w:rsid w:val="002422C8"/>
    <w:rsid w:val="002603AF"/>
    <w:rsid w:val="002B7F3A"/>
    <w:rsid w:val="002C6168"/>
    <w:rsid w:val="002D2FF1"/>
    <w:rsid w:val="003116BB"/>
    <w:rsid w:val="00370C72"/>
    <w:rsid w:val="00452EAE"/>
    <w:rsid w:val="0045337F"/>
    <w:rsid w:val="00483611"/>
    <w:rsid w:val="004953EB"/>
    <w:rsid w:val="004A0F15"/>
    <w:rsid w:val="004B7BC8"/>
    <w:rsid w:val="004C2012"/>
    <w:rsid w:val="004E3F4D"/>
    <w:rsid w:val="00506F6E"/>
    <w:rsid w:val="00511685"/>
    <w:rsid w:val="0051479C"/>
    <w:rsid w:val="005151AF"/>
    <w:rsid w:val="005419FA"/>
    <w:rsid w:val="00545D8B"/>
    <w:rsid w:val="00570E3F"/>
    <w:rsid w:val="00590501"/>
    <w:rsid w:val="00590640"/>
    <w:rsid w:val="005F0209"/>
    <w:rsid w:val="00646595"/>
    <w:rsid w:val="006A714E"/>
    <w:rsid w:val="006E1E05"/>
    <w:rsid w:val="006E679B"/>
    <w:rsid w:val="00715772"/>
    <w:rsid w:val="007369C3"/>
    <w:rsid w:val="007717F5"/>
    <w:rsid w:val="0079094A"/>
    <w:rsid w:val="007975AA"/>
    <w:rsid w:val="007B5B15"/>
    <w:rsid w:val="007C100B"/>
    <w:rsid w:val="007D0E58"/>
    <w:rsid w:val="007F2917"/>
    <w:rsid w:val="007F2EA5"/>
    <w:rsid w:val="008663EF"/>
    <w:rsid w:val="00881977"/>
    <w:rsid w:val="008871B0"/>
    <w:rsid w:val="008F11A5"/>
    <w:rsid w:val="0091769B"/>
    <w:rsid w:val="009346C3"/>
    <w:rsid w:val="009540FF"/>
    <w:rsid w:val="00982053"/>
    <w:rsid w:val="0098414D"/>
    <w:rsid w:val="00986D95"/>
    <w:rsid w:val="009B3C4B"/>
    <w:rsid w:val="009C42A8"/>
    <w:rsid w:val="009C7F45"/>
    <w:rsid w:val="009E0F55"/>
    <w:rsid w:val="009E4FF5"/>
    <w:rsid w:val="009F3999"/>
    <w:rsid w:val="009F5CB5"/>
    <w:rsid w:val="00A52381"/>
    <w:rsid w:val="00A77AAC"/>
    <w:rsid w:val="00A861DE"/>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787F"/>
    <w:rsid w:val="00E30F99"/>
    <w:rsid w:val="00E43600"/>
    <w:rsid w:val="00E87CE2"/>
    <w:rsid w:val="00E9371F"/>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646595"/>
    <w:rPr>
      <w:rFonts w:eastAsiaTheme="minorEastAsia"/>
      <w:sz w:val="18"/>
      <w:szCs w:val="18"/>
      <w:lang w:val="sv-S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sv-SE"/>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V/TXT/?uri=OJ:L_202401623" TargetMode="External"/><Relationship Id="rId1" Type="http://schemas.openxmlformats.org/officeDocument/2006/relationships/hyperlink" Target="https://eur-lex.europa.eu/legal-content/S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BF499709-19E0-4C54-83E5-84F0551F6507}"/>
</file>

<file path=customXml/itemProps3.xml><?xml version="1.0" encoding="utf-8"?>
<ds:datastoreItem xmlns:ds="http://schemas.openxmlformats.org/officeDocument/2006/customXml" ds:itemID="{7A2D8E63-1697-410E-BC8E-CA778DA0EC8E}"/>
</file>

<file path=customXml/itemProps4.xml><?xml version="1.0" encoding="utf-8"?>
<ds:datastoreItem xmlns:ds="http://schemas.openxmlformats.org/officeDocument/2006/customXml" ds:itemID="{CB0A076B-16B7-4197-8FF2-CE634CF27D1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24</Pages>
  <Words>8183</Words>
  <Characters>51638</Characters>
  <Application>Microsoft Office Word</Application>
  <DocSecurity>0</DocSecurity>
  <Lines>1053</Lines>
  <Paragraphs>511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2024-10-21T07:12:00Z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