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78A08" w14:textId="77777777" w:rsidR="007224D6" w:rsidRPr="007F4CC8" w:rsidRDefault="007224D6" w:rsidP="007224D6">
      <w:pPr>
        <w:pStyle w:val="Annexetitre"/>
        <w:spacing w:after="240"/>
      </w:pPr>
      <w:r>
        <w:t xml:space="preserve">ΠΑΡΑΡΤΗΜΑ XXVIII – Απαιτήσεις δημοσιοποίησης για ανοίγματα σε θέσεις τιτλοποίησης</w:t>
      </w:r>
    </w:p>
    <w:p w14:paraId="6F670D8D"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Πίνακας EU SECA – Απαιτήσεις ποιοτικής δημοσιοποίησης που σχετίζονται με ανοίγματα τιτλοποίησης.</w:t>
      </w:r>
      <w:r>
        <w:rPr>
          <w:sz w:val="24"/>
          <w:b/>
          <w:rFonts w:ascii="Times New Roman" w:hAnsi="Times New Roman"/>
        </w:rPr>
        <w:t xml:space="preserve"> </w:t>
      </w:r>
      <w:r>
        <w:rPr>
          <w:sz w:val="24"/>
          <w:rFonts w:ascii="Times New Roman" w:hAnsi="Times New Roman"/>
        </w:rPr>
        <w:t xml:space="preserve">Πλαίσια ελεύθερου κειμένου για δημοσιοποίηση ποιοτικών πληροφοριών</w:t>
      </w:r>
    </w:p>
    <w:p w14:paraId="5F7FC059" w14:textId="26D0159A"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449 στοιχεία α) έως θ) του κανονισμού (ΕΕ) αριθ. 575/2013</w:t>
      </w:r>
      <w:r w:rsidRPr="007F4CC8">
        <w:rPr>
          <w:rStyle w:val="FootnoteReference"/>
          <w:bCs/>
        </w:rPr>
        <w:footnoteReference w:id="1"/>
      </w:r>
      <w:r>
        <w:rPr>
          <w:sz w:val="24"/>
          <w:rFonts w:ascii="Times New Roman" w:hAnsi="Times New Roman"/>
        </w:rPr>
        <w:t xml:space="preserve"> («ΚΚΑ») ακολουθώντας τις οδηγίες που παρέχονται παρακάτω στο παρόν παράρτημα για τη συμπλήρωση του πίνακα EU SECA, ο οποίος παρατίθεται στο παράρτημα XXVII των λύσεων ΤΠ της ΕΑΤ.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Αναφορά γραμμής</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α)</w:t>
            </w:r>
          </w:p>
        </w:tc>
        <w:tc>
          <w:tcPr>
            <w:tcW w:w="7654" w:type="dxa"/>
          </w:tcPr>
          <w:p w14:paraId="411A6A43"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Περιγραφή των δραστηριοτήτων τιτλοποίησης και επανατιτλοποίησης,</w:t>
            </w:r>
            <w:r>
              <w:rPr>
                <w:sz w:val="24"/>
                <w:rFonts w:ascii="Times New Roman" w:hAnsi="Times New Roman"/>
              </w:rPr>
              <w:t xml:space="preserve"> </w:t>
            </w:r>
            <w:r>
              <w:rPr>
                <w:sz w:val="24"/>
                <w:rFonts w:ascii="Times New Roman" w:hAnsi="Times New Roman"/>
              </w:rPr>
              <w:t xml:space="preserve">συμπεριλαμβανομένων των στόχων όσον αφορά τη διαχείριση κινδύνων και τις επενδύσεις σε σχέση με τις εν λόγω δραστηριότητες, του ρόλου τους στις συναλλαγές τιτλοποίησης και επανατιτλοποίησης, του κατά πόσον χρησιμοποιούν το πλαίσιο απλής, διαφανούς και τυποποιημένης (STS) τιτλοποίησης και του βαθμού στον οποίο χρησιμοποιούν συναλλαγές τιτλοποίησης για να μεταφέρουν τον πιστωτικό κίνδυνο των τιτλοποιημένων ανοιγμάτων σε τρίτους, με χωριστή περιγραφή, όπου αρμόζει, της πολιτικής τους για τη μεταφορά κινδύνου σύνθετης τιτλοποίησης σύμφωνα με το άρθρο 449 στοιχείο α) του ΚΚΑ</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β)</w:t>
            </w:r>
          </w:p>
        </w:tc>
        <w:tc>
          <w:tcPr>
            <w:tcW w:w="7654" w:type="dxa"/>
          </w:tcPr>
          <w:p w14:paraId="5A3026E1"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Το είδος του κινδύνου στον οποίο είναι εκτεθειμένα τα ιδρύματα στο πλαίσιο των δραστηριοτήτων τιτλοποίησης και επανατιτλοποίησης ανά βαθμό εξοφλητικής προτεραιότητας των σχετικών θέσεων τιτλοποίησης, με διάκριση μεταξύ θέσεων STS και μη STS, και:</w:t>
            </w:r>
          </w:p>
          <w:p w14:paraId="04507AB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 του κινδύνου που διατηρείται σε συναλλαγές ιδίας προέλευσης,</w:t>
            </w:r>
          </w:p>
          <w:p w14:paraId="1E8013A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ii) του κινδύνου που προκύπτει σε σχέση με συναλλαγές που προέρχονται από τρίτους,</w:t>
            </w:r>
          </w:p>
          <w:p w14:paraId="327D988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σύμφωνα με το άρθρο 449 στοιχείο β) του ΚΚΑ</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γ)</w:t>
            </w:r>
          </w:p>
        </w:tc>
        <w:tc>
          <w:tcPr>
            <w:tcW w:w="7654" w:type="dxa"/>
          </w:tcPr>
          <w:p w14:paraId="4D27BD27"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Οι προσεγγίσεις των ιδρυμάτων για τον υπολογισμό των ποσών του σταθμισμένου ως προς τον κίνδυνο ανοίγματος που εφαρμόζουν στις δραστηριότητες τιτλοποίησης, συμπεριλαμβανομένων των ειδών των θέσεων τιτλοποίησης όπου εφαρμόζεται κάθε προσέγγιση με διάκριση μεταξύ θέσεων STS και μη STS σύμφωνα με το άρθρο 449 στοιχείο γ) του ΚΚΑ</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δ)</w:t>
            </w:r>
          </w:p>
        </w:tc>
        <w:tc>
          <w:tcPr>
            <w:tcW w:w="7654" w:type="dxa"/>
          </w:tcPr>
          <w:p w14:paraId="0F0CB3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κατάλογο των ΟΕΣΤ που εμπίπτουν σε οποιαδήποτε από τις ακόλουθες κατηγορίες, με περιγραφή των ειδών των ανοιγμάτων τους στις εν λόγω ΟΕΣΤ, συμπεριλαμβανομένων των συμβάσεων παραγώγων:</w:t>
            </w:r>
          </w:p>
          <w:p w14:paraId="7548040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 ΟΕΣΤ που αποκτούν ανοίγματα τα οποία έχουν δημιουργηθεί από τα ιδρύματα,</w:t>
            </w:r>
          </w:p>
          <w:p w14:paraId="66CFD6C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 ΟΕΣΤ που χρηματοδοτούνται από τα ιδρύματα,</w:t>
            </w:r>
            <w:r>
              <w:rPr>
                <w:sz w:val="24"/>
                <w:rFonts w:ascii="Times New Roman" w:hAnsi="Times New Roman"/>
              </w:rPr>
              <w:t xml:space="preserve"> </w:t>
            </w:r>
          </w:p>
          <w:p w14:paraId="4E6EDCA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iii) ΟΕΣΤ και άλλες νομικές οντότητες για τις οποίες τα ιδρύματα παρέχουν υπηρεσίες σχετικές με τιτλοποιήσεις, όπως συμβουλευτικές υπηρεσίες ή υπηρεσίες εξυπηρέτησης ή διαχείρισης στοιχείων ενεργητικού,</w:t>
            </w:r>
            <w:r>
              <w:rPr>
                <w:sz w:val="24"/>
                <w:rFonts w:ascii="Times New Roman" w:hAnsi="Times New Roman"/>
              </w:rPr>
              <w:t xml:space="preserve"> </w:t>
            </w:r>
          </w:p>
          <w:p w14:paraId="0E14603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iv) ΟΕΣΤ που περιλαμβάνονται στο πεδίο εφαρμογής εποπτικής ενοποίησης των ιδρυμάτων,</w:t>
            </w:r>
          </w:p>
          <w:p w14:paraId="3EBB09FF"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σύμφωνα με το άρθρο 449 στοιχείο δ) του ΚΚΑ</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ε)</w:t>
            </w:r>
          </w:p>
        </w:tc>
        <w:tc>
          <w:tcPr>
            <w:tcW w:w="7654" w:type="dxa"/>
          </w:tcPr>
          <w:p w14:paraId="1F60BF20"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Κατάλογος τυχόν νομικών οντοτήτων σε σχέση με τις οποίες τα ιδρύματα έχουν δημοσιοποιήσει την πληροφορία ότι έχουν παράσχει βοήθεια σύμφωνα με το τρίτο μέρος τίτλος II κεφάλαιο 5 άρθρο 449 στοιχείο ε) του ΚΚΑ</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στ)</w:t>
            </w:r>
          </w:p>
        </w:tc>
        <w:tc>
          <w:tcPr>
            <w:tcW w:w="7654" w:type="dxa"/>
          </w:tcPr>
          <w:p w14:paraId="1A5C718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Κατάλογος νομικών οντοτήτων συνδεδεμένων με τα ιδρύματα οι οποίες επενδύουν σε τιτλοποιήσεις που έχουν δημιουργηθεί από τα ιδρύματα ή σε θέσεις τιτλοποίησης που έχουν εκδοθεί από ΟΕΣΤ χρηματοδοτούμενες από τα ιδρύματα σύμφωνα με το άρθρο 449 στοιχείο στ) του ΚΚΑ</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ζ)</w:t>
            </w:r>
          </w:p>
        </w:tc>
        <w:tc>
          <w:tcPr>
            <w:tcW w:w="7654" w:type="dxa"/>
          </w:tcPr>
          <w:p w14:paraId="1967D94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Σύνοψη των λογιστικών πολιτικών τους για δραστηριότητες τιτλοποίησης, συμπεριλαμβανομένης, κατά περίπτωση, διάκρισης μεταξύ των θέσεων τιτλοποίησης και επανατιτλοποίησης σύμφωνα με το άρθρο 449 στοιχείο ζ) του ΚΚΑ</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η)</w:t>
            </w:r>
          </w:p>
        </w:tc>
        <w:tc>
          <w:tcPr>
            <w:tcW w:w="7654" w:type="dxa"/>
          </w:tcPr>
          <w:p w14:paraId="16F8574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Οι επωνυμίες των ΕΟΠΑ που χρησιμοποιούνται για τιτλοποιήσεις και τα είδη ανοίγματος για τα οποία χρησιμοποιείται κάθε οργανισμός σύμφωνα με το άρθρο 449 στοιχείο η) του ΚΚΑ</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θ)</w:t>
            </w:r>
          </w:p>
        </w:tc>
        <w:tc>
          <w:tcPr>
            <w:tcW w:w="7654" w:type="dxa"/>
          </w:tcPr>
          <w:p w14:paraId="4835A783"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Όπου ενδείκνυται, περιγραφή της μεθόδου εσωτερικής αξιολόγησης που προβλέπεται στο τρίτο μέρος τίτλος II κεφάλαιο 5 του ΚΚΑ, συμπεριλαμβανομένων της δομής της διαδικασίας εσωτερικής αξιολόγησης και της σχέσης μεταξύ εσωτερικής αξιολόγησης και εξωτερικών διαβαθμίσεων του οικείου ΕΟΠΑ που δημοσιοποιείται σύμφωνα με το στοιχείο η), των μηχανισμών ελέγχου της διαδικασίας εσωτερικής αξιολόγησης, συμπεριλαμβανομένης της εξέτασης της ανεξαρτησίας, της ευθύνης και της επανεξέτασης της διαδικασίας εσωτερικής αξιολόγησης, των τύπων ανοιγμάτων στους οποίους εφαρμόζεται η διαδικασία εσωτερικής αξιολόγησης και των παραγόντων ακραίων καταστάσεων που χρησιμοποιούνται για τον καθορισμό των επιπέδων πιστωτικής ενίσχυσης σύμφωνα με το άρθρο 449 στοιχείο θ) του ΚΚΑ</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EU SEC1 – Ανοίγματα τιτλοποίησης εκτός του χαρτοφυλακίου συναλλαγών.</w:t>
      </w:r>
      <w:r>
        <w:rPr>
          <w:sz w:val="24"/>
          <w:b/>
          <w:rFonts w:ascii="Times New Roman" w:hAnsi="Times New Roman"/>
        </w:rPr>
        <w:t xml:space="preserve"> </w:t>
      </w:r>
      <w:r>
        <w:rPr>
          <w:sz w:val="24"/>
          <w:rFonts w:ascii="Times New Roman" w:hAnsi="Times New Roman"/>
        </w:rPr>
        <w:t xml:space="preserve">Σταθερός μορφότυπος.</w:t>
      </w:r>
    </w:p>
    <w:p w14:paraId="64C7288F"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449 στοιχείο ι) του ΚΚΑ ακολουθώντας τις οδηγίες που παρέχονται παρακάτω στο παρόν παράρτημα για τη συμπλήρωση του υποδείγματος EU SEC1, το οποίο παρατίθεται στο παράρτημα XXVII του παρόντος εκτελεστικού κανονισμού.</w:t>
      </w:r>
      <w:r>
        <w:rPr>
          <w:sz w:val="24"/>
          <w:rFonts w:ascii="Times New Roman" w:hAnsi="Times New Roman"/>
        </w:rPr>
        <w:t xml:space="preserve"> </w:t>
      </w:r>
      <w:r>
        <w:rPr>
          <w:sz w:val="24"/>
          <w:rFonts w:ascii="Times New Roman" w:hAnsi="Times New Roman"/>
        </w:rPr>
        <w:t xml:space="preserve">Τα ιδρύματα εξηγούν στο λεκτικό που συνοδεύει το υπόδειγμα εάν κατέχουν εντός των παραδοσιακών τιτλοποιήσεών τους προγράμματα εμπορικών κινητών αξιών εξασφαλισμένων με περιουσιακά στοιχεία (ABCP) και, εάν έχουν, τον όγκο των συναλλαγών ABCP.</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Αναφορά στήλης</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α-ζ</w:t>
            </w:r>
          </w:p>
        </w:tc>
        <w:tc>
          <w:tcPr>
            <w:tcW w:w="7654" w:type="dxa"/>
          </w:tcPr>
          <w:p w14:paraId="1FBE1E5E"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Το ίδρυμα ενεργεί ως μεταβιβάζων</w:t>
            </w:r>
            <w:r>
              <w:rPr>
                <w:b/>
                <w:sz w:val="24"/>
                <w:rFonts w:ascii="Times New Roman" w:hAnsi="Times New Roman"/>
              </w:rPr>
              <w:t xml:space="preserve"> </w:t>
            </w:r>
          </w:p>
          <w:p w14:paraId="5B9FC4AD"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Όταν το «ίδρυμα ενεργεί ως μεταβιβάζων», όπως ορίζεται στο άρθρο 4 παράγραφος 1 στοιχείο 13) του ΚΚΑ, τα ανοίγματα τιτλοποίησης είναι οι διατηρούμενες θέσεις, ακόμη και όταν δεν είναι επιλέξιμες για το πλαίσιο τιτλοποίησης λόγω της απουσίας σημαντικής μεταβίβασης κινδύνου.</w:t>
            </w:r>
            <w:r>
              <w:rPr>
                <w:sz w:val="24"/>
                <w:rFonts w:ascii="Times New Roman" w:hAnsi="Times New Roman"/>
              </w:rPr>
              <w:t xml:space="preserve"> </w:t>
            </w:r>
            <w:r>
              <w:rPr>
                <w:sz w:val="24"/>
                <w:rFonts w:ascii="Times New Roman" w:hAnsi="Times New Roman"/>
              </w:rPr>
              <w:t xml:space="preserve">Τα ανοίγματα τιτλοποίησης σε συναλλαγές που έχουν επιτύχει σημαντική μεταβίβαση κινδύνου (SRT) παρουσιάζονται ξεχωριστά.</w:t>
            </w:r>
          </w:p>
          <w:p w14:paraId="1B491A7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Τα μεταβιβάζοντα ιδρύματα δημοσιοποιούν τη λογιστική αξία, κατά την ημερομηνία δημοσιοποίησης, του συνόλου των τρεχόντων ανοιγμάτων τιτλοποίησης που κατέχουν στις συναλλαγές τιτλοποίησης που μεταβίβασαν.</w:t>
            </w:r>
            <w:r>
              <w:rPr>
                <w:sz w:val="24"/>
                <w:rFonts w:ascii="Times New Roman" w:hAnsi="Times New Roman"/>
              </w:rPr>
              <w:t xml:space="preserve"> </w:t>
            </w:r>
            <w:r>
              <w:rPr>
                <w:sz w:val="24"/>
                <w:rFonts w:ascii="Times New Roman" w:hAnsi="Times New Roman"/>
              </w:rPr>
              <w:t xml:space="preserve">Επομένως, δημοσιοποιούνται τα εντός ισολογισμού ανοίγματα τιτλοποίησης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στα εν λόγω ανοίγματα τιτλοποίησης.</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η-ια</w:t>
            </w:r>
          </w:p>
        </w:tc>
        <w:tc>
          <w:tcPr>
            <w:tcW w:w="7654" w:type="dxa"/>
          </w:tcPr>
          <w:p w14:paraId="37E8770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Το ίδρυμα ενεργεί ως ανάδοχος</w:t>
            </w:r>
            <w:r>
              <w:rPr>
                <w:b/>
                <w:sz w:val="24"/>
                <w:rFonts w:ascii="Times New Roman" w:hAnsi="Times New Roman"/>
              </w:rPr>
              <w:t xml:space="preserve"> </w:t>
            </w:r>
          </w:p>
          <w:p w14:paraId="6C2A7CD6"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Όταν το «ίδρυμα ενεργεί ως ανάδοχος», όπως ορίζεται στο άρθρο 4 παράγραφος 1 στοιχείο 14) του ΚΚΑ, στα ανοίγματα τιτλοποίησης περιλαμβάνονται ανοίγματα σε ενδιάμεσους φορείς εμπορικών χρεογράφων στους οποίους το ίδρυμα παρέχει πιστωτική ενίσχυση σε επίπεδο προγράμματος, ρευστότητα και άλλες διευκολύνσεις.</w:t>
            </w:r>
            <w:r>
              <w:rPr>
                <w:sz w:val="24"/>
                <w:rFonts w:ascii="Times New Roman" w:hAnsi="Times New Roman"/>
              </w:rPr>
              <w:t xml:space="preserve"> </w:t>
            </w:r>
            <w:r>
              <w:rPr>
                <w:sz w:val="24"/>
                <w:rFonts w:ascii="Times New Roman" w:hAnsi="Times New Roman"/>
              </w:rPr>
              <w:t xml:space="preserve">Όταν το ίδρυμα ενεργεί τόσο ως μεταβιβάζων όσο και ως ανάδοχος, αποφεύγει τον διπλό λογισμό.</w:t>
            </w:r>
            <w:r>
              <w:rPr>
                <w:sz w:val="24"/>
                <w:rFonts w:ascii="Times New Roman" w:hAnsi="Times New Roman"/>
              </w:rPr>
              <w:t xml:space="preserve"> </w:t>
            </w:r>
            <w:r>
              <w:rPr>
                <w:sz w:val="24"/>
                <w:rFonts w:ascii="Times New Roman" w:hAnsi="Times New Roman"/>
              </w:rPr>
              <w:t xml:space="preserve">Σε αυτό το πλαίσιο, το ίδρυμα μπορεί να συγχωνεύσει τις δύο στήλες («το ίδρυμα ενεργεί ως μεταβιβάζων» και «το ίδρυμα ενεργεί ως ανάδοχος» και να χρησιμοποιήσει τις στήλες «το ίδρυμα ενεργεί ως μεταβιβάζων/ανάδοχος».</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ιβ-ιε</w:t>
            </w:r>
          </w:p>
        </w:tc>
        <w:tc>
          <w:tcPr>
            <w:tcW w:w="7654" w:type="dxa"/>
          </w:tcPr>
          <w:p w14:paraId="764534FA"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Το ίδρυμα ενεργεί ως επενδυτής</w:t>
            </w:r>
            <w:r>
              <w:rPr>
                <w:b/>
                <w:sz w:val="24"/>
                <w:rFonts w:ascii="Times New Roman" w:hAnsi="Times New Roman"/>
              </w:rPr>
              <w:t xml:space="preserve"> </w:t>
            </w:r>
          </w:p>
          <w:p w14:paraId="580E5B52"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Τα ανοίγματα τιτλοποίησης όταν «το ίδρυμα ενεργεί ως επενδυτής» είναι οι επενδυτικές θέσεις που αγοράζονται σε συμφωνίες τρίτων.</w:t>
            </w:r>
          </w:p>
          <w:p w14:paraId="39D2466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Ο ΚΚΑ δεν αναφέρει σαφή ορισμό των επενδυτών.</w:t>
            </w:r>
            <w:r>
              <w:rPr>
                <w:sz w:val="24"/>
                <w:rFonts w:ascii="Times New Roman" w:hAnsi="Times New Roman"/>
              </w:rPr>
              <w:t xml:space="preserve"> </w:t>
            </w:r>
            <w:r>
              <w:rPr>
                <w:sz w:val="24"/>
                <w:rFonts w:ascii="Times New Roman" w:hAnsi="Times New Roman"/>
              </w:rPr>
              <w:t xml:space="preserve">Επομένως, στο συγκεκριμένο πλαίσιο, επενδυτής θεωρείται ένα ίδρυμα που κατέχει θέση τιτλοποίησης σε μια συναλλαγή τιτλοποίησης στην οποία δεν είναι ούτε μεταβιβάζουσα οντότητα ούτε ανάδοχος.</w:t>
            </w:r>
            <w:r>
              <w:rPr>
                <w:sz w:val="24"/>
                <w:rFonts w:ascii="Times New Roman" w:hAnsi="Times New Roman"/>
              </w:rPr>
              <w:t xml:space="preserve"> </w:t>
            </w:r>
          </w:p>
          <w:p w14:paraId="52E3FA0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Σε περίπτωση που η ομάδα τιτλοποιημένων ανοιγμάτων αποτελεί συνδυασμό των ειδών θέσης τιτλοποίησης, το ίδρυμα αναφέρει το σημαντικότερο είδος.</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α-δ,</w:t>
            </w:r>
            <w:r>
              <w:rPr>
                <w:sz w:val="24"/>
                <w:rFonts w:ascii="Times New Roman" w:hAnsi="Times New Roman"/>
              </w:rPr>
              <w:t xml:space="preserve"> </w:t>
            </w:r>
            <w:r>
              <w:rPr>
                <w:sz w:val="24"/>
                <w:rFonts w:ascii="Times New Roman" w:hAnsi="Times New Roman"/>
              </w:rPr>
              <w:t xml:space="preserve">η, θ, ιβ, ιγ</w:t>
            </w:r>
          </w:p>
        </w:tc>
        <w:tc>
          <w:tcPr>
            <w:tcW w:w="7654" w:type="dxa"/>
          </w:tcPr>
          <w:p w14:paraId="79CC848D"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Παραδοσιακές συναλλαγές</w:t>
            </w:r>
            <w:r>
              <w:rPr>
                <w:b/>
                <w:sz w:val="24"/>
                <w:rFonts w:ascii="Times New Roman" w:hAnsi="Times New Roman"/>
              </w:rPr>
              <w:t xml:space="preserve"> </w:t>
            </w:r>
          </w:p>
          <w:p w14:paraId="36060F5B"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Σύμφωνα με το άρθρο 242 στοιχείο 13) του ΚΚΑ, σε συνδυασμό με το άρθρο 2 σημείο 9) του κανονισμού (ΕΕ) 2017/2402</w:t>
            </w:r>
            <w:r w:rsidRPr="007F4CC8">
              <w:rPr>
                <w:rStyle w:val="FootnoteReference"/>
                <w:rFonts w:eastAsia="Times New Roman" w:cs="Times New Roman"/>
                <w:iCs/>
              </w:rPr>
              <w:footnoteReference w:id="2"/>
            </w:r>
            <w:r>
              <w:rPr>
                <w:sz w:val="24"/>
                <w:rFonts w:ascii="Times New Roman" w:hAnsi="Times New Roman"/>
              </w:rPr>
              <w:t xml:space="preserve">, ως «παραδοσιακή τιτλοποίηση» νοείται μια τιτλοποίηση που συνεπάγεται μεταφορά του οικονομικού δικαιώματος στα τιτλοποιούμενα ανοίγματα.</w:t>
            </w:r>
            <w:r>
              <w:rPr>
                <w:sz w:val="24"/>
                <w:rFonts w:ascii="Times New Roman" w:hAnsi="Times New Roman"/>
              </w:rPr>
              <w:t xml:space="preserve"> </w:t>
            </w:r>
            <w:r>
              <w:rPr>
                <w:sz w:val="24"/>
                <w:rFonts w:ascii="Times New Roman" w:hAnsi="Times New Roman"/>
              </w:rPr>
              <w:t xml:space="preserve">Αυτό επιτυγχάνεται με τη μεταβίβαση της κυριότητας των τιτλοποιούμενων ανοιγμάτων από το μεταβιβάζον ίδρυμα σε ΟΕΣΤ ή μέσω μερικής συμμετοχής της ΟΕΣΤ.</w:t>
            </w:r>
            <w:r>
              <w:rPr>
                <w:sz w:val="24"/>
                <w:rFonts w:ascii="Times New Roman" w:hAnsi="Times New Roman"/>
              </w:rPr>
              <w:t xml:space="preserve"> </w:t>
            </w:r>
            <w:r>
              <w:rPr>
                <w:sz w:val="24"/>
                <w:rFonts w:ascii="Times New Roman" w:hAnsi="Times New Roman"/>
              </w:rPr>
              <w:t xml:space="preserve">Οι εκδιδόμενοι τίτλοι δεν αντιπροσωπεύουν υποχρεώσεις πληρωμών του μεταβιβάζοντος ιδρύματος.</w:t>
            </w:r>
          </w:p>
          <w:p w14:paraId="2187F2E6"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Στην περίπτωση παραδοσιακών τιτλοποιήσεων στις οποίες η μεταβιβάζουσα οντότητα δεν κατέχει καμία θέση, η μεταβιβάζουσα οντότητα δεν λαμβάνει υπόψη τη συγκεκριμένη τιτλοποίηση στη δημοσιοποίηση στο παρόν υπόδειγμα.</w:t>
            </w:r>
            <w:r>
              <w:rPr>
                <w:sz w:val="24"/>
                <w:rFonts w:ascii="Times New Roman" w:hAnsi="Times New Roman"/>
              </w:rPr>
              <w:t xml:space="preserv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ε, στ, ι, ιδ</w:t>
            </w:r>
          </w:p>
        </w:tc>
        <w:tc>
          <w:tcPr>
            <w:tcW w:w="7654" w:type="dxa"/>
          </w:tcPr>
          <w:p w14:paraId="37BF2347"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Σύνθετες συναλλαγές</w:t>
            </w:r>
            <w:r>
              <w:rPr>
                <w:b/>
                <w:sz w:val="24"/>
                <w:rFonts w:ascii="Times New Roman" w:hAnsi="Times New Roman"/>
              </w:rPr>
              <w:t xml:space="preserve"> </w:t>
            </w:r>
          </w:p>
          <w:p w14:paraId="3AB93A1A"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Σύμφωνα με το άρθρο 242 στοιχείο 14) του ΚΚΑ, σε συνδυασμό με το άρθρο 2 στοιχείο 10) του κανονισμού (ΕΕ) 2017/2402, ως «σύνθετη τιτλοποίηση» νοείται μια τιτλοποίηση κατά την οποία η μεταφορά κινδύνου επιτυγχάνεται με τη χρήση πιστωτικών παράγωγων μέσων ή εγγυήσεων και τα τιτλοποιούμενα ανοίγματα εξακολουθούν να αποτελούν ανοίγματα της μεταβιβάζουσας οντότητας.</w:t>
            </w:r>
          </w:p>
          <w:p w14:paraId="6EF6D314"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Εάν το ίδρυμα έχει αγοράσει προστασία, δημοσιοποιεί τα καθαρά ποσά ανοίγματος στα οποία εκτίθεται και τα οποία δεν υπόκεινται στην αγορασμένη προστασία στις στήλες μεταβιβάζων/ανάδοχος (δηλαδή το ποσό που δεν είναι εξασφαλισμένο) στο παρόν υπόδειγμα.</w:t>
            </w:r>
            <w:r>
              <w:rPr>
                <w:sz w:val="24"/>
                <w:rFonts w:ascii="Times New Roman" w:hAnsi="Times New Roman"/>
              </w:rPr>
              <w:t xml:space="preserve"> </w:t>
            </w:r>
            <w:r>
              <w:rPr>
                <w:sz w:val="24"/>
                <w:rFonts w:ascii="Times New Roman" w:hAnsi="Times New Roman"/>
              </w:rPr>
              <w:t xml:space="preserve">Εάν το ίδρυμα έχει πωλήσει προστασία, το ποσό ανοίγματος της πιστωτικής προστασίας θα δημοσιοποιείται στη στήλη του «επενδυτή» στο παρόν υπόδειγμα.</w:t>
            </w:r>
            <w:r>
              <w:rPr>
                <w:sz w:val="24"/>
                <w:rFonts w:ascii="Times New Roman" w:hAnsi="Times New Roman"/>
              </w:rPr>
              <w:t xml:space="preserv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α, β, η, ιβ,</w:t>
            </w:r>
          </w:p>
        </w:tc>
        <w:tc>
          <w:tcPr>
            <w:tcW w:w="7654" w:type="dxa"/>
          </w:tcPr>
          <w:p w14:paraId="0ED89EA3"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Ανοίγματα STS</w:t>
            </w:r>
            <w:r>
              <w:rPr>
                <w:b/>
                <w:sz w:val="24"/>
                <w:rFonts w:ascii="Times New Roman" w:hAnsi="Times New Roman"/>
              </w:rPr>
              <w:t xml:space="preserve"> </w:t>
            </w:r>
          </w:p>
          <w:p w14:paraId="274A8EEF" w14:textId="77777777" w:rsidR="007224D6" w:rsidRPr="007F4CC8" w:rsidRDefault="007224D6" w:rsidP="004F3087">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Συνολικό ποσό θέσεων τιτλοποίησης STS σύμφωνα με τα κριτήρια που ορίζονται στα άρθρα 18 έως 26 του κανονισμού (ΕΕ) αριθ.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β, δ, στ</w:t>
            </w:r>
          </w:p>
        </w:tc>
        <w:tc>
          <w:tcPr>
            <w:tcW w:w="7654" w:type="dxa"/>
          </w:tcPr>
          <w:p w14:paraId="0E899B71" w14:textId="77777777" w:rsidR="007224D6" w:rsidRPr="007F4CC8" w:rsidRDefault="007224D6" w:rsidP="004F3087">
            <w:pPr>
              <w:autoSpaceDE w:val="0"/>
              <w:autoSpaceDN w:val="0"/>
              <w:adjustRightInd w:val="0"/>
              <w:spacing w:before="120" w:after="120"/>
              <w:jc w:val="both"/>
              <w:rPr>
                <w:b/>
                <w:iCs/>
                <w:sz w:val="24"/>
                <w:rFonts w:ascii="Times New Roman" w:eastAsia="Times New Roman" w:hAnsi="Times New Roman" w:cs="Times New Roman"/>
              </w:rPr>
            </w:pPr>
            <w:r>
              <w:rPr>
                <w:b/>
                <w:sz w:val="24"/>
                <w:rFonts w:ascii="Times New Roman" w:hAnsi="Times New Roman"/>
              </w:rPr>
              <w:t xml:space="preserve">Ανοίγματα SRT</w:t>
            </w:r>
            <w:r>
              <w:rPr>
                <w:b/>
                <w:sz w:val="24"/>
                <w:rFonts w:ascii="Times New Roman" w:hAnsi="Times New Roman"/>
              </w:rPr>
              <w:t xml:space="preserve"> </w:t>
            </w:r>
          </w:p>
          <w:p w14:paraId="501CE6A9"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Συνολικό ποσό θέσεων τιτλοποίησης για τις οποίες το μεταβιβάζον ίδρυμα έχει επιτύχει σημαντική μεταφορά κινδύνου (SRT) σύμφωνα με το άρθρο 244 (παραδοσιακή τιτλοποίηση) και το άρθρο 245 (σύνθετη τιτλοποίηση) του ΚΚΑ</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 xml:space="preserve">06, 12</w:t>
            </w:r>
          </w:p>
        </w:tc>
        <w:tc>
          <w:tcPr>
            <w:tcW w:w="7655" w:type="dxa"/>
          </w:tcPr>
          <w:p w14:paraId="61ECD678" w14:textId="77777777" w:rsidR="007224D6" w:rsidRPr="007F4CC8" w:rsidRDefault="007224D6" w:rsidP="004F3087">
            <w:pPr>
              <w:jc w:val="both"/>
              <w:rPr>
                <w:b/>
                <w:sz w:val="24"/>
                <w:rFonts w:ascii="Times New Roman" w:hAnsi="Times New Roman" w:cs="Times New Roman"/>
              </w:rPr>
            </w:pPr>
            <w:r>
              <w:rPr>
                <w:b/>
                <w:sz w:val="24"/>
                <w:rFonts w:ascii="Times New Roman" w:hAnsi="Times New Roman"/>
              </w:rPr>
              <w:t xml:space="preserve">Επανατιτλοποίηση</w:t>
            </w:r>
          </w:p>
          <w:p w14:paraId="55ECAEC8" w14:textId="77777777" w:rsidR="007224D6" w:rsidRPr="007F4CC8" w:rsidRDefault="007224D6" w:rsidP="004F3087">
            <w:pPr>
              <w:autoSpaceDE w:val="0"/>
              <w:autoSpaceDN w:val="0"/>
              <w:adjustRightInd w:val="0"/>
              <w:spacing w:before="120" w:after="120"/>
              <w:jc w:val="both"/>
              <w:rPr>
                <w:iCs/>
                <w:sz w:val="24"/>
                <w:rFonts w:ascii="Times New Roman" w:eastAsia="Times New Roman" w:hAnsi="Times New Roman" w:cs="Times New Roman"/>
              </w:rPr>
            </w:pPr>
            <w:r>
              <w:rPr>
                <w:sz w:val="24"/>
                <w:rFonts w:ascii="Times New Roman" w:hAnsi="Times New Roman"/>
              </w:rPr>
              <w:t xml:space="preserve">Το συνολικό ποσό εκκρεμών θέσεων επανατιτλοποίησης, όπως ορίζονται στο άρθρο 4 παράγραφος 1 σημεία 63) και 64) του ΚΚΑ</w:t>
            </w:r>
          </w:p>
          <w:p w14:paraId="73FA0BCA" w14:textId="77777777" w:rsidR="007224D6" w:rsidRPr="007F4CC8" w:rsidRDefault="007224D6" w:rsidP="004F3087">
            <w:pPr>
              <w:jc w:val="both"/>
              <w:rPr>
                <w:sz w:val="24"/>
                <w:highlight w:val="yellow"/>
                <w:rFonts w:ascii="Times New Roman" w:hAnsi="Times New Roman" w:cs="Times New Roman"/>
              </w:rPr>
            </w:pPr>
            <w:r>
              <w:rPr>
                <w:sz w:val="24"/>
                <w:rFonts w:ascii="Times New Roman" w:hAnsi="Times New Roman"/>
              </w:rPr>
              <w:t xml:space="preserve">Όλα τα ανοίγματα τιτλοποίησης που σχετίζονται με την επανατιτλοποίηση συμπληρώνονται στις γραμμές «επανατιτλοποίησης» και όχι στις προηγούμενες γραμμές (ανά τύπο υποκείμενου περιουσιακού στοιχείου) που περιέχουν μόνο ανοίγματα τιτλοποίησης εκτός από την επανατιτλοποίηση.</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Υπόδειγμα EU SEC2 – Ανοίγματα τιτλοποίησης εντός του χαρτοφυλακίου συναλλαγών.</w:t>
      </w:r>
      <w:r>
        <w:rPr>
          <w:sz w:val="24"/>
          <w:b/>
          <w:rFonts w:ascii="Times New Roman" w:hAnsi="Times New Roman"/>
        </w:rPr>
        <w:t xml:space="preserve"> </w:t>
      </w:r>
      <w:r>
        <w:rPr>
          <w:sz w:val="24"/>
          <w:rFonts w:ascii="Times New Roman" w:hAnsi="Times New Roman"/>
        </w:rPr>
        <w:t xml:space="preserve">Σταθερός μορφότυπος.</w:t>
      </w:r>
    </w:p>
    <w:p w14:paraId="579136F1"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449 στοιχείο ι) του ΚΚΑ ακολουθώντας τις οδηγίες που παρέχονται παρακάτω στο παρόν παράρτημα για τη συμπλήρωση του υποδείγματος EU SEC2, το οποίο παρατίθεται στο παράρτημα XXVII του παρόντος εκτελεστικού κανονισμού.</w:t>
      </w:r>
    </w:p>
    <w:p w14:paraId="78F5A20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αναφέρονται στις οδηγίες για το υπόδειγμα EU SEC1 – Ανοίγματα τιτλοποίησης εκτός του χαρτοφυλακίου συναλλαγών.</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Υπόδειγμα EU SEC3 – Ανοίγματα τιτλοποίησης εντός του χαρτοφυλακίου συναλλαγών και σχετικές κανονιστικές απαιτήσεις κεφαλαίου – ίδρυμα που ενεργεί ως μεταβιβάζων ή ως ανάδοχος.</w:t>
      </w:r>
      <w:r>
        <w:rPr>
          <w:sz w:val="24"/>
          <w:b/>
          <w:rFonts w:ascii="Times New Roman" w:hAnsi="Times New Roman"/>
        </w:rPr>
        <w:t xml:space="preserve"> </w:t>
      </w:r>
      <w:r>
        <w:rPr>
          <w:sz w:val="24"/>
          <w:rFonts w:ascii="Times New Roman" w:hAnsi="Times New Roman"/>
        </w:rPr>
        <w:t xml:space="preserve">Σταθερός μορφότυπος.</w:t>
      </w:r>
    </w:p>
    <w:p w14:paraId="0E7F18B2"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449 στοιχείο ια) σημείο i) του ΚΚΑ ακολουθώντας τις οδηγίες που παρέχονται παρακάτω στο παρόν παράρτημα για τη συμπλήρωση του υποδείγματος EU SEC3, το οποίο παρατίθεται στο παράρτημα XXVII του παρόντος εκτελεστικού κανονισμού.</w:t>
      </w:r>
      <w:r>
        <w:rPr>
          <w:sz w:val="24"/>
          <w:rFonts w:ascii="Times New Roman" w:hAnsi="Times New Roman"/>
        </w:rPr>
        <w:t xml:space="preserve">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Αναφορά στήλης</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α έως δ</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Αξίες ανοίγματος (ανά ζώνες συντελεστών στάθμισης κινδύνου/μειώσεις)</w:t>
            </w:r>
          </w:p>
          <w:p w14:paraId="7020CF98"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Οι αξίες που δημοσιοποιούνται στις στήλες α) έως δ) του παρόντος υποδείγματος σε σχέση με τους κανονιστικούς συντελεστές στάθμισης κινδύνου καθορίζονται σύμφωνα με το τρίτο μέρος τίτλος II κεφάλαιο 5 του ΚΚΑ.</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στ έως η</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Αξίες ανοίγματος (ανά κανονιστική προσέγγιση)</w:t>
            </w:r>
          </w:p>
          <w:p w14:paraId="25B596FC"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Στήλες στ) έως η) του παρόντος υποδείγματος που αντιστοιχούν στην κανονιστική προσέγγιση που χρησιμοποιείται σύμφωνα με την ιεραρχία προσεγγίσεων του άρθρου 254 του ΚΚΑ</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ι, ια, ιβ</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RWEA (ανά κανονιστική προσέγγιση)</w:t>
            </w:r>
          </w:p>
          <w:p w14:paraId="1FD36159"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Ποσά των σταθμισμένων ως προς τον κίνδυνο ανοιγμάτων (RWEA) ανά κανονιστική προσέγγιση σύμφωνα με το τρίτο μέρος τίτλος II κεφάλαιο 5 του ΚΚΑ πριν από την εφαρμογή ανώτατου ορίου</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ιδ έως EU-ιστ</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Κεφαλαιακή επιβάρυνση μετά το ανώτατο όριο</w:t>
            </w:r>
          </w:p>
          <w:p w14:paraId="5FE118E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Οι στήλες αυτές αφορούν την κεφαλαιακή επιβάρυνση μετά την εφαρμογή του ανώτατου ορίου σύμφωνα με τα άρθρα 267 και 268 του ΚΚΑ.</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ε, θ, ιγ, EU-ιζ</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1 250 % RW/ μειώσεις</w:t>
            </w:r>
          </w:p>
          <w:p w14:paraId="1C330915"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Οι στήλες αφορούν τα εξής στοιχεία:</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Που υπόκεινται σε συντελεστή στάθμισης κινδύνου 1250% η που αφαιρούνται σύμφωνα με το τρίτο μέρος τίτλος ΙI κεφάλαιο 5 του ΚΚΑ,</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Όσα υπόκεινται σε συντελεστή στάθμισης κινδύνου 1 250 % ή αφαιρούνται σύμφωνα με το άρθρο 244 παράγραφος 1 στοιχείο β) και το άρθρο 245 παράγραφος 1 στοιχείο β) του ΚΚΑ,</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Όσα υπόκεινται σε συντελεστή στάθμισης κινδύνου 1 250 % σύμφωνα με το άρθρο 254 παράγραφος 7 του ΚΚΑ,</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ή αφαιρούνται σύμφωνα με το άρθρο 253 του ΚΚΑ</w:t>
            </w:r>
            <w:r>
              <w:rPr>
                <w:sz w:val="24"/>
                <w:rFonts w:ascii="Times New Roman" w:hAnsi="Times New Roman"/>
              </w:rPr>
              <w:t xml:space="preserve">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Συνολικά ανοίγματα</w:t>
            </w:r>
            <w:r>
              <w:rPr>
                <w:b/>
                <w:sz w:val="24"/>
                <w:rFonts w:ascii="Times New Roman" w:hAnsi="Times New Roman"/>
              </w:rPr>
              <w:t xml:space="preserve"> </w:t>
            </w:r>
          </w:p>
          <w:p w14:paraId="5FF24F9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Τα συνολικά ανοίγματα αφορούν το συνολικό ποσό των θέσεων τιτλοποίησης και επανατιτλοποίησης που κατέχει το ίδρυμα που ενεργεί ως μεταβιβάζων ή ανάδοχος.</w:t>
            </w:r>
            <w:r>
              <w:rPr>
                <w:sz w:val="24"/>
                <w:rFonts w:ascii="Times New Roman" w:hAnsi="Times New Roman"/>
              </w:rPr>
              <w:t xml:space="preserve"> </w:t>
            </w:r>
            <w:r>
              <w:rPr>
                <w:sz w:val="24"/>
                <w:rFonts w:ascii="Times New Roman" w:hAnsi="Times New Roman"/>
              </w:rPr>
              <w:t xml:space="preserve">Σε αυτήν τη γραμμή συνοψίζονται πληροφορίες σχετικά με την παραδοσιακή και τη σύνθετη τιτλοποίηση που δημοσιοποιούν οι μεταβιβάζοντες και οι ανάδοχοι στις επόμενες γραμμές.</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Παραδοσιακές συναλλαγές</w:t>
            </w:r>
            <w:r>
              <w:rPr>
                <w:b/>
                <w:sz w:val="24"/>
                <w:rFonts w:ascii="Times New Roman" w:hAnsi="Times New Roman"/>
              </w:rPr>
              <w:t xml:space="preserve"> </w:t>
            </w:r>
          </w:p>
          <w:p w14:paraId="59253CCA"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Βλέπε επεξήγηση για το υπόδειγμα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3, 10</w:t>
            </w:r>
          </w:p>
        </w:tc>
        <w:tc>
          <w:tcPr>
            <w:tcW w:w="7654" w:type="dxa"/>
          </w:tcPr>
          <w:p w14:paraId="6AB9BEF9"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Τιτλοποίηση</w:t>
            </w:r>
            <w:r>
              <w:rPr>
                <w:b/>
                <w:sz w:val="24"/>
                <w:rFonts w:ascii="Times New Roman" w:hAnsi="Times New Roman"/>
              </w:rPr>
              <w:t xml:space="preserve"> </w:t>
            </w:r>
          </w:p>
          <w:p w14:paraId="72E056E2" w14:textId="77777777" w:rsidR="007224D6" w:rsidRPr="007F4CC8" w:rsidRDefault="007224D6" w:rsidP="004F3087">
            <w:pPr>
              <w:jc w:val="both"/>
              <w:rPr>
                <w:sz w:val="24"/>
                <w:rFonts w:ascii="Times New Roman" w:hAnsi="Times New Roman" w:cs="Times New Roman"/>
              </w:rPr>
            </w:pPr>
            <w:r>
              <w:rPr>
                <w:sz w:val="24"/>
                <w:rFonts w:ascii="Times New Roman" w:hAnsi="Times New Roman"/>
              </w:rPr>
              <w:t xml:space="preserve">Το συνολικό ποσό εκκρεμών θέσεων τιτλοποίησης, όπως ορίζονται στο άρθρο 4 παράγραφος 1 σημείο 62) του ΚΚΑ, οι οποίες δεν είναι θέσεις επανατιτλοποίησης όπως ορίζονται στο άρθρο 4 παράγραφος 1 σημείο 64) του ΚΚΑ</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5, 7</w:t>
            </w:r>
          </w:p>
        </w:tc>
        <w:tc>
          <w:tcPr>
            <w:tcW w:w="7654" w:type="dxa"/>
          </w:tcPr>
          <w:p w14:paraId="3B75C561"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STS</w:t>
            </w:r>
            <w:r>
              <w:rPr>
                <w:b/>
                <w:sz w:val="24"/>
                <w:rFonts w:ascii="Times New Roman" w:hAnsi="Times New Roman"/>
              </w:rPr>
              <w:t xml:space="preserve"> </w:t>
            </w:r>
          </w:p>
          <w:p w14:paraId="3021FDAB"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Βλέπε επεξήγηση για το υπόδειγμα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8, 13</w:t>
            </w:r>
          </w:p>
        </w:tc>
        <w:tc>
          <w:tcPr>
            <w:tcW w:w="7654" w:type="dxa"/>
          </w:tcPr>
          <w:p w14:paraId="102AB9F3"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Επανατιτλοποίηση</w:t>
            </w:r>
          </w:p>
          <w:p w14:paraId="522C4E42"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Βλέπε επεξήγηση για το υπόδειγμα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0CE1D535" w14:textId="77777777" w:rsidR="007224D6" w:rsidRPr="007F4CC8" w:rsidRDefault="007224D6" w:rsidP="004F3087">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Σύνθετες συναλλαγές</w:t>
            </w:r>
          </w:p>
          <w:p w14:paraId="4EBD0B20" w14:textId="77777777" w:rsidR="007224D6" w:rsidRPr="007F4CC8" w:rsidRDefault="007224D6" w:rsidP="004F3087">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Βλέπε επεξήγηση για το υπόδειγμα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sz w:val="24"/>
          <w:rFonts w:ascii="Times New Roman" w:hAnsi="Times New Roman" w:cs="Times New Roman"/>
        </w:rPr>
      </w:pPr>
      <w:r>
        <w:rPr>
          <w:sz w:val="24"/>
          <w:b/>
          <w:rFonts w:ascii="Times New Roman" w:hAnsi="Times New Roman"/>
        </w:rPr>
        <w:t xml:space="preserve">Υπόδειγμα EU SEC4 – Ανοίγματα τιτλοποίησης εντός του χαρτοφυλακίου συναλλαγών και σχετικές κανονιστικές απαιτήσεις κεφαλαίου – ίδρυμα που ενεργεί ως επενδυτής.</w:t>
      </w:r>
      <w:r>
        <w:rPr>
          <w:sz w:val="24"/>
          <w:b/>
          <w:rFonts w:ascii="Times New Roman" w:hAnsi="Times New Roman"/>
        </w:rPr>
        <w:t xml:space="preserve"> </w:t>
      </w:r>
      <w:r>
        <w:rPr>
          <w:sz w:val="24"/>
          <w:rFonts w:ascii="Times New Roman" w:hAnsi="Times New Roman"/>
        </w:rPr>
        <w:t xml:space="preserve">Σταθερός μορφότυπος.</w:t>
      </w:r>
    </w:p>
    <w:p w14:paraId="4F6C6877"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449 στοιχείο ια) σημείο ii) του ΚΚΑ ακολουθώντας τις οδηγίες που παρέχονται παρακάτω στο παρόν παράρτημα για τη συμπλήρωση του υποδείγματος EU SEC4, το οποίο παρατίθεται στο παράρτημα XXVII του παρόντος εκτελεστικού κανονισμού.</w:t>
      </w:r>
    </w:p>
    <w:p w14:paraId="0CF07294"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αναφέρονται στις οδηγίες για το υπόδειγμα EU SEC3 – Ανοίγματα τιτλοποίησης εκτός του χαρτοφυλακίου συναλλαγών και σχετικές απαιτήσεις ρυθμιστικών κεφαλαίων – ίδρυμα που ενεργεί ως μεταβιβάζων ή ως ανάδοχος.</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b/>
          <w:sz w:val="24"/>
          <w:rFonts w:ascii="Times New Roman" w:hAnsi="Times New Roman" w:cs="Times New Roman"/>
        </w:rPr>
      </w:pPr>
      <w:r>
        <w:rPr>
          <w:sz w:val="24"/>
          <w:b/>
          <w:rFonts w:ascii="Times New Roman" w:hAnsi="Times New Roman"/>
        </w:rPr>
        <w:t xml:space="preserve">Υπόδειγμα EU SEC5 – Ανοίγματα που τιτλοποιούνται από το ίδρυμα – Ανοίγματα σε αθέτηση και ειδικές προσαρμογές πιστωτικού κινδύνου.</w:t>
      </w:r>
      <w:r>
        <w:rPr>
          <w:sz w:val="24"/>
          <w:b/>
          <w:rFonts w:ascii="Times New Roman" w:hAnsi="Times New Roman"/>
        </w:rPr>
        <w:t xml:space="preserve"> </w:t>
      </w:r>
      <w:r>
        <w:rPr>
          <w:sz w:val="24"/>
          <w:rFonts w:ascii="Times New Roman" w:hAnsi="Times New Roman"/>
        </w:rPr>
        <w:t xml:space="preserve">Σταθερός μορφότυπος.</w:t>
      </w:r>
    </w:p>
    <w:p w14:paraId="29D8D2DD" w14:textId="77777777" w:rsidR="007224D6" w:rsidRPr="007F4CC8" w:rsidRDefault="007224D6" w:rsidP="007224D6">
      <w:pPr>
        <w:pStyle w:val="ListParagraph"/>
        <w:numPr>
          <w:ilvl w:val="0"/>
          <w:numId w:val="2"/>
        </w:numPr>
        <w:spacing w:before="120" w:after="120"/>
        <w:ind w:left="432"/>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449 στοιχείο ιβ) του ΚΚΑ ανά είδος ανοίγματος τιτλοποίησης, ακολουθώντας τις οδηγίες που παρέχονται παρακάτω στο παρόν παράρτημα για τη συμπλήρωση του υποδείγματος EU SEC5, το οποίο παρατίθεται στο παράρτημα XXVII του παρόντος εκτελεστικού κανονισμού.</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b/>
                <w:sz w:val="24"/>
                <w:rFonts w:ascii="Times New Roman" w:hAnsi="Times New Roman" w:cs="Times New Roman"/>
              </w:rPr>
            </w:pPr>
            <w:r>
              <w:rPr>
                <w:b/>
                <w:sz w:val="24"/>
                <w:rFonts w:ascii="Times New Roman" w:hAnsi="Times New Roman"/>
              </w:rPr>
              <w:t xml:space="preserve">Αναφορά στήλης</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α</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 ανεξόφλητο ονομαστικό υπόλοιπο</w:t>
            </w:r>
          </w:p>
          <w:p w14:paraId="1C72EF10"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Συνολικό ανεξόφλητο ονομαστικό υπόλοιπο των ανοιγμάτων που τιτλοποιούνται από το ίδρυμα (το ίδρυμα ενεργεί ως μεταβιβάζων ή ως ανάδοχος), κατανεμημένο ανά είδος ανοίγματος τιτλοποίησης</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β</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b/>
                <w:sz w:val="24"/>
                <w:rFonts w:ascii="Times New Roman" w:eastAsia="Times New Roman" w:hAnsi="Times New Roman" w:cs="Times New Roman"/>
              </w:rPr>
            </w:pPr>
            <w:r>
              <w:rPr>
                <w:b/>
                <w:sz w:val="24"/>
                <w:rFonts w:ascii="Times New Roman" w:hAnsi="Times New Roman"/>
              </w:rPr>
              <w:t xml:space="preserve">Συνολικό ανεξόφλητο ονομαστικό υπόλοιπο – Εκ του οποίου ανοίγματα σε αθέτηση</w:t>
            </w:r>
          </w:p>
          <w:p w14:paraId="1C467B87"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Style w:val="InstructionsTabelleText"/>
                <w:rFonts w:ascii="Times New Roman" w:hAnsi="Times New Roman"/>
              </w:rPr>
              <w:t xml:space="preserve">Συνολικό ανεξόφλητο ονομαστικό ποσό </w:t>
            </w:r>
            <w:r>
              <w:rPr>
                <w:sz w:val="24"/>
                <w:rFonts w:ascii="Times New Roman" w:hAnsi="Times New Roman"/>
              </w:rPr>
              <w:t xml:space="preserve">ανοιγμάτων που τιτλοποιήθηκαν από το ίδρυμα (το ίδρυμα ενεργεί ως μεταβιβάζουσα οντότητα ή ανάδοχος οντότητα) </w:t>
            </w:r>
            <w:r>
              <w:rPr>
                <w:sz w:val="24"/>
                <w:rStyle w:val="InstructionsTabelleText"/>
                <w:rFonts w:ascii="Times New Roman" w:hAnsi="Times New Roman"/>
              </w:rPr>
              <w:t xml:space="preserve">τα οποία έχουν ταξινομηθεί ως “ανοίγματα σε αθέτηση” σύμφωνα με το άρθρο 178 του ΚΚΑ,</w:t>
            </w:r>
            <w:r>
              <w:rPr>
                <w:sz w:val="24"/>
                <w:rFonts w:ascii="Times New Roman" w:hAnsi="Times New Roman"/>
              </w:rPr>
              <w:t xml:space="preserve"> κατανεμημένα ανά είδος ανοίγματος τιτλοποίησης</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sz w:val="24"/>
                <w:rFonts w:ascii="Times New Roman" w:eastAsia="Times New Roman" w:hAnsi="Times New Roman" w:cs="Times New Roman"/>
              </w:rPr>
            </w:pPr>
            <w:r>
              <w:rPr>
                <w:sz w:val="24"/>
                <w:rFonts w:ascii="Times New Roman" w:hAnsi="Times New Roman"/>
              </w:rPr>
              <w:t xml:space="preserve">γ</w:t>
            </w:r>
          </w:p>
        </w:tc>
        <w:tc>
          <w:tcPr>
            <w:tcW w:w="7654" w:type="dxa"/>
            <w:shd w:val="clear" w:color="auto" w:fill="auto"/>
          </w:tcPr>
          <w:p w14:paraId="0B22FDE6" w14:textId="77777777" w:rsidR="007224D6" w:rsidRPr="007F4CC8" w:rsidRDefault="007224D6" w:rsidP="004F3087">
            <w:pPr>
              <w:rPr>
                <w:b/>
                <w:sz w:val="24"/>
                <w:rFonts w:ascii="Times New Roman" w:eastAsia="Times New Roman" w:hAnsi="Times New Roman" w:cs="Times New Roman"/>
              </w:rPr>
            </w:pPr>
            <w:r>
              <w:rPr>
                <w:b/>
                <w:sz w:val="24"/>
                <w:rFonts w:ascii="Times New Roman" w:hAnsi="Times New Roman"/>
              </w:rPr>
              <w:t xml:space="preserve">Ειδικές προσαρμογές πιστωτικού κινδύνου πραγματοποιούμενες κατά την περίοδο</w:t>
            </w:r>
          </w:p>
          <w:p w14:paraId="587328A2" w14:textId="77777777" w:rsidR="007224D6" w:rsidRPr="007F4CC8" w:rsidRDefault="007224D6" w:rsidP="004F3087">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Ποσό των ειδικών προσαρμογών πιστωτικού κινδύνου που πραγματοποιήθηκαν κατά την περίοδο, σύμφωνα με το άρθρο 110 του ΚΚΑ, στα ανοίγματα που τιτλοποιούνται από το ίδρυμα (το ίδρυμα ενεργεί ως μεταβιβάζων ή ως ανάδοχος), κατανεμημένο ανά είδος ανοίγματος τιτλοποίησης</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61807072" w:rsidR="007224D6" w:rsidRPr="00222AAB" w:rsidRDefault="007224D6" w:rsidP="007224D6">
      <w:pPr>
        <w:pStyle w:val="FootnoteText"/>
        <w:rPr>
          <w:rFonts w:cstheme="minorHAnsi"/>
        </w:rPr>
      </w:pPr>
      <w:r>
        <w:rPr>
          <w:rStyle w:val="FootnoteReference"/>
          <w:rFonts w:cstheme="minorHAnsi"/>
        </w:rPr>
        <w:footnoteRef/>
      </w:r>
      <w:r>
        <w:tab/>
      </w:r>
      <w: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r>
      <w:r>
        <w:t xml:space="preserve">ΚΑΝΟΝΙΣΜΟΣ (ΕΕ) 2017/2402 ΤΟΥ ΕΥΡΩΠΑΪΚΟΥ ΚΟΙΝΟΒΟΥΛΙΟΥ ΚΑΙ ΤΟΥ ΣΥΜΒΟΥΛΙΟΥ,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L 347 της 28.12.2017, σ.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B7A26" w14:textId="3746393D" w:rsidR="007D0B06" w:rsidRDefault="007D0B06">
    <w:pPr>
      <w:pStyle w:val="Header"/>
    </w:pPr>
    <w: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FD7E7" w14:textId="124A243B" w:rsidR="007D0B06" w:rsidRDefault="007D0B06">
    <w:pPr>
      <w:pStyle w:val="Header"/>
    </w:pPr>
    <w: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5C9C8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0BBF" w14:textId="6FBDC6EC" w:rsidR="007D0B06" w:rsidRDefault="007D0B06">
    <w:pPr>
      <w:pStyle w:val="Header"/>
    </w:pPr>
    <w: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7224D6"/>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AUTO/?uri=OJ:L:2013:176:TOC"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7BAF24-809A-4659-9542-712A446FCAD5}"/>
</file>

<file path=customXml/itemProps2.xml><?xml version="1.0" encoding="utf-8"?>
<ds:datastoreItem xmlns:ds="http://schemas.openxmlformats.org/officeDocument/2006/customXml" ds:itemID="{07FFA7D6-BD25-421F-9032-C3D41DE3352A}"/>
</file>

<file path=customXml/itemProps3.xml><?xml version="1.0" encoding="utf-8"?>
<ds:datastoreItem xmlns:ds="http://schemas.openxmlformats.org/officeDocument/2006/customXml" ds:itemID="{01DB4EF5-B15A-436D-B8A8-FCAEFA41E6B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2067</Words>
  <Characters>11785</Characters>
  <Application>Microsoft Office Word</Application>
  <DocSecurity>0</DocSecurity>
  <Lines>98</Lines>
  <Paragraphs>27</Paragraphs>
  <ScaleCrop>false</ScaleCrop>
  <Company>European Banking Authority</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Lidja Schiavo</cp:lastModifiedBy>
  <cp:revision>3</cp:revision>
  <dcterms:created xsi:type="dcterms:W3CDTF">2021-03-11T13:29:00Z</dcterms:created>
  <dcterms:modified xsi:type="dcterms:W3CDTF">2024-06-19T10:29:00Z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