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0B2EC" w14:textId="77777777" w:rsidR="00C04D6C" w:rsidRPr="007F4CC8" w:rsidRDefault="00C04D6C" w:rsidP="00C04D6C">
      <w:pPr>
        <w:pStyle w:val="Annexetitre"/>
      </w:pPr>
      <w:r>
        <w:t xml:space="preserve">PŘÍLOHA VI – Pokyny k zpřístupňování informací o oblasti působnosti regulatorního rámce</w:t>
      </w:r>
    </w:p>
    <w:p w14:paraId="4DDCFE1F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320DC4CD" w14:textId="77777777" w:rsidR="00C04D6C" w:rsidRPr="007F4CC8" w:rsidRDefault="00C04D6C" w:rsidP="00C04D6C">
      <w:pPr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Šablona EU LI1 – Rozdíly mezi rozsahem účetní a regulatorní konsolidace a přiřazování kategorií účetní závěrky ke kategoriím regulačních rizik.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Flexibilní formát.</w:t>
      </w:r>
    </w:p>
    <w:p w14:paraId="5543C8A2" w14:textId="77777777" w:rsidR="00C04D6C" w:rsidRPr="007F4CC8" w:rsidRDefault="00C04D6C" w:rsidP="00C04D6C">
      <w:pPr>
        <w:rPr>
          <w:rFonts w:ascii="Times New Roman" w:hAnsi="Times New Roman" w:cs="Times New Roman"/>
          <w:b/>
          <w:sz w:val="24"/>
        </w:rPr>
      </w:pPr>
    </w:p>
    <w:p w14:paraId="2474D8BA" w14:textId="373BCCC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436 písm. c) nařízení (EU) č. 575/2013</w:t>
      </w:r>
      <w:r w:rsidRPr="007F4CC8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(dále jen „CRR“) zpřístupňují instituce podle následujících pokynů k vyplnění šablony EU LI1, obsažené v příloze 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0D9C5174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AB244C" w14:textId="77777777" w:rsidR="00C04D6C" w:rsidRPr="007F4CC8" w:rsidRDefault="00C04D6C" w:rsidP="00D819DE">
            <w:pPr>
              <w:pStyle w:val="TableTitle"/>
              <w:spacing w:before="0" w:after="0"/>
              <w:jc w:val="left"/>
              <w:rPr>
                <w:noProof w:val="0"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C04D6C" w:rsidRPr="007F4CC8" w14:paraId="3FA5AAD9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ED7A73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7F672A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200E05C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981295" w14:textId="77777777" w:rsidR="00C04D6C" w:rsidRPr="007F4CC8" w:rsidRDefault="00C04D6C" w:rsidP="00D819DE">
            <w:pPr>
              <w:spacing w:before="6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 až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0DD078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Aktiva celkem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7036C79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Struktura řádků se shoduje se strukturou řádků rozvahy použité v posledním dostupném účetním výkaznictví instituce.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96558D7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„Účetním výkaznictvím“ se rozumí roční individuální nebo konsolidované účetní závěrky vymezené v článcích 4 a 24 směrnice (EU) 2013/34</w:t>
            </w:r>
            <w:r w:rsidRPr="007F4CC8">
              <w:rPr>
                <w:rStyle w:val="FootnoteReference"/>
                <w:rFonts w:eastAsia="Times New Roman" w:cs="Times New Roman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, jakož i (v příslušných případech) finanční výkazy ve smyslu mezinárodních účetních standardů schválených v EU v rámci provádění nařízení (ES) č. 1606/2002</w:t>
            </w:r>
            <w:r w:rsidRPr="007F4CC8">
              <w:rPr>
                <w:rStyle w:val="FootnoteReference"/>
                <w:rFonts w:eastAsia="Times New Roman" w:cs="Times New Roman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C04D6C" w:rsidRPr="007F4CC8" w14:paraId="37C63F49" w14:textId="77777777" w:rsidTr="00D819DE">
        <w:trPr>
          <w:trHeight w:val="81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F61D4" w14:textId="77777777" w:rsidR="00C04D6C" w:rsidRPr="007F4CC8" w:rsidRDefault="00C04D6C" w:rsidP="00D819DE">
            <w:pPr>
              <w:spacing w:before="6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 až XXX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58DC01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Závazky celkem</w:t>
            </w:r>
          </w:p>
          <w:p w14:paraId="3FFCF1F9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Struktura řádků se shoduje se strukturou řádků rozvahy použité v posledním dostupném účetním výkaznictví instituce.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5DBAE9A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„Účetním výkaznictvím“ se rozumí roční individuální nebo konsolidované účetní závěrky vymezené v článcích 4 a 24 směrnice 2013/34/EU, jakož i (v příslušných případech) finanční výkazy ve smyslu mezinárodních účetních standardů schválené v EU v rámci provádění nařízení (ES) 1606/2002.</w:t>
            </w:r>
          </w:p>
        </w:tc>
      </w:tr>
    </w:tbl>
    <w:p w14:paraId="4B76983A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1FBAD891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17B22538" w14:textId="77777777" w:rsidTr="00D819DE">
        <w:trPr>
          <w:trHeight w:val="7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12F0F1" w14:textId="77777777" w:rsidR="00C04D6C" w:rsidRPr="007F4CC8" w:rsidRDefault="00C04D6C" w:rsidP="00D819DE">
            <w:pPr>
              <w:pStyle w:val="TableTitle"/>
              <w:spacing w:before="0" w:after="0"/>
              <w:jc w:val="left"/>
              <w:rPr>
                <w:noProof w:val="0"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C04D6C" w:rsidRPr="007F4CC8" w14:paraId="43350AAC" w14:textId="77777777" w:rsidTr="00D819DE">
        <w:trPr>
          <w:trHeight w:val="238"/>
        </w:trPr>
        <w:tc>
          <w:tcPr>
            <w:tcW w:w="1384" w:type="dxa"/>
            <w:tcBorders>
              <w:bottom w:val="nil"/>
            </w:tcBorders>
            <w:shd w:val="clear" w:color="auto" w:fill="D9D9D9" w:themeFill="background1" w:themeFillShade="D9"/>
          </w:tcPr>
          <w:p w14:paraId="284A9CC1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D9D9D9" w:themeFill="background1" w:themeFillShade="D9"/>
          </w:tcPr>
          <w:p w14:paraId="516C4F8F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7AEEADD6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E74DA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5" w:type="dxa"/>
            <w:shd w:val="clear" w:color="auto" w:fill="FFFFFF" w:themeFill="background1"/>
          </w:tcPr>
          <w:p w14:paraId="189A484C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Účetní hodnoty vykázané ve zveřejněné účetní závěrce</w:t>
            </w:r>
          </w:p>
          <w:p w14:paraId="71D45C87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vykázaná na straně aktiv a na straně pasiv rozvahy, která je stanovena na základě požadavků na konsolidaci v příslušném účetním rámci včetně rámců na základě směrnice (EU) 2013/34/EU a směrnice (EHS) 86/635</w:t>
            </w:r>
            <w:r w:rsidRPr="007F4CC8">
              <w:rPr>
                <w:rStyle w:val="FootnoteReference"/>
                <w:rFonts w:eastAsia="Times New Roman" w:cs="Times New Roman"/>
              </w:rPr>
              <w:footnoteReference w:id="4"/>
            </w:r>
            <w:r>
              <w:rPr>
                <w:sz w:val="24"/>
                <w:rFonts w:ascii="Times New Roman" w:hAnsi="Times New Roman"/>
              </w:rPr>
              <w:t xml:space="preserve"> nebo mezinárodních účetních standardů schválených v EU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80AF56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18FE24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5" w:type="dxa"/>
            <w:shd w:val="clear" w:color="auto" w:fill="FFFFFF" w:themeFill="background1"/>
          </w:tcPr>
          <w:p w14:paraId="77E7A6A9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Účetní hodnoty podle obezřetnostní konsolidace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CF19370" w14:textId="77777777" w:rsidR="00C04D6C" w:rsidRPr="007F4CC8" w:rsidRDefault="00C04D6C" w:rsidP="00D819DE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vykázaná na straně aktiv a na straně pasiv rozvahy, která je stanovena na základě požadavků na regulatorní konsolidaci v části první hlavě II oddílech 2 a 3 CRR.</w:t>
            </w:r>
          </w:p>
          <w:p w14:paraId="2AB1F4D9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Pokud je rozsah účetní konsolidace zcela shodný s rozsahem obezřetnostní konsolidace, sloupce a) a b) této přílohy se sloučí.</w:t>
            </w:r>
          </w:p>
        </w:tc>
      </w:tr>
      <w:tr w:rsidR="00C04D6C" w:rsidRPr="007F4CC8" w14:paraId="55AFC8C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2775890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5" w:type="dxa"/>
            <w:shd w:val="clear" w:color="auto" w:fill="FFFFFF" w:themeFill="background1"/>
          </w:tcPr>
          <w:p w14:paraId="63176B46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Účetní hodnoty položek spadajících do rámce pro úvěrové riziko</w:t>
            </w:r>
          </w:p>
          <w:p w14:paraId="147B3513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Účetní hodnoty podle obezřetnostní konsolidace položek (jiných než podrozvahových položek), na které se vztahuje část třetí hlava II kapitoly 2 a 3 CRR.</w:t>
            </w:r>
          </w:p>
        </w:tc>
      </w:tr>
      <w:tr w:rsidR="00C04D6C" w:rsidRPr="007F4CC8" w14:paraId="30C9B06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3B77BC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  <w:shd w:val="clear" w:color="auto" w:fill="FFFFFF" w:themeFill="background1"/>
          </w:tcPr>
          <w:p w14:paraId="41152FB4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Účetní hodnoty položek spadajících do rámce pro úvěrové riziko protistrany</w:t>
            </w:r>
          </w:p>
          <w:p w14:paraId="64D3EA2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Účetní hodnoty podle obezřetnostní konsolidace položek (jiných než podrozvahových položek), na které se vztahuje část třetí hlava II kapitola 6 CRR.</w:t>
            </w:r>
          </w:p>
        </w:tc>
      </w:tr>
      <w:tr w:rsidR="00C04D6C" w:rsidRPr="007F4CC8" w14:paraId="7E7B04C2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480628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  <w:shd w:val="clear" w:color="auto" w:fill="FFFFFF" w:themeFill="background1"/>
          </w:tcPr>
          <w:p w14:paraId="0C501D4D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Účetní hodnoty položek spadajících do rámce pro sekuritizaci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880C10D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Účetní hodnoty podle obezřetnostní konsolidace položek (jiných než podrozvahových položek) z investičního portfolia, na které se vztahuje část třetí hlava II kapitola 5 CRR.</w:t>
            </w:r>
          </w:p>
        </w:tc>
      </w:tr>
      <w:tr w:rsidR="00C04D6C" w:rsidRPr="007F4CC8" w14:paraId="2B965A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0727C3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  <w:shd w:val="clear" w:color="auto" w:fill="FFFFFF" w:themeFill="background1"/>
          </w:tcPr>
          <w:p w14:paraId="5313251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Účetní hodnoty položek spadajících do rámce pro tržní riziko</w:t>
            </w:r>
          </w:p>
          <w:p w14:paraId="2081B8AC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Účetní hodnoty podle obezřetnostní konsolidace položek (jiných než podrozvahových položek), na které se vztahuje část třetí hlava IV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 tomto sloupci se uvádějí položky odpovídající sekuritizovaným pozicím v obchodním portfoliu, na které se vztahují požadavky části třetí hlavy IV CRR.</w:t>
            </w:r>
          </w:p>
        </w:tc>
      </w:tr>
      <w:tr w:rsidR="00C04D6C" w:rsidRPr="007F4CC8" w14:paraId="4EA0353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421ACD4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  <w:shd w:val="clear" w:color="auto" w:fill="FFFFFF" w:themeFill="background1"/>
          </w:tcPr>
          <w:p w14:paraId="1942AC90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Účetní hodnoty položek nepodléhajících kapitálovým požadavkům nebo podléhajících odpočtu od kapitálu</w:t>
            </w:r>
          </w:p>
          <w:p w14:paraId="2DE2BC86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Účetní hodnoty podle obezřetnostní konsolidace položek (jiných než podrozvahových položek), které nepodléhají kapitálovým požadavkům podle CRR;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účetní hodnoty podle obezřetnostní konsolidace položek (jiných než podrozvahových položek), které podléhají odpočtům od kapitálu podle části druhé CRR.</w:t>
            </w:r>
          </w:p>
          <w:p w14:paraId="6E671A99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Odečítané položky mohou zahrnovat například položky vyjmenované v článcích 37, 38, 39 a 41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4744916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Hodnotami u aktiv se rozumí částky skutečně odečtené od kapitálu, a to se zohledněním veškerých započtení proti závazkům povolených na základě odpočtu podle příslušných článků části druhé CRR (a jakýchkoli prahových hodnot těchto odpočtů).</w:t>
            </w:r>
          </w:p>
          <w:p w14:paraId="7C247AE0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Použije-li se na položky vyjmenované v čl. 36 odst. 1 písm. k) a v článku 48 CRR riziková váha 1 250 % namísto odpočtu, nebudou uvedeny ve sloupci g) této šablony, ale v ostatních příslušných sloupcích šablony EU LI1.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To platí také pro veškeré ostatní položky s rizikovou vahou 1 250 % podle požadavků CRR.</w:t>
            </w:r>
          </w:p>
          <w:p w14:paraId="1E8AD1D2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Hodnotami u pasiv se rozumí objem závazků, které musí být zohledněny při stanovení výše aktiv, která mají být odečtena od kapitálu, podle příslušných článků v části druhé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Kromě toho se v tomto sloupci uvedou všechny závazky jiné než ty, které i) jsou relevantní pro uplatnění požadavků části třetí hlavy II kapitoly 4 CRR, nebo ii) které jsou relevantní pro uplatnění požadavků části třetí hlavy II kapitoly 6 CRR a části třetí hlavy IV CRR.</w:t>
            </w:r>
          </w:p>
        </w:tc>
      </w:tr>
      <w:tr w:rsidR="00C04D6C" w:rsidRPr="007F4CC8" w14:paraId="7179E48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32737BA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vše</w:t>
            </w:r>
          </w:p>
        </w:tc>
        <w:tc>
          <w:tcPr>
            <w:tcW w:w="7655" w:type="dxa"/>
            <w:shd w:val="clear" w:color="auto" w:fill="FFFFFF" w:themeFill="background1"/>
          </w:tcPr>
          <w:p w14:paraId="4291E137" w14:textId="77777777" w:rsidR="00C04D6C" w:rsidRPr="007F4CC8" w:rsidRDefault="00C04D6C" w:rsidP="00D819DE">
            <w:pPr>
              <w:spacing w:before="60" w:after="120"/>
              <w:ind w:left="34"/>
              <w:jc w:val="both"/>
              <w:rPr>
                <w:b/>
                <w:color w:val="000000" w:themeColor="text1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Pokud jediná položka podléhá kapitálovým požadavkům podle více rámců pro rizika, uvedou se hodnoty ve všech sloupcích odpovídajících příslušným kapitálovým požadavkům.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 důsledku toho může být součet hodnot ve sloupcích c) až g) této šablony vyšší než hodnota ve sloupci b) této šablony.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Instituce poskytnou kvalitativní vysvětlení aktiv a pasiv, na která se vztahují kapitálové požadavky více rámců pro rizika vyjmenované v části třetí CRR.</w:t>
            </w:r>
          </w:p>
        </w:tc>
      </w:tr>
    </w:tbl>
    <w:p w14:paraId="6C41F2CD" w14:textId="77777777" w:rsidR="00C04D6C" w:rsidRPr="007F4CC8" w:rsidRDefault="00C04D6C" w:rsidP="00C04D6C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390C8CCC" w14:textId="77777777" w:rsidR="00C04D6C" w:rsidRPr="007F4CC8" w:rsidRDefault="00C04D6C" w:rsidP="00C04D6C">
      <w:pPr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Šablona EU LI2 – Hlavní zdroje rozdílů mezi regulatorními hodnotami expozic a účetními hodnotami v účetní závěrce.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Pevně daný formát.</w:t>
      </w:r>
      <w:r>
        <w:rPr>
          <w:sz w:val="24"/>
          <w:b/>
          <w:rFonts w:ascii="Times New Roman" w:hAnsi="Times New Roman"/>
        </w:rPr>
        <w:t xml:space="preserve"> </w:t>
      </w:r>
    </w:p>
    <w:p w14:paraId="31823E5C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color w:val="000000" w:themeColor="text1"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436 písm. d) CRR zpřístupní instituce podle následujících pokynů k vyplnění šablony EU LI2, obsažené v příloze V tohoto prováděcího nařízení.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2E557FAA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9F1780" w14:textId="77777777" w:rsidR="00C04D6C" w:rsidRPr="007F4CC8" w:rsidRDefault="00C04D6C" w:rsidP="00D819DE">
            <w:pPr>
              <w:rPr>
                <w:b/>
                <w:sz w:val="24"/>
                <w:highlight w:val="yellow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C04D6C" w:rsidRPr="007F4CC8" w14:paraId="351DFAD6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10F617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61B01B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6B5341A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A2CBB6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655" w:type="dxa"/>
            <w:shd w:val="clear" w:color="auto" w:fill="FFFFFF" w:themeFill="background1"/>
          </w:tcPr>
          <w:p w14:paraId="011E728E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Výše účetní hodnoty aktiv, na niž se vztahuje působnost obezřetnostní konsolidace</w:t>
            </w:r>
          </w:p>
          <w:p w14:paraId="081D6909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Hodnoty ve sloupcích b) až e) této šablony jsou shodné s hodnotami ve sloupcích c) až f) šablony EU LI1.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263E4AC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09AE2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  <w:shd w:val="clear" w:color="auto" w:fill="FFFFFF" w:themeFill="background1"/>
          </w:tcPr>
          <w:p w14:paraId="326A8BD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Výše účetní hodnoty pasiv, na niž se vztahuje působnost obezřetnostní konsolidace</w:t>
            </w:r>
          </w:p>
          <w:p w14:paraId="3C83C58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Hodnoty ve sloupcích b) až e) této šablony jsou shodné s hodnotami ve sloupcích c) až f) šablony EU LI1.</w:t>
            </w:r>
          </w:p>
        </w:tc>
      </w:tr>
      <w:tr w:rsidR="00C04D6C" w:rsidRPr="007F4CC8" w14:paraId="2311BC4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3EC8642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  <w:shd w:val="clear" w:color="auto" w:fill="FFFFFF" w:themeFill="background1"/>
          </w:tcPr>
          <w:p w14:paraId="28B60EAC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Čistá výše, na niž se vztahuje působnost obezřetnostní konsolidace, celkem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B5D974D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Výše po rozvahovém započtení aktiv a pasiv podle obezřetnostní konsolidace bez ohledu na způsobilost těchto aktiv a pasiv pro konkrétní pravidla započtení při uplatnění části třetí hlavy II kapitol 4 a 5 a části třetí hlavy IV CRR.</w:t>
            </w:r>
          </w:p>
          <w:p w14:paraId="0082555F" w14:textId="77777777" w:rsidR="00C04D6C" w:rsidRPr="007F4CC8" w:rsidRDefault="00C04D6C" w:rsidP="00D819DE">
            <w:pPr>
              <w:spacing w:before="60" w:after="120"/>
              <w:jc w:val="both"/>
              <w:rPr>
                <w:color w:val="A8D08D" w:themeColor="accent6" w:themeTint="99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v tomto řádku se bude rovnat hodnotě v řádku 1 po odečtení hodnoty v řádku 2 této šablony.</w:t>
            </w:r>
          </w:p>
        </w:tc>
      </w:tr>
      <w:tr w:rsidR="00C04D6C" w:rsidRPr="007F4CC8" w14:paraId="3CEA5481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A71EF4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55" w:type="dxa"/>
            <w:shd w:val="clear" w:color="auto" w:fill="FFFFFF" w:themeFill="background1"/>
          </w:tcPr>
          <w:p w14:paraId="7FF54E31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Podrozvahové hodnoty</w:t>
            </w:r>
          </w:p>
          <w:p w14:paraId="00C5BCD8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Obsahují původní podrozvahové expozice, před případným použitím konverzního faktoru, ze sestaveného prohlášení o podrozvaze podle obezřetnostní konsolidace ve sloupcích a) až d) této šablony.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215A6DC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B8AEE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5" w:type="dxa"/>
            <w:shd w:val="clear" w:color="auto" w:fill="FFFFFF" w:themeFill="background1"/>
          </w:tcPr>
          <w:p w14:paraId="3C19E71F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Rozdíly v ocenění</w:t>
            </w:r>
          </w:p>
          <w:p w14:paraId="48C473FE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Dopad účetní hodnoty úprav ocenění podle části druhé hlavy I kapitoly 2 článku 34 CRR a části třetí hlavy I kapitoly 3 článku 105 CRR na expozice v obchodním a investičním portfoliu oceněné reálnou hodnotou v souladu s příslušným účetním rámcem.</w:t>
            </w:r>
          </w:p>
          <w:p w14:paraId="33A2A80C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Tato hodnota je v souladu s hodnotou v řádku 7 šablony EU CC1 a také s hodnotou v řádku 12 sloupci f) šablony EU PV1.</w:t>
            </w:r>
          </w:p>
        </w:tc>
      </w:tr>
      <w:tr w:rsidR="00C04D6C" w:rsidRPr="007F4CC8" w14:paraId="2EDE1179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3AEF8E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5" w:type="dxa"/>
            <w:shd w:val="clear" w:color="auto" w:fill="FFFFFF" w:themeFill="background1"/>
          </w:tcPr>
          <w:p w14:paraId="3A8E70A3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Rozdíly vzniklé z titulu rozdílných pravidel započtení, mimo rozdíly uvedené na řádku 2 této šablony</w:t>
            </w:r>
          </w:p>
          <w:p w14:paraId="0583DDBB" w14:textId="77777777" w:rsidR="00C04D6C" w:rsidRPr="007F4CC8" w:rsidRDefault="00C04D6C" w:rsidP="00D819DE">
            <w:pPr>
              <w:spacing w:before="60" w:after="12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Tato položka se týká hodnoty čisté rozvahové a podrozvahové expozice po uplatnění konkrétních pravidel započtení podle části třetí hlavy II kapitol 4 a 5 a části třetí hlavy IV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Dopad uplatnění pravidel započtení může být záporný (v případě, že je nutné započíst více expozic, než je použití rozvahového započtení v řádku 2 této šablony) nebo kladný (v případě, že je po uplatnění pravidel započtení v CRR započtena nižší hodnota, než je hodnota rozvahového započtení v řádku 2 této šablony).</w:t>
            </w:r>
          </w:p>
        </w:tc>
      </w:tr>
      <w:tr w:rsidR="00C04D6C" w:rsidRPr="007F4CC8" w14:paraId="44759EAA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8510DD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5" w:type="dxa"/>
            <w:shd w:val="clear" w:color="auto" w:fill="FFFFFF" w:themeFill="background1"/>
          </w:tcPr>
          <w:p w14:paraId="788C1A56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Rozdíly vzniklé z titulu zohlednění rezerv</w:t>
            </w:r>
          </w:p>
          <w:p w14:paraId="31DB4868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Opětovné začlenění specifických a obecných úprav o úvěrové riziko do hodnoty expozice (ve smyslu nařízení Komise v přenesené pravomoci (EU) č. 183/2014</w:t>
            </w:r>
            <w:r w:rsidRPr="007F4CC8">
              <w:rPr>
                <w:rStyle w:val="FootnoteReference"/>
                <w:rFonts w:eastAsia="Times New Roman" w:cs="Times New Roman"/>
              </w:rPr>
              <w:footnoteReference w:id="5"/>
            </w:r>
            <w:r>
              <w:rPr>
                <w:sz w:val="24"/>
                <w:rFonts w:ascii="Times New Roman" w:hAnsi="Times New Roman"/>
              </w:rPr>
              <w:t xml:space="preserve">), které byly odečteny v souladu s příslušným účetní rámcem od účetní hodnoty expozic podle části třetí hlavy II kapitoly 3 CRR pro účely vážení rizik.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Pokud jde o expozice, které jsou rizikově vážené podle části třetí hlavy II kapitoly 2 CRR, pak jestliže je účetní hodnota v účetní závěrce podle obezřetnostní konsolidace snížena o složky představující obecné úpravy o úvěrové riziko podle výše uvedeného nařízení v přenesené pravomoci, tyto složky musí být začleněny zpět do hodnoty expozice.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A77124E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F54B44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655" w:type="dxa"/>
            <w:shd w:val="clear" w:color="auto" w:fill="FFFFFF" w:themeFill="background1"/>
          </w:tcPr>
          <w:p w14:paraId="1F94DD70" w14:textId="77777777" w:rsidR="00C04D6C" w:rsidRPr="007F4CC8" w:rsidRDefault="00C04D6C" w:rsidP="00D819DE">
            <w:pPr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Rozdíly vzniklé z titulu použití technik snižování úvěrového rizika</w:t>
            </w:r>
            <w:r>
              <w:rPr>
                <w:b/>
                <w:i/>
                <w:sz w:val="24"/>
                <w:rFonts w:ascii="Times New Roman" w:hAnsi="Times New Roman"/>
              </w:rPr>
              <w:t xml:space="preserve"> </w:t>
            </w:r>
          </w:p>
          <w:p w14:paraId="2CFFDCD8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6EC8050F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Dopad použití technik snižování úvěrového rizika ve smyslu CRR na hodnotu expozice podle obezřetnostní konsolidace.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5ED1EDD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1505E59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5" w:type="dxa"/>
            <w:shd w:val="clear" w:color="auto" w:fill="FFFFFF" w:themeFill="background1"/>
          </w:tcPr>
          <w:p w14:paraId="1E44E476" w14:textId="77777777" w:rsidR="00C04D6C" w:rsidRPr="007F4CC8" w:rsidRDefault="00C04D6C" w:rsidP="00D819DE">
            <w:pPr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Rozdíly vzniklé z titulu úvěrových konverzních faktorů</w:t>
            </w:r>
          </w:p>
          <w:p w14:paraId="53FD5536" w14:textId="77777777" w:rsidR="00C04D6C" w:rsidRPr="007F4CC8" w:rsidRDefault="00C04D6C" w:rsidP="00D819D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14:paraId="38BAEA5C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Dopad použití příslušných konverzních faktorů podle CRR na hodnotu expozice podrozvahových expozic podle obezřetnostní konsolidace.</w:t>
            </w:r>
          </w:p>
          <w:p w14:paraId="75BD9AEB" w14:textId="77777777" w:rsidR="00C04D6C" w:rsidRPr="007F4CC8" w:rsidRDefault="00C04D6C" w:rsidP="00D819DE">
            <w:pPr>
              <w:spacing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Konverzní faktor pro podrozvahové položky, které mají být rizikově váženy při uplatnění části třetí hlavy II CRR, se stanoví v souladu s články 111, 166, 167 a 182 (v rozsahu platném pro úvěrové riziko) a článkem 246 CRR (v rozsahu platném pro riziko sekuritizace).</w:t>
            </w:r>
          </w:p>
        </w:tc>
      </w:tr>
      <w:tr w:rsidR="00C04D6C" w:rsidRPr="007F4CC8" w14:paraId="72BAD6A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74C5B09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655" w:type="dxa"/>
            <w:shd w:val="clear" w:color="auto" w:fill="FFFFFF" w:themeFill="background1"/>
          </w:tcPr>
          <w:p w14:paraId="5F1391ED" w14:textId="77777777" w:rsidR="00C04D6C" w:rsidRPr="007F4CC8" w:rsidRDefault="00C04D6C" w:rsidP="00D819DE">
            <w:pPr>
              <w:spacing w:after="24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i/>
                <w:sz w:val="24"/>
                <w:rFonts w:ascii="Times New Roman" w:hAnsi="Times New Roman"/>
              </w:rPr>
              <w:t xml:space="preserve">Rozdíly vzniklé z titulu sekuritizace s převodem rizika</w:t>
            </w:r>
          </w:p>
          <w:p w14:paraId="0CD216A1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Dopad použití sekuritizovaných transakcí k převodu úvěrového rizika na třetí strany podle CRR na hodnotu expozice podrozvahových expozic.</w:t>
            </w:r>
          </w:p>
        </w:tc>
      </w:tr>
      <w:tr w:rsidR="00C04D6C" w:rsidRPr="007F4CC8" w14:paraId="07DA820F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04CADA4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5" w:type="dxa"/>
            <w:shd w:val="clear" w:color="auto" w:fill="FFFFFF" w:themeFill="background1"/>
          </w:tcPr>
          <w:p w14:paraId="7523D1FE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i/>
                <w:sz w:val="24"/>
                <w:b/>
                <w:rFonts w:ascii="Times New Roman" w:hAnsi="Times New Roman"/>
              </w:rPr>
              <w:t xml:space="preserve">Jiné rozdíly</w:t>
            </w:r>
            <w:r>
              <w:rPr>
                <w:i/>
                <w:sz w:val="24"/>
                <w:rFonts w:ascii="Times New Roman" w:hAnsi="Times New Roman"/>
              </w:rPr>
              <w:t xml:space="preserve"> (jsou-li relevantní)</w:t>
            </w:r>
          </w:p>
          <w:p w14:paraId="7A3BEA11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Další faktory významně ovlivňující rozdíly mezi účetními hodnotami podle účetní závěrky v rámci regulatorní působnosti a hodnotami expozic posuzovanými pro regulatorní účely.</w:t>
            </w:r>
          </w:p>
          <w:p w14:paraId="678F847C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doplní kvantitativní údaje uvedené v tomto řádku o kvalitativní vysvětlení hlavních příčin těchto rozdílů v tabulce EU LIA.</w:t>
            </w:r>
          </w:p>
        </w:tc>
      </w:tr>
      <w:tr w:rsidR="00C04D6C" w:rsidRPr="007F4CC8" w14:paraId="2957570B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64BC3A5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55" w:type="dxa"/>
            <w:shd w:val="clear" w:color="auto" w:fill="FFFFFF" w:themeFill="background1"/>
          </w:tcPr>
          <w:p w14:paraId="2416DA9F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Hodnoty expozic posuzované pro regulatorní účely</w:t>
            </w:r>
          </w:p>
          <w:p w14:paraId="1BCDD663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Celková hodnota považovaná za výchozí bod výpočtu objemu rizikově vážených expozic před uplatněním jiných metod snižování úvěrového rizika, než je započtení v části třetí hlavě II kapitole 4 CRR, a po uplatnění požadavků na započtení v části třetí hlavě II kapitolách 4 a 5 a části třetí hlavě IV téhož nařízení pro jednotlivé kategorie rizik.</w:t>
            </w:r>
          </w:p>
          <w:p w14:paraId="42A65886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Při použití standardizovaného přístupu se jedná o hodnotu po specifických úpravách o úvěrové riziko, dodatečných úpravách ocenění podle článků 34 a 110 CRR a dalším snížení kapitálu souvisejícím s danou položkou aktiv.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podrozvahových položek vyjmenovaných v příloze I tohoto prováděcího nařízení je hodnotou expozice nominální hodnota po odečtení specifických úprav o úvěrové riziko vynásobená použitelným procentním podílem podle čl. 111 odst. 1 písm. a) a d) CRR.</w:t>
            </w:r>
          </w:p>
          <w:p w14:paraId="029EEE3E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Při přístupu IRB se uvede hodnota expozice ve smyslu článků 166, 167 a 168 CRR.</w:t>
            </w:r>
          </w:p>
          <w:p w14:paraId="262660AB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Účetní hodnoty vykázané v účetní závěrce v rámci obezřetnostní konsolidace se tedy uvedou v odpovídajících řádcích 1 až 3 této šablony, zatímco původní podrozvahové expozice se zveřejní v řádku 4 této šablony.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Jakýkoli specifický regulatorní přírůstek nebo úbytek týkající se těchto hodnot je třeba zahrnout do řádků 5 až 11 této šablony, aby bylo vysvětleno, jak tyto hodnoty sesouhlasit s hodnotou expozice, která je pro regulatorní účely výchozím bodem výpočtu objemu rizikově vážených expozic v souladu s každým z rámců uvedených ve sloupcích b) až e) této šablony.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To znamená, že zejména u úvěrového rizika se hodnoty expozic posuzované pro regulatorní účely, které se uvádějí v řádku 12 této šablony, budou lišit od účetních hodnot vykázaných v účetní závěrce v rámci obezřetnostní konsolidace, a to z titulu konkrétního regulatorního režimu účetních opravných položek při výpočtu objemu rizikově vážených expozic.</w:t>
            </w:r>
          </w:p>
        </w:tc>
      </w:tr>
    </w:tbl>
    <w:p w14:paraId="16B30017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6C172395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419A1964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EBCF1EE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C04D6C" w:rsidRPr="007F4CC8" w14:paraId="3E5C9001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CCFAA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5B9A787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6D075D12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00D456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2CBF30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  <w:p w14:paraId="07AF5974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celkem ve sloupci a) šablony EU LI2 = hodnoty ve sloupci b) šablony EU LI1 – hodnoty ve sloupci g) šablony EU LI1.</w:t>
            </w:r>
          </w:p>
        </w:tc>
      </w:tr>
      <w:tr w:rsidR="00C04D6C" w:rsidRPr="007F4CC8" w14:paraId="56B847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8A707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08A540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Členění sloupců v kategoriích regulačního rizika b) až e) odpovídá členění vyjmenovanému v části třetí CRR: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5D5071F3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ACAB2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2F3017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Rámec pro úvěrové riziko</w:t>
            </w:r>
          </w:p>
          <w:p w14:paraId="0254C74A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Expozice v části třetí hlavě II CRR</w:t>
            </w:r>
          </w:p>
          <w:p w14:paraId="096E08B3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Expozice v rámci pro úvěrové riziko odpovídají buď výši expozice při uplatnění standardizovaného přístupu k úvěrovému riziku (viz část třetí hlava II kapitola 2 článek 111 CRR), nebo expozicím v selhání v přístupu IRB k úvěrovému riziku (viz část třetí hlava II kapitola 3 články 166, 167 a 168 CRR).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2E656532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306D9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E8B06A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Rámec pro sekuritizaci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7C4B0D7" w14:textId="77777777" w:rsidR="00C04D6C" w:rsidRPr="007F4CC8" w:rsidRDefault="00C04D6C" w:rsidP="00D819DE">
            <w:pPr>
              <w:spacing w:before="60" w:after="120"/>
              <w:jc w:val="both"/>
              <w:rPr>
                <w:color w:val="A8D08D" w:themeColor="accent6" w:themeTint="99"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Expozice z investičního portfolia uvedené v části třetí hlavě II kapitole 5 CRR</w:t>
            </w:r>
          </w:p>
          <w:p w14:paraId="7FC11C3E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Sekuritizované expozice se určují v souladu s částí třetí hlavou II kapitolou 5 článkem 246 CRR.</w:t>
            </w:r>
          </w:p>
        </w:tc>
      </w:tr>
      <w:tr w:rsidR="00C04D6C" w:rsidRPr="007F4CC8" w14:paraId="6C769D68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E7ED9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922C5F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Rámec úvěrového rizika protistrany (CCR)</w:t>
            </w:r>
          </w:p>
          <w:p w14:paraId="00BCF7AF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Expozice uvedené v části třetí hlavě II kapitole 6 CRR</w:t>
            </w:r>
          </w:p>
        </w:tc>
      </w:tr>
      <w:tr w:rsidR="00C04D6C" w:rsidRPr="007F4CC8" w14:paraId="43A437A0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819EC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B46726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Rámec pro tržní riziko</w:t>
            </w:r>
          </w:p>
          <w:p w14:paraId="73E5DB24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Expozice tržnímu riziku odpovídající pozicím podléhajícím rámci pro tržní riziko v části třetí hlavě IV CRR.</w:t>
            </w:r>
          </w:p>
          <w:p w14:paraId="5414F913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tomto sloupci se vyplňují pouze řádky 1 až 3 a řádek 12 této šablony.</w:t>
            </w:r>
          </w:p>
        </w:tc>
      </w:tr>
      <w:tr w:rsidR="00C04D6C" w:rsidRPr="007F4CC8" w14:paraId="4C3ADD4C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6DA4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vše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0B7E0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Pokud jediná položka podléhá kapitálovým požadavkům podle více rámců pro rizika, uvedou se hodnoty ve všech příslušných sloupcích odpovídajících kapitálovým požadavkům.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 důsledku toho může být součet hodnot ve sloupcích b) až e) této šablony vyšší než hodnota ve sloupci a) této šablony.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Instituce poskytnou kvalitativní vysvětlení aktiv a pasiv, na která se vztahují kapitálové požadavky více rámců pro rizika vyjmenované v části třetí CRR.</w:t>
            </w:r>
          </w:p>
        </w:tc>
      </w:tr>
    </w:tbl>
    <w:p w14:paraId="09488D0C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3F57B012" w14:textId="77777777" w:rsidR="00C04D6C" w:rsidRPr="007F4CC8" w:rsidRDefault="00C04D6C" w:rsidP="00C04D6C">
      <w:pPr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Šablona EU LI3 – Přehled rozdílů v rozsahu konsolidace (podle jednotlivých subjektů)</w:t>
      </w:r>
    </w:p>
    <w:p w14:paraId="220A6A8C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32"/>
        <w:jc w:val="both"/>
        <w:rPr>
          <w:color w:val="000000" w:themeColor="text1"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436 písm. b) CRR zpřístupní instituce podle pokynů k vyplnění šablony EU LI3, obsažené v příloze V tohoto prováděcího nařízení.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79CC600E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A645B2" w14:textId="77777777" w:rsidR="00C04D6C" w:rsidRPr="007F4CC8" w:rsidRDefault="00C04D6C" w:rsidP="00D819DE">
            <w:pPr>
              <w:rPr>
                <w:b/>
                <w:sz w:val="24"/>
                <w:highlight w:val="yellow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C04D6C" w:rsidRPr="007F4CC8" w14:paraId="7049E2D0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08DE13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E06A73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1334C028" w14:textId="77777777" w:rsidTr="00D819DE">
        <w:trPr>
          <w:trHeight w:val="238"/>
        </w:trPr>
        <w:tc>
          <w:tcPr>
            <w:tcW w:w="1384" w:type="dxa"/>
            <w:shd w:val="clear" w:color="auto" w:fill="FFFFFF" w:themeFill="background1"/>
          </w:tcPr>
          <w:p w14:paraId="5D8F2CB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5" w:type="dxa"/>
            <w:shd w:val="clear" w:color="auto" w:fill="FFFFFF" w:themeFill="background1"/>
          </w:tcPr>
          <w:p w14:paraId="58B42D2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Řádky jsou flexibilní.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Zpřístupňují se informace o subjektech, které jsou zahrnuty v účetní a regulatorní konsolidaci definované v souladu s platným účetním rámcem a částí první hlavou II oddíly 2 a 3 CRR, u nichž se metoda účetní konsolidace liší od metody regulatorní konsolidace.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Jeden řádek na každý subjekt.</w:t>
            </w:r>
          </w:p>
        </w:tc>
      </w:tr>
    </w:tbl>
    <w:p w14:paraId="69BC7E98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7F5172AB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59A7A7C7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90813" w14:textId="77777777" w:rsidR="00C04D6C" w:rsidRPr="007F4CC8" w:rsidRDefault="00C04D6C" w:rsidP="00D819DE">
            <w:pPr>
              <w:rPr>
                <w:b/>
                <w:sz w:val="24"/>
                <w:highlight w:val="yellow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C04D6C" w:rsidRPr="007F4CC8" w14:paraId="26169E7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FDC6645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54C2AE7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3A2CC9C4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CCAC83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5" w:type="dxa"/>
            <w:shd w:val="clear" w:color="auto" w:fill="auto"/>
          </w:tcPr>
          <w:p w14:paraId="1A700FFF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Název subjektu</w:t>
            </w:r>
          </w:p>
          <w:p w14:paraId="58226295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Obchodní název jakéhokoli subjektu zahrnutého do regulatorní a účetní konsolidace instituce nebo z ní vyňatého.</w:t>
            </w:r>
          </w:p>
        </w:tc>
      </w:tr>
      <w:tr w:rsidR="00C04D6C" w:rsidRPr="007F4CC8" w14:paraId="7D6C8905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634543A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5" w:type="dxa"/>
            <w:shd w:val="clear" w:color="auto" w:fill="auto"/>
          </w:tcPr>
          <w:p w14:paraId="734193F7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Metoda účetní konsolidace</w:t>
            </w:r>
          </w:p>
          <w:p w14:paraId="35D66850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Metoda konsolidace použitá v souladu s platným účetním rámcem</w:t>
            </w:r>
          </w:p>
        </w:tc>
      </w:tr>
      <w:tr w:rsidR="00C04D6C" w:rsidRPr="007F4CC8" w14:paraId="7823BE70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7D17B5A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 až g</w:t>
            </w:r>
          </w:p>
        </w:tc>
        <w:tc>
          <w:tcPr>
            <w:tcW w:w="7655" w:type="dxa"/>
            <w:shd w:val="clear" w:color="auto" w:fill="auto"/>
          </w:tcPr>
          <w:p w14:paraId="4A761352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Metoda regulatorní konsolidace</w:t>
            </w:r>
          </w:p>
          <w:p w14:paraId="2ED012A6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Metoda konsolidace zavedená pro účely části první hlavy II kapitoly 2 CRR.</w:t>
            </w:r>
          </w:p>
          <w:p w14:paraId="7F682652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Uvádějí se přinejmenším informace o metodách vyjmenovaných v čl. 436 písm. b) CRR.</w:t>
            </w:r>
          </w:p>
          <w:p w14:paraId="59930495" w14:textId="77777777" w:rsidR="00C04D6C" w:rsidRPr="007F4CC8" w:rsidRDefault="00C04D6C" w:rsidP="00D819DE">
            <w:pPr>
              <w:keepNext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zaškrtnou hodící se sloupce, aby označily metodu konsolidace u jednotlivých subjektů podle účetního rámce a zda jsou jednotlivé subjekty v rámci obezřetnostní konsolidace i) plně konsolidovány;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ii) poměrně konsolidovány;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iii) zaúčtovány podle ekvivalenční metody;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iv) nejsou ani konsolidovány ani odečteny, nebo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v) odečteny.</w:t>
            </w:r>
          </w:p>
        </w:tc>
      </w:tr>
      <w:tr w:rsidR="00C04D6C" w:rsidRPr="007F4CC8" w14:paraId="39E2D62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0E4DC7A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  <w:shd w:val="clear" w:color="auto" w:fill="auto"/>
          </w:tcPr>
          <w:p w14:paraId="58EFFF31" w14:textId="77777777" w:rsidR="00C04D6C" w:rsidRPr="007F4CC8" w:rsidRDefault="00C04D6C" w:rsidP="00D819DE">
            <w:pPr>
              <w:spacing w:before="60" w:after="12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Popis subjektu</w:t>
            </w:r>
          </w:p>
          <w:p w14:paraId="0A1DF23D" w14:textId="77777777" w:rsidR="00C04D6C" w:rsidRPr="007F4CC8" w:rsidRDefault="00C04D6C" w:rsidP="00D819DE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Stručný popis subjektu a uvedení (minimálních) informací o odvětví jeho činnosti.</w:t>
            </w:r>
          </w:p>
        </w:tc>
      </w:tr>
    </w:tbl>
    <w:p w14:paraId="4E3EF873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60CE42E5" w14:textId="77777777" w:rsidR="00C04D6C" w:rsidRPr="007F4CC8" w:rsidRDefault="00C04D6C" w:rsidP="00C04D6C">
      <w:pPr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Tabulka EU LIA – Vysvětlení rozdílů mezi hodnotami pro účely účetnictví a regulace.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Pole s volně zadávanými kvalitativními informacemi</w:t>
      </w:r>
    </w:p>
    <w:p w14:paraId="63E93357" w14:textId="77777777" w:rsidR="00C04D6C" w:rsidRPr="007F4CC8" w:rsidRDefault="00C04D6C" w:rsidP="00C04D6C">
      <w:pPr>
        <w:jc w:val="both"/>
        <w:rPr>
          <w:rFonts w:ascii="Times New Roman" w:hAnsi="Times New Roman" w:cs="Times New Roman"/>
          <w:sz w:val="24"/>
        </w:rPr>
      </w:pPr>
    </w:p>
    <w:p w14:paraId="04637CE1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color w:val="000000" w:themeColor="text1"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436 písm. b) a d) CRR zpřístupní instituce podle následujících pokynů k vyplnění šablony EU LIA, obsažené v příloze V tohoto prováděcího nařízení.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4A310B7C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A8945" w14:textId="77777777" w:rsidR="00C04D6C" w:rsidRPr="007F4CC8" w:rsidRDefault="00C04D6C" w:rsidP="00D819DE">
            <w:pPr>
              <w:rPr>
                <w:b/>
                <w:sz w:val="24"/>
                <w:highlight w:val="yellow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C04D6C" w:rsidRPr="007F4CC8" w14:paraId="3B97ED6B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69271C8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23E86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13ADFB4C" w14:textId="77777777" w:rsidTr="00D819DE">
        <w:trPr>
          <w:trHeight w:val="238"/>
        </w:trPr>
        <w:tc>
          <w:tcPr>
            <w:tcW w:w="138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7C0394" w14:textId="77777777" w:rsidR="00C04D6C" w:rsidRPr="007F4CC8" w:rsidRDefault="00C04D6C" w:rsidP="00D819DE">
            <w:pPr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a)</w:t>
            </w: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A21937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vysvětlí a vyčíslí, jak vznikly jakékoli významné rozdíly mezi hodnotami ve sloupcích a) a b) v šabloně EU LI1 bez ohledu na to, zda tyto rozdíly plynou z rozdílných pravidel konsolidace nebo z použití různých účetních standardů mezi účetní a regulatorní konsolidací.</w:t>
            </w:r>
          </w:p>
        </w:tc>
      </w:tr>
      <w:tr w:rsidR="00C04D6C" w:rsidRPr="007F4CC8" w14:paraId="10A315AD" w14:textId="77777777" w:rsidTr="00D819DE">
        <w:trPr>
          <w:trHeight w:val="23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8E3B73" w14:textId="77777777" w:rsidR="00C04D6C" w:rsidRPr="007F4CC8" w:rsidRDefault="00C04D6C" w:rsidP="00D819DE">
            <w:pPr>
              <w:spacing w:before="60" w:after="12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b)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8B5E08" w14:textId="77777777" w:rsidR="00C04D6C" w:rsidRPr="007F4CC8" w:rsidRDefault="00C04D6C" w:rsidP="00D819DE">
            <w:pPr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vysvětlí, jak vznikly rozdíly mezi účetními hodnotami podle obezřetnostní konsolidace a hodnotami posuzovanými pro účely regulace vykázanými v šabloně EU LI2.</w:t>
            </w:r>
          </w:p>
        </w:tc>
      </w:tr>
    </w:tbl>
    <w:p w14:paraId="5B834D3C" w14:textId="77777777" w:rsidR="00C04D6C" w:rsidRPr="007F4CC8" w:rsidRDefault="00C04D6C" w:rsidP="00C04D6C">
      <w:pPr>
        <w:ind w:left="360"/>
        <w:jc w:val="both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 </w:t>
      </w:r>
    </w:p>
    <w:p w14:paraId="5736EA43" w14:textId="77777777" w:rsidR="00C04D6C" w:rsidRPr="007F4CC8" w:rsidRDefault="00C04D6C" w:rsidP="00C04D6C">
      <w:pPr>
        <w:spacing w:after="120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Tabulka EU LIB – Ostatní kvalitativní informace o oblasti působnosti.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Pole s volně zadávanými kvalitativními informacemi</w:t>
      </w:r>
    </w:p>
    <w:p w14:paraId="70C5E2A8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Informace uvedené v čl. 436 písm. f), g) a h) CRR zpřístupňují instituce podle následujících pokynů k vyplnění tabulky EU LIB, obsažené v příloze V tohoto prováděcího nařízení.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5F8ACC3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952A75" w14:textId="77777777" w:rsidR="00C04D6C" w:rsidRPr="007F4CC8" w:rsidRDefault="00C04D6C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C04D6C" w:rsidRPr="007F4CC8" w14:paraId="61AC473B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AC8D0E9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037BAC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3DBACA53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293582C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a)</w:t>
            </w:r>
          </w:p>
        </w:tc>
        <w:tc>
          <w:tcPr>
            <w:tcW w:w="7655" w:type="dxa"/>
            <w:shd w:val="clear" w:color="auto" w:fill="auto"/>
          </w:tcPr>
          <w:p w14:paraId="04E76FD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zpřístupňují jakékoli současné nebo předpokládané podstatné věcné nebo právní překážky bránící okamžitému převodu kapitálu nebo splacení závazků mezi mateřským podnikem a jeho dceřinými podniky.</w:t>
            </w:r>
          </w:p>
        </w:tc>
      </w:tr>
      <w:tr w:rsidR="00C04D6C" w:rsidRPr="007F4CC8" w14:paraId="237826AC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41F09A9C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b)</w:t>
            </w:r>
          </w:p>
        </w:tc>
        <w:tc>
          <w:tcPr>
            <w:tcW w:w="7655" w:type="dxa"/>
            <w:shd w:val="clear" w:color="auto" w:fill="auto"/>
          </w:tcPr>
          <w:p w14:paraId="46681EF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příslušných případech instituce uvedou název nebo názvy dceřiných podniků nezahrnutých do konsolidace.</w:t>
            </w:r>
          </w:p>
        </w:tc>
      </w:tr>
      <w:tr w:rsidR="00C04D6C" w:rsidRPr="007F4CC8" w14:paraId="6F7114DB" w14:textId="77777777" w:rsidTr="00D819DE">
        <w:trPr>
          <w:trHeight w:val="238"/>
        </w:trPr>
        <w:tc>
          <w:tcPr>
            <w:tcW w:w="1384" w:type="dxa"/>
            <w:shd w:val="clear" w:color="auto" w:fill="auto"/>
          </w:tcPr>
          <w:p w14:paraId="53705885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c)</w:t>
            </w:r>
          </w:p>
        </w:tc>
        <w:tc>
          <w:tcPr>
            <w:tcW w:w="7655" w:type="dxa"/>
            <w:shd w:val="clear" w:color="auto" w:fill="auto"/>
          </w:tcPr>
          <w:p w14:paraId="1800BD7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případně uvedou okolnosti, za nichž je využívána výjimka podle článku 7 CRR nebo postup individuální konsolidace stanovený v článku 9 CRR.</w:t>
            </w:r>
          </w:p>
        </w:tc>
      </w:tr>
      <w:tr w:rsidR="00C04D6C" w:rsidRPr="007F4CC8" w14:paraId="70A5DDF0" w14:textId="77777777" w:rsidTr="00D819DE">
        <w:trPr>
          <w:trHeight w:val="23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14:paraId="603A1037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d)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14:paraId="2E8CF528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příslušných případech instituce uvedou souhrnnou hodnotu, o niž je skutečný kapitál nižší, než je požadováno, ve všech dceřiných podnicích nezahrnutých do konsolidace a název nebo názvy těchto dceřiných podniků.</w:t>
            </w:r>
          </w:p>
        </w:tc>
      </w:tr>
    </w:tbl>
    <w:p w14:paraId="26403B4C" w14:textId="77777777" w:rsidR="00C04D6C" w:rsidRPr="007F4CC8" w:rsidRDefault="00C04D6C" w:rsidP="00C04D6C">
      <w:pPr>
        <w:rPr>
          <w:rFonts w:ascii="Times New Roman" w:hAnsi="Times New Roman" w:cs="Times New Roman"/>
          <w:sz w:val="24"/>
        </w:rPr>
      </w:pPr>
    </w:p>
    <w:p w14:paraId="092F96DF" w14:textId="77777777" w:rsidR="00C04D6C" w:rsidRPr="00DD0C4D" w:rsidRDefault="00C04D6C" w:rsidP="00C04D6C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Šablona EU PV1 – Úpravy v rámci obezřetného oceňování: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Pevně daný formát</w:t>
      </w:r>
    </w:p>
    <w:p w14:paraId="01BBAEB3" w14:textId="77777777" w:rsidR="00C04D6C" w:rsidRPr="007F4CC8" w:rsidRDefault="00C04D6C" w:rsidP="00C04D6C">
      <w:pPr>
        <w:pStyle w:val="ListParagraph"/>
        <w:numPr>
          <w:ilvl w:val="0"/>
          <w:numId w:val="1"/>
        </w:numPr>
        <w:spacing w:before="60" w:after="12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Instituce, které pro účely obezřetného oceňování uplatňují k určení dodatečné úpravy ocenění základní postup podle kapitoly III nařízení Komise v přenesené pravomoci (EU) 2016/101</w:t>
      </w:r>
      <w:r w:rsidRPr="007F4CC8">
        <w:rPr>
          <w:rStyle w:val="FootnoteReference"/>
          <w:rFonts w:ascii="Times New Roman" w:hAnsi="Times New Roman"/>
          <w:bCs/>
          <w:sz w:val="24"/>
          <w:szCs w:val="24"/>
        </w:rPr>
        <w:footnoteReference w:id="6"/>
      </w:r>
      <w:r>
        <w:rPr>
          <w:sz w:val="24"/>
          <w:rFonts w:ascii="Times New Roman" w:hAnsi="Times New Roman"/>
        </w:rPr>
        <w:t xml:space="preserve">, zpřístupní informace uvedené v čl. 436 písm. e) CRR podle pokynů uvedených v této příloze k vyplňování šablony EU PV1, kterou uvádí příloha V tohoto prováděcího nařízení.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C04D6C" w:rsidRPr="007F4CC8" w14:paraId="13C4377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29B9A9" w14:textId="77777777" w:rsidR="00C04D6C" w:rsidRPr="007F4CC8" w:rsidRDefault="00C04D6C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 pokyny</w:t>
            </w:r>
          </w:p>
        </w:tc>
      </w:tr>
      <w:tr w:rsidR="00C04D6C" w:rsidRPr="007F4CC8" w14:paraId="50701F6D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9902A51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AB442B6" w14:textId="77777777" w:rsidR="00C04D6C" w:rsidRPr="007F4CC8" w:rsidRDefault="00C04D6C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036FD0C7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743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Řádky 1 až 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0141" w14:textId="77777777" w:rsidR="00C04D6C" w:rsidRPr="007F4CC8" w:rsidRDefault="00C04D6C" w:rsidP="00D819DE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AVA na úrovni kategorie</w:t>
            </w:r>
          </w:p>
          <w:p w14:paraId="4E570456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Dodatečné úpravy ocenění (AVA) na úrovni kategorie pro nejistotu tržních cen, náklady na uzavření pozice, rizika modelů, koncentrované pozice, budoucí administrativní náklady, předčasné ukončení a operační riziko se určí podle článků 9 až 11 a 14 až 17 nařízení Komise v přenesené pravomoci (EU) 2016/101.</w:t>
            </w:r>
          </w:p>
          <w:p w14:paraId="7B4E3C6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kategorií nejistoty tržních cen, nákladů na uzavření pozice a rizik modelů, u nichž se uplatní výhoda diverzifikace podle čl. 9 odst. 6, čl. 10 odst. 7 a čl. 11 odst. 7 nařízení Komise v přenesené pravomoci (EU) 2016/101 se AVA na úrovni kategorie uvedou ve sloupcích a) až EU-e2 této šablony jako přímý součet jednotlivých AVA před výhodou diverzifikace.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Výhody diverzifikace podle čl. 9 odst. 6, čl. 10 odst. 7 a čl. 11 odst. 7 nařízení Komise v přenesené pravomoci (EU) 2016/101 se uvádějí ve sloupci f) této šablony.</w:t>
            </w:r>
          </w:p>
        </w:tc>
      </w:tr>
      <w:tr w:rsidR="00C04D6C" w:rsidRPr="007F4CC8" w14:paraId="1A1E11FE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90CE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C780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Nejistota tržních cen</w:t>
            </w:r>
          </w:p>
          <w:p w14:paraId="3D2F467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Čl. 105 odst. 10 CRR</w:t>
            </w:r>
          </w:p>
          <w:p w14:paraId="59AE9885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Dodatečné úpravy ocenění zohledňující nejistotu tržních cen se vypočítají v souladu s článkem 9 nařízení Komise v přenesené pravomoci (EU) 2016/101.</w:t>
            </w:r>
          </w:p>
        </w:tc>
      </w:tr>
      <w:tr w:rsidR="00C04D6C" w:rsidRPr="007F4CC8" w14:paraId="5ACD0CA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F16D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A64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Nepoužije se</w:t>
            </w:r>
          </w:p>
        </w:tc>
      </w:tr>
      <w:tr w:rsidR="00C04D6C" w:rsidRPr="007F4CC8" w14:paraId="3750419D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C12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ADC5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Náklady na uzavření pozice</w:t>
            </w:r>
          </w:p>
          <w:p w14:paraId="7AF430E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Čl. 105 odst. 10 CRR</w:t>
            </w:r>
          </w:p>
          <w:p w14:paraId="05054C6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Dodatečné úpravy ocenění zohledňující náklady na uzavření pozice se vypočítají v souladu s článkem 10 nařízení Komise v přenesené pravomoci (EU) 2016/101.</w:t>
            </w:r>
          </w:p>
        </w:tc>
      </w:tr>
      <w:tr w:rsidR="00C04D6C" w:rsidRPr="007F4CC8" w14:paraId="680DDF7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0119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0E67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Koncentrované pozice</w:t>
            </w:r>
          </w:p>
          <w:p w14:paraId="08370B0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Čl. 105 odst. 11 CRR</w:t>
            </w:r>
          </w:p>
          <w:p w14:paraId="42AFA9B2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Dodatečné úpravy ocenění zohledňující koncentrované pozice se vypočítají v souladu s článkem 14 nařízení Komise v přenesené pravomoci (EU) 2016/101.</w:t>
            </w:r>
          </w:p>
        </w:tc>
      </w:tr>
      <w:tr w:rsidR="00C04D6C" w:rsidRPr="007F4CC8" w14:paraId="358FA37F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BA5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19C3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Předčasné ukončení</w:t>
            </w:r>
          </w:p>
          <w:p w14:paraId="52C42C7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Čl. 105 odst. 10 CRR</w:t>
            </w:r>
          </w:p>
          <w:p w14:paraId="4AEB079B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Dodatečné úpravy ocenění zohledňující předčasné ukončení se vypočítají v souladu s článkem 16 nařízení Komise v přenesené pravomoci (EU) 2016/101.</w:t>
            </w:r>
          </w:p>
        </w:tc>
      </w:tr>
      <w:tr w:rsidR="00C04D6C" w:rsidRPr="007F4CC8" w14:paraId="25315BC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FEF9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58D5E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Modelové riziko</w:t>
            </w:r>
          </w:p>
          <w:p w14:paraId="49ED331A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Čl. 105 odst. 10 CRR</w:t>
            </w:r>
          </w:p>
          <w:p w14:paraId="2BCE5220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Dodatečné úpravy ocenění zohledňující riziko modelů se vypočítají v souladu s článkem 11 nařízení Komise v přenesené pravomoci (EU) 2016/101.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04D6C" w:rsidRPr="007F4CC8" w14:paraId="0F5BA19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FBEA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2310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Operační riziko</w:t>
            </w:r>
          </w:p>
          <w:p w14:paraId="3EE7FBBF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Čl. 105 odst. 10 CRR</w:t>
            </w:r>
          </w:p>
          <w:p w14:paraId="64B1AD8B" w14:textId="77777777" w:rsidR="00C04D6C" w:rsidRPr="007F4CC8" w:rsidRDefault="00C04D6C" w:rsidP="00D819DE">
            <w:pPr>
              <w:pStyle w:val="Default"/>
              <w:spacing w:before="60" w:after="120"/>
              <w:jc w:val="both"/>
              <w:rPr>
                <w:i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Dodatečné úpravy ocenění zohledňující operační riziko se vypočítají v souladu s článkem 17 nařízení Komise v přenesené pravomoci (EU) 2016/101.</w:t>
            </w:r>
          </w:p>
        </w:tc>
      </w:tr>
      <w:tr w:rsidR="00C04D6C" w:rsidRPr="007F4CC8" w14:paraId="3AE9B7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D2A6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132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 xml:space="preserve">Nepoužije se</w:t>
            </w:r>
          </w:p>
        </w:tc>
      </w:tr>
      <w:tr w:rsidR="00C04D6C" w:rsidRPr="007F4CC8" w14:paraId="27C5D5B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D90F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E0E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InstructionsTabelleberschrift"/>
                <w:rFonts w:ascii="Times New Roman" w:hAnsi="Times New Roman"/>
              </w:rPr>
              <w:t xml:space="preserve">Nepoužije se</w:t>
            </w:r>
          </w:p>
        </w:tc>
      </w:tr>
      <w:tr w:rsidR="00C04D6C" w:rsidRPr="007F4CC8" w14:paraId="0D4A7BB8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43C8B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9EC1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Budoucí administrativní náklady</w:t>
            </w:r>
          </w:p>
          <w:p w14:paraId="03DE0824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Čl. 105 odst. 10 CRR</w:t>
            </w:r>
          </w:p>
          <w:p w14:paraId="77EAFF21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Dodatečné úpravy ocenění zohledňující budoucí administrativní náklady se vypočítají v souladu s článkem 15 nařízení Komise v přenesené pravomoci (EU) 2016/101.</w:t>
            </w:r>
          </w:p>
        </w:tc>
      </w:tr>
      <w:tr w:rsidR="00C04D6C" w:rsidRPr="007F4CC8" w14:paraId="2D7F52A9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F684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1A65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Nepoužije se</w:t>
            </w:r>
          </w:p>
        </w:tc>
      </w:tr>
      <w:tr w:rsidR="00C04D6C" w:rsidRPr="007F4CC8" w14:paraId="1996F9F1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D931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2DE55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Dodatečné úpravy ocenění celkem</w:t>
            </w:r>
          </w:p>
          <w:p w14:paraId="773818D3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Celková hodnota AVA, která má být odečtena od kapitálu podle článků 34 a 105 CRR, se uvede v řádku 12 sloupci f) této šablony.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rFonts w:ascii="Times New Roman" w:hAnsi="Times New Roman"/>
              </w:rPr>
              <w:t xml:space="preserve">Tato hodnota je v souladu s hodnotou v řádku 7 šablony EU CC1 a také s hodnotou v řádku 5 sloupci a) šablony EU LI2.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</w:p>
          <w:p w14:paraId="3E1D4E77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U portfolií, u nichž se uplatňuje základní postup stanovený v kapitole III nařízení Komise v přenesené pravomoci (EU) 2016/101 o obezřetném oceňování, je celkovou hodnotou AVA součet hodnot v řádcích 1 až 10 této šablony a hodnot vypočtených podle čl. 7 odst. 2 písm. b) bodů i) až iii) nařízení Komise v přenesené pravomoci (EU) 2016/101 u portfolií, u nichž se použije záložní postup, pokud taková existují.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</w:p>
          <w:p w14:paraId="0557EFCB" w14:textId="77777777" w:rsidR="00C04D6C" w:rsidRPr="007F4CC8" w:rsidRDefault="00C04D6C" w:rsidP="00D819DE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U portfolií, u nichž se uplatňuje zjednodušený postup stanovený v kapitole II nařízení Komise v přenesené pravomoci (EU) 2016/101 o obezřetném oceňování, je celkovou hodnotou AVA uvedenou ve sloupci f) této šablony hodnota vypočtená v souladu s článkem 5 této kapitoly.</w:t>
            </w:r>
          </w:p>
        </w:tc>
      </w:tr>
      <w:tr w:rsidR="00C04D6C" w:rsidRPr="007F4CC8" w14:paraId="680BC399" w14:textId="77777777" w:rsidTr="00D819DE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FF590F" w14:textId="77777777" w:rsidR="00C04D6C" w:rsidRPr="007F4CC8" w:rsidRDefault="00C04D6C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86B5F" w14:textId="77777777" w:rsidR="00C04D6C" w:rsidRPr="007F4CC8" w:rsidRDefault="00C04D6C" w:rsidP="00D819DE">
            <w:pPr>
              <w:pStyle w:val="TableMainHeading"/>
              <w:spacing w:before="6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C04D6C" w:rsidRPr="007F4CC8" w14:paraId="4C8AA773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A53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a–e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FB2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Členění podle KATEGORIÍ RIZIK</w:t>
            </w:r>
          </w:p>
          <w:p w14:paraId="19554FB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přiřadí svá aktiva a závazky oceňované reálnou hodnotou zahrnuté do výpočtu prahové hodnoty podle čl. 4 odst. 1 nařízení Komise v přenesené pravomoci (EU) 2016/101 (obchodní a investiční portfolio) podle následujících kategorií rizik: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úrokové riziko, měnové riziko, úvěrové riziko, akciové riziko, komoditní riziko.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8E03628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Členění v těchto sloupcích neobsahuje dodatečné úpravy ocenění vypočtené v souladu s články 12 a 13 nařízení Komise v přenesené pravomoci (EU) 2016/101, které se uvádějí ve sloupcích EU-e1 a EU-e2 této šablony.</w:t>
            </w:r>
          </w:p>
        </w:tc>
      </w:tr>
      <w:tr w:rsidR="00C04D6C" w:rsidRPr="007F4CC8" w14:paraId="56262415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B79F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FF4E96" w14:textId="77777777" w:rsidR="00C04D6C" w:rsidRPr="007F4CC8" w:rsidRDefault="00C04D6C" w:rsidP="00D819DE">
            <w:pPr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EU e1</w:t>
            </w:r>
          </w:p>
          <w:p w14:paraId="5276CC33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962C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AVA na úrovni kategorie – nejistota ocenění: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AVA zohledňující nepodchycená úvěrová rozpětí</w:t>
            </w:r>
          </w:p>
          <w:p w14:paraId="2381E111" w14:textId="77777777" w:rsidR="00C04D6C" w:rsidRPr="007F4CC8" w:rsidRDefault="00C04D6C" w:rsidP="00D819DE">
            <w:pPr>
              <w:spacing w:beforeLines="60" w:before="144" w:afterLines="60" w:after="144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Čl. 105 odst. 10 CRR, článek 12 nařízení Komise v přenesené pravomoci (EU) 2016/101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8A3FCCD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Celková hodnota AVA zohledňující nepodchycená úvěrová rozpětí a její rozdělení mezi AVA zohledňující nejistotu tržních cen, náklady na uzavření pozice nebo riziko modelů se určí v souladu s článkem 12 nařízení Komise v přenesené pravomoci (EU) 2016/101.</w:t>
            </w:r>
          </w:p>
        </w:tc>
      </w:tr>
      <w:tr w:rsidR="00C04D6C" w:rsidRPr="007F4CC8" w14:paraId="3D6EAD40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AC8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7014344" w14:textId="77777777" w:rsidR="00C04D6C" w:rsidRPr="007F4CC8" w:rsidRDefault="00C04D6C" w:rsidP="00D819DE">
            <w:pPr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EU e2</w:t>
            </w:r>
          </w:p>
          <w:p w14:paraId="067E72C8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0580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AVA na úrovni kategorie – AVA zohledňující investiční náklady a náklady na financování</w:t>
            </w:r>
          </w:p>
          <w:p w14:paraId="4E0DC4BC" w14:textId="77777777" w:rsidR="00C04D6C" w:rsidRPr="007F4CC8" w:rsidRDefault="00C04D6C" w:rsidP="00D819DE">
            <w:pPr>
              <w:spacing w:beforeLines="60" w:before="144" w:afterLines="60" w:after="144"/>
              <w:rPr>
                <w:caps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Čl. 105 odst. 10 CRR, článek 13 nařízení Komise v přenesené pravomoci (EU) 2016/101</w:t>
            </w:r>
          </w:p>
          <w:p w14:paraId="014133D9" w14:textId="77777777" w:rsidR="00C04D6C" w:rsidRPr="007F4CC8" w:rsidRDefault="00C04D6C" w:rsidP="00D819DE">
            <w:pPr>
              <w:spacing w:beforeLines="60" w:before="144" w:afterLines="60" w:after="144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Celková hodnota AVA zohledňující investiční náklady a náklady na financování a její rozdělení mezi AVA zohledňující nejistotu tržních cen, náklady na uzavření pozice nebo riziko modelů se určí v souladu s článkem 13 nařízení Komise v přenesené pravomoci (EU) 2016/101.</w:t>
            </w:r>
          </w:p>
        </w:tc>
      </w:tr>
      <w:tr w:rsidR="00C04D6C" w:rsidRPr="007F4CC8" w14:paraId="7AF131EB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4A8A" w14:textId="77777777" w:rsidR="00C04D6C" w:rsidRPr="007F4CC8" w:rsidRDefault="00C04D6C" w:rsidP="00D819DE">
            <w:pPr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f</w:t>
            </w:r>
          </w:p>
          <w:p w14:paraId="4BAD70B7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FB7D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Celkem na úrovni kategorie po diverzifikaci</w:t>
            </w:r>
          </w:p>
          <w:p w14:paraId="7AC1D089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portfolií, u nichž se uplatňuje základní postup stanovený v kapitole III nařízení Komise v přenesené pravomoci (EU) 2016/101, zahrnuje celková hodnota na úrovni kategorie po diverzifikaci celkové hodnoty AVA vypočtené v souladu se základním postupem pro aktiva a závazky oceňované reálnou hodnotou zahrnuté do výpočtu prahové hodnoty podle čl. 4 odst. 1 nařízení v přenesené pravomoci (EU) 2016/101.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Zahrnuty jsou výhody diverzifikace vymezené v souladu s čl. 9 odst. 6, čl. 10 odst. 7 a čl. 11 odst. 7 nařízení Komise v přenesené pravomoci (EU) 2016/101.</w:t>
            </w:r>
          </w:p>
          <w:p w14:paraId="786A07B6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Celková hodnota AVA v řádku 12 sloupci f) této šablony u případných portfolií, u nichž se použije záložní postup, zahrnuje hodnoty vypočtené podle čl. 7 odst. 2 písm. b) bodů i) až iii) nařízení Komise v přenesené pravomoci (EU) 2016/101.</w:t>
            </w:r>
          </w:p>
          <w:p w14:paraId="16B6B958" w14:textId="77777777" w:rsidR="00C04D6C" w:rsidRPr="00CA31E6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i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portfolií, u nichž se uplatňuje zjednodušený postup stanovený v kapitole II nařízení Komise v přenesené pravomoci (EU) 2016/101 o obezřetném oceňování, je celkovou hodnotou AVA uvedenou v řádku 12 této šablony hodnota vypočtená v souladu s článkem 5 této kapitoly.</w:t>
            </w:r>
          </w:p>
        </w:tc>
      </w:tr>
      <w:tr w:rsidR="00C04D6C" w:rsidRPr="007F4CC8" w14:paraId="7A68CB3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31E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F8B5B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 toho: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základní postup celkem v obchodním portfoliu</w:t>
            </w:r>
          </w:p>
          <w:p w14:paraId="77520A81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 každou příslušnou kategorii AVA, u portfolií, u nichž se použije základní postup stanovený v kapitole III nařízení Komise v přenesené pravomoci (EU) 2016/101, podíl AVA plynoucích z pozic držených v „obchodním portfoliu“: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veškeré pozice ve finančních nástrojích a komoditách, jež instituce drží se záměrem obchodovat nebo s cílem zajistit pozice držené se záměrem obchodovat v souladu s článkem 104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169FF03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Zpřístupněná hodnota zahrnuje výhody diverzifikace vymezené podle čl. 9 odst. 6, čl. 10 odst. 7 a čl. 11 odst. 7 nařízení Komise v přenesené pravomoci (EU) 2016/101.</w:t>
            </w:r>
          </w:p>
        </w:tc>
      </w:tr>
      <w:tr w:rsidR="00C04D6C" w:rsidRPr="007F4CC8" w14:paraId="2EBCD7A6" w14:textId="77777777" w:rsidTr="00D819DE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CE81" w14:textId="77777777" w:rsidR="00C04D6C" w:rsidRPr="007F4CC8" w:rsidRDefault="00C04D6C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F65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 toho: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základní postup celkem v neobchodním portfoliu</w:t>
            </w:r>
          </w:p>
          <w:p w14:paraId="4EC457E4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 každou příslušnou kategorii AVA, u portfolií, u nichž se použije základní postup stanovený v kapitole III nařízení Komise v přenesené pravomoci (EU) 2016/101, podíl AVA plynoucích z pozic oceňovaných reálnou hodnotou ve finančních nástrojích a komoditách, které nejsou drženy v obchodním portfoliu.</w:t>
            </w:r>
          </w:p>
          <w:p w14:paraId="5D6CB732" w14:textId="77777777" w:rsidR="00C04D6C" w:rsidRPr="007F4CC8" w:rsidRDefault="00C04D6C" w:rsidP="00D819DE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Vykázaná hodnota zahrnuje výhody diverzifikace určené podle čl. 9 odst. 6, čl. 10 odst. 7 a čl. 11 odst. 7 nařízení Komise v přenesené pravomoci (EU) 2016/101.</w:t>
            </w:r>
          </w:p>
        </w:tc>
      </w:tr>
    </w:tbl>
    <w:p w14:paraId="1DA9D705" w14:textId="77777777" w:rsidR="004E3F4D" w:rsidRDefault="004E3F4D" w:rsidP="00C04D6C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ACB9" w14:textId="77777777" w:rsidR="00ED3B2B" w:rsidRDefault="00ED3B2B" w:rsidP="00C04D6C">
      <w:r>
        <w:separator/>
      </w:r>
    </w:p>
  </w:endnote>
  <w:endnote w:type="continuationSeparator" w:id="0">
    <w:p w14:paraId="595845DA" w14:textId="77777777" w:rsidR="00ED3B2B" w:rsidRDefault="00ED3B2B" w:rsidP="00C0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1644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57631" w14:textId="77777777" w:rsidR="002C7922" w:rsidRDefault="002C79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4003F916" w14:textId="77777777" w:rsidR="002C7922" w:rsidRDefault="002C7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48F32" w14:textId="77777777" w:rsidR="00ED3B2B" w:rsidRDefault="00ED3B2B" w:rsidP="00C04D6C">
      <w:r>
        <w:separator/>
      </w:r>
    </w:p>
  </w:footnote>
  <w:footnote w:type="continuationSeparator" w:id="0">
    <w:p w14:paraId="01923D22" w14:textId="77777777" w:rsidR="00ED3B2B" w:rsidRDefault="00ED3B2B" w:rsidP="00C04D6C">
      <w:r>
        <w:continuationSeparator/>
      </w:r>
    </w:p>
  </w:footnote>
  <w:footnote w:id="1">
    <w:p w14:paraId="75EB5CC5" w14:textId="63915B84" w:rsidR="00C04D6C" w:rsidRPr="00346640" w:rsidRDefault="00C04D6C" w:rsidP="00C04D6C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  <w:lang w:val="en-GB"/>
        </w:rPr>
        <w:footnoteRef/>
      </w:r>
      <w:r>
        <w:t xml:space="preserve"> </w:t>
      </w:r>
      <w:r>
        <w:tab/>
      </w:r>
      <w:r>
        <w:t xml:space="preserve">Nařízení Evropského parlamentu a Rady (EU) č. 575/2013 ze dne 26. června 2013 o obezřetnostních požadavcích na úvěrové instituce a o změně nařízení (EU) č. 648/2012, ve znění nařízení (EU) 2024/1623 (</w:t>
      </w:r>
      <w:hyperlink r:id="rId1" w:history="1">
        <w:r>
          <w:rPr>
            <w:rStyle w:val="Hyperlink"/>
            <w:color w:val="800080"/>
          </w:rPr>
          <w:t xml:space="preserve">Úř. věst. L 176, 27.6.2013, s. 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nařízení – EU – 2024/1623 – CS – EUR-Lex (europa.eu)</w:t>
        </w:r>
      </w:hyperlink>
      <w:r>
        <w:rPr>
          <w:color w:val="444444"/>
        </w:rPr>
        <w:t xml:space="preserve">).</w:t>
      </w:r>
    </w:p>
  </w:footnote>
  <w:footnote w:id="2">
    <w:p w14:paraId="6152D585" w14:textId="77777777" w:rsidR="00C04D6C" w:rsidRPr="00BB5993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Směrnice Evropského parlamentu a Rady 2013/34/EU ze dne 26. června 2013 o ročních účetních závěrkách, konsolidovaných účetních závěrkách a souvisejících zprávách některých forem podniků, o změně směrnice Evropského parlamentu a Rady 2006/43/ES a o zrušení směrnic Rady 78/660/EHS a 83/349/EHS (Úř. věst. L 182, 29.6.2013, s. 19).</w:t>
      </w:r>
    </w:p>
  </w:footnote>
  <w:footnote w:id="3">
    <w:p w14:paraId="41D63525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NAŘÍZENÍ EVROPSKÉHO PARLAMENTU A RADY (ES) č. 1606/2002 ze dne 19. července 2002 o uplatňování mezinárodních účetních standardů (Úř. věst. L 243, 11.9.2002, s. 1).</w:t>
      </w:r>
    </w:p>
  </w:footnote>
  <w:footnote w:id="4">
    <w:p w14:paraId="51C1A083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SMĚRNICE RADY 86/635/EHS ze dne 8. prosince 1986 o ročních účetních závěrkách a konsolidovaných účetních závěrkách bank a ostatních finančních institucí (Úř. věst. L 372, 31.12.1986, s. 1).</w:t>
      </w:r>
    </w:p>
  </w:footnote>
  <w:footnote w:id="5">
    <w:p w14:paraId="0C3793CA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NAŘÍZENÍ KOMISE V PŘENESENÉ PRAVOMOCI (EU) č. 183/2014 ze dne 20. prosince 2013, kterým se doplňuje nařízení Evropského parlamentu a Rady (EU) č. 575/2013 o obezřetnostních požadavcích na úvěrové instituce a investiční podniky, pokud jde o regulační technické normy pro upřesnění výpočtu specifických a obecných úprav o úvěrové riziko (Úř. věst. L 57, 27.2.2014, s. 3).</w:t>
      </w:r>
    </w:p>
  </w:footnote>
  <w:footnote w:id="6">
    <w:p w14:paraId="4B2D69D3" w14:textId="77777777" w:rsidR="00C04D6C" w:rsidRPr="00222AAB" w:rsidRDefault="00C04D6C" w:rsidP="00C04D6C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NAŘÍZENÍ KOMISE V PŘENESENÉ PRAVOMOCI (EU) 2016/101 ze dne 26. října 2015, kterým se doplňuje nařízení Evropského parlamentu a Rady (EU) č. 575/2013, pokud jde o regulační technické normy ohledně obezřetného oceňování podle čl. 105 odst. 14 (Úř. věst. L 21, 28.1.2016, s. 54).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0878" w14:textId="4C534AD7" w:rsidR="009F69A4" w:rsidRDefault="009F69A4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26B05EE" wp14:editId="25E380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983981750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DA3FFD" w14:textId="2FD5BDD4" w:rsidR="009F69A4" w:rsidRPr="009F69A4" w:rsidRDefault="009F69A4" w:rsidP="009F69A4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26B05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– pravidelné používání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60DA3FFD" w14:textId="2FD5BDD4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C0B0" w14:textId="509F1CE8" w:rsidR="009F69A4" w:rsidRDefault="009F69A4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0324C2DB" wp14:editId="2FC146FF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2159657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70198A" w14:textId="3A90A883" w:rsidR="009F69A4" w:rsidRPr="009F69A4" w:rsidRDefault="009F69A4" w:rsidP="009F69A4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324C2D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– pravidelné používání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6F70198A" w14:textId="3A90A883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ADF6" w14:textId="29E06D7A" w:rsidR="009F69A4" w:rsidRDefault="009F69A4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1D4B697" wp14:editId="42A7C45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044836452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8CF09" w14:textId="139B48AA" w:rsidR="009F69A4" w:rsidRPr="009F69A4" w:rsidRDefault="009F69A4" w:rsidP="009F69A4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1D4B6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– pravidelné používání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1728CF09" w14:textId="139B48AA" w:rsidR="009F69A4" w:rsidRPr="009F69A4" w:rsidRDefault="009F69A4" w:rsidP="009F69A4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488596300">
    <w:abstractNumId w:val="0"/>
  </w:num>
  <w:num w:numId="2" w16cid:durableId="1490443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330FC"/>
    <w:rsid w:val="002C7922"/>
    <w:rsid w:val="003330FC"/>
    <w:rsid w:val="004E3F4D"/>
    <w:rsid w:val="005B3D23"/>
    <w:rsid w:val="009F69A4"/>
    <w:rsid w:val="00AF0EB9"/>
    <w:rsid w:val="00C04D6C"/>
    <w:rsid w:val="00ED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DA5DD"/>
  <w15:chartTrackingRefBased/>
  <w15:docId w15:val="{CFE64EB4-385B-4000-BE3C-E0F42091D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D6C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C04D6C"/>
    <w:pPr>
      <w:spacing w:before="80" w:line="200" w:lineRule="exact"/>
      <w:ind w:left="567" w:hanging="567"/>
      <w:jc w:val="both"/>
    </w:pPr>
    <w:rPr>
      <w:sz w:val="18"/>
      <w:szCs w:val="18"/>
      <w:lang w:val="cs-CZ"/>
    </w:rPr>
  </w:style>
  <w:style w:type="character" w:customStyle="1" w:styleId="FootnoteTextChar">
    <w:name w:val="Footnote Text Char"/>
    <w:basedOn w:val="DefaultParagraphFont"/>
    <w:link w:val="FootnoteText"/>
    <w:rsid w:val="00C04D6C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C04D6C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C04D6C"/>
    <w:rPr>
      <w:color w:val="0563C1" w:themeColor="hyperlink"/>
      <w:u w:val="single"/>
    </w:rPr>
  </w:style>
  <w:style w:type="paragraph" w:customStyle="1" w:styleId="Default">
    <w:name w:val="Default"/>
    <w:rsid w:val="00C04D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nnexetitre">
    <w:name w:val="Annexe titre"/>
    <w:basedOn w:val="Normal"/>
    <w:next w:val="Normal"/>
    <w:rsid w:val="00C04D6C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C04D6C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C04D6C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C04D6C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Title">
    <w:name w:val="TableTitle"/>
    <w:basedOn w:val="Normal"/>
    <w:next w:val="Normal"/>
    <w:link w:val="TableTitleChar"/>
    <w:rsid w:val="00C04D6C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C04D6C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C04D6C"/>
    <w:rPr>
      <w:rFonts w:ascii="Verdana" w:hAnsi="Verdana" w:cs="Times New Roman"/>
      <w:b/>
      <w:bCs/>
      <w:sz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922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2C7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922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917ACF-4C84-4145-B9B4-B0C135FF2C54}"/>
</file>

<file path=customXml/itemProps2.xml><?xml version="1.0" encoding="utf-8"?>
<ds:datastoreItem xmlns:ds="http://schemas.openxmlformats.org/officeDocument/2006/customXml" ds:itemID="{A696239E-2BD8-4CB5-973E-2699C740AE9F}"/>
</file>

<file path=customXml/itemProps3.xml><?xml version="1.0" encoding="utf-8"?>
<ds:datastoreItem xmlns:ds="http://schemas.openxmlformats.org/officeDocument/2006/customXml" ds:itemID="{55B29AD3-9466-49EF-9694-56B8CB79E74E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4097</Words>
  <Characters>21840</Characters>
  <Application>Microsoft Office Word</Application>
  <DocSecurity>0</DocSecurity>
  <Lines>532</Lines>
  <Paragraphs>285</Paragraphs>
  <ScaleCrop>false</ScaleCrop>
  <Company>European Banking Authority</Company>
  <LinksUpToDate>false</LinksUpToDate>
  <CharactersWithSpaces>25652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5</cp:revision>
  <dcterms:created xsi:type="dcterms:W3CDTF">2021-03-11T11:51:00Z</dcterms:created>
  <dcterms:modified xsi:type="dcterms:W3CDTF">2024-09-26T14:40:00Z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3e46f064,764128b6,5a21b9a9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23d21fe0-0da5-41bf-af59-bd30b05c992a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