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p w14:paraId="4677B081" w14:textId="77777777" w:rsidR="00942645" w:rsidRPr="00CA7700" w:rsidRDefault="00942645" w:rsidP="00942645">
      <w:pPr>
        <w:pStyle w:val="Titlelevel2"/>
        <w:spacing w:before="120" w:after="120"/>
        <w:jc w:val="center"/>
        <w:rPr>
          <w:rFonts w:ascii="Times New Roman" w:hAnsi="Times New Roman" w:cs="Times New Roman"/>
          <w:b/>
          <w:color w:val="auto"/>
          <w:sz w:val="24"/>
          <w:u w:val="single"/>
        </w:rPr>
      </w:pPr>
      <w:r w:rsidRPr="005F644A">
        <w:rPr>
          <w:rFonts w:ascii="Times New Roman" w:hAnsi="Times New Roman"/>
          <w:b/>
          <w:noProof/>
          <w:color w:val="auto"/>
          <w:sz w:val="24"/>
          <w:u w:val="single"/>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Title:  - Description: EBA tavakasutus"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r w:rsidRPr="005F644A">
        <w:rPr>
          <w:rFonts w:ascii="Times New Roman" w:hAnsi="Times New Roman"/>
          <w:b/>
          <w:color w:val="auto"/>
          <w:sz w:val="24"/>
          <w:u w:val="single"/>
        </w:rPr>
        <w:t>XLII lisa. Krediidiväärtuse korrigeerimise riski avalikustamise tabelid ja vormid:</w:t>
      </w:r>
      <w:r>
        <w:rPr>
          <w:rFonts w:ascii="Times New Roman" w:hAnsi="Times New Roman"/>
          <w:b/>
          <w:color w:val="auto"/>
          <w:sz w:val="24"/>
          <w:u w:val="single"/>
        </w:rPr>
        <w:t xml:space="preserve"> juhised</w:t>
      </w:r>
    </w:p>
    <w:p w14:paraId="78BB236B" w14:textId="29E4F003" w:rsidR="00942645" w:rsidRPr="00CA7700" w:rsidRDefault="00942645" w:rsidP="00942645">
      <w:pPr>
        <w:pStyle w:val="Titlelevel2"/>
        <w:numPr>
          <w:ilvl w:val="0"/>
          <w:numId w:val="11"/>
        </w:numPr>
        <w:spacing w:before="120" w:after="120"/>
        <w:jc w:val="both"/>
        <w:rPr>
          <w:rFonts w:ascii="Times New Roman" w:hAnsi="Times New Roman" w:cs="Times New Roman"/>
          <w:color w:val="auto"/>
          <w:sz w:val="24"/>
        </w:rPr>
      </w:pPr>
      <w:r>
        <w:rPr>
          <w:rFonts w:ascii="Times New Roman" w:hAnsi="Times New Roman"/>
          <w:color w:val="auto"/>
          <w:sz w:val="24"/>
        </w:rPr>
        <w:t>Selles lisa on esitatud juhiseid, mida finantsinstitutsioonid peavad järgima määruse (EL) nr 575/2013 („kapitalinõuete määrus“)</w:t>
      </w:r>
      <w:r w:rsidRPr="00CA7700">
        <w:rPr>
          <w:rStyle w:val="FootnoteReference"/>
          <w:rFonts w:ascii="Times New Roman" w:hAnsi="Times New Roman" w:cs="Times New Roman"/>
          <w:color w:val="auto"/>
          <w:sz w:val="24"/>
          <w:szCs w:val="24"/>
        </w:rPr>
        <w:footnoteReference w:id="2"/>
      </w:r>
      <w:r>
        <w:rPr>
          <w:rFonts w:ascii="Times New Roman" w:hAnsi="Times New Roman"/>
          <w:color w:val="auto"/>
          <w:sz w:val="24"/>
        </w:rPr>
        <w:t xml:space="preserve"> III osa VI jaotises osutatud krediidiväärtuse korrigeerimise riski käsitleva teabe avalikustamisel EBA IT-lahenduste XLI lisas esitatud krediidiväärtuse korrigeerimise riski avalikustamise tabelis ja vormides kooskõlas määruse (EL) nr 575/2013 artikliga 445a.</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4ED872AA"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Tabel EU CVAA. Krediidiväärtuse korrigeerimise riskiga seotud kvalitatiivse avalikustamise nõuded.</w:t>
      </w:r>
      <w:r>
        <w:rPr>
          <w:rFonts w:ascii="Times New Roman" w:hAnsi="Times New Roman"/>
          <w:sz w:val="24"/>
        </w:rPr>
        <w:t xml:space="preserve"> </w:t>
      </w:r>
      <w:r>
        <w:rPr>
          <w:rFonts w:ascii="Times New Roman" w:hAnsi="Times New Roman"/>
          <w:color w:val="000000"/>
          <w:sz w:val="24"/>
        </w:rPr>
        <w:t>Vabas vormis tekstikastid</w:t>
      </w:r>
    </w:p>
    <w:p w14:paraId="6FF811C2" w14:textId="4AAED15E" w:rsidR="00942645" w:rsidRPr="005F644A" w:rsidRDefault="00942645" w:rsidP="00942645">
      <w:pPr>
        <w:pStyle w:val="Titlelevel2"/>
        <w:numPr>
          <w:ilvl w:val="0"/>
          <w:numId w:val="11"/>
        </w:numPr>
        <w:spacing w:before="120"/>
        <w:jc w:val="both"/>
        <w:rPr>
          <w:rFonts w:ascii="Times New Roman" w:hAnsi="Times New Roman"/>
          <w:color w:val="000000"/>
          <w:sz w:val="24"/>
        </w:rPr>
      </w:pPr>
      <w:r w:rsidRPr="005F644A">
        <w:rPr>
          <w:rFonts w:ascii="Times New Roman" w:hAnsi="Times New Roman"/>
          <w:color w:val="000000"/>
          <w:sz w:val="24"/>
        </w:rPr>
        <w:t>Määruse (EL) nr 575/2013 artikli 445a lõike 1 punktide a ja b kohaldamisel järgivad finantsinstitutsioonid allpool esitatud juhiseid, et täita IT-lahenduste XLI lisas esitatud tabel EU CVAA.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rFonts w:ascii="Times New Roman" w:hAnsi="Times New Roman" w:cs="Times New Roman"/>
                <w:b/>
                <w:sz w:val="24"/>
              </w:rPr>
            </w:pPr>
            <w:r>
              <w:rPr>
                <w:rFonts w:ascii="Times New Roman" w:hAnsi="Times New Roman"/>
                <w:b/>
                <w:sz w:val="24"/>
              </w:rPr>
              <w:t>Viited õigussätetele ja juhised</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t>a</w:t>
            </w:r>
          </w:p>
        </w:tc>
        <w:tc>
          <w:tcPr>
            <w:tcW w:w="7655" w:type="dxa"/>
            <w:vAlign w:val="center"/>
          </w:tcPr>
          <w:p w14:paraId="43DE697C" w14:textId="09014830"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Kapitalinõuete määruse artikli 445a lõike 1 punkt a</w:t>
            </w:r>
          </w:p>
          <w:p w14:paraId="73666F29" w14:textId="497C6292" w:rsidR="00942645" w:rsidRPr="00CA7700" w:rsidRDefault="00942645" w:rsidP="00962254">
            <w:pPr>
              <w:spacing w:before="60" w:after="120"/>
              <w:jc w:val="both"/>
              <w:rPr>
                <w:rFonts w:ascii="Times New Roman" w:hAnsi="Times New Roman" w:cs="Times New Roman"/>
                <w:sz w:val="24"/>
              </w:rPr>
            </w:pPr>
            <w:r>
              <w:rPr>
                <w:rFonts w:ascii="Times New Roman" w:hAnsi="Times New Roman"/>
                <w:sz w:val="24"/>
              </w:rPr>
              <w:t>Määruse (EL) nr 575/2013 artikli 445a lõike 1 punktis a nõutud teabe avalikustamisel peavad finantsinstitutsioonid esitama krediidiväärtuse korrigeerimise riski juhtimiseks kasutatavate protsesside kirjelduse, sealhulgas finantsinstitutsiooni krediidiväärtuse korrigeerimise riskide kindlakstegemiseks, mõõtmiseks, jälgimiseks ja kontrollimiseks kasutatavate protsesside kirjelduse ning riski maandamise ja piiramise põhimõtete ning riskimaanduse jätkuva tulemuslikkuse jälgimise strateegiate ja protsesside kirjelduse.</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t>b</w:t>
            </w:r>
          </w:p>
        </w:tc>
        <w:tc>
          <w:tcPr>
            <w:tcW w:w="7655" w:type="dxa"/>
          </w:tcPr>
          <w:p w14:paraId="14FA373F" w14:textId="1A83FE77"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Kapitalinõuete määruse artikli 445a lõike 1 punkt b</w:t>
            </w:r>
          </w:p>
          <w:p w14:paraId="08D093DD" w14:textId="666A3EDB"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 xml:space="preserve">Määruse (EL) nr 575/2013 artikli 445a lõike 1 punktis b nõutud teabe avalikustamisel peavad finantsinstitutsioonid selgitama, kas määruse (EL) nr 575/2013 artikli 273a lõikes 2 sätestatud tingimused on täidetud ja kui need tingimused on täidetud, kas finantsinstitutsioon on otsustanud arvutada krediidiväärtuse korrigeerimise riski omavahendite nõuded määruse (EL) nr 575/2013 artiklis 385 sätestatud lihtsustatud meetodi kohaselt; kui finantsinstitutsioonid on otsustanud arvutada krediidiväärtuse korrigeerimise riski omavahendite nõuded lihtsustatud meetodi kohaselt, krediidiväärtuse korrigeerimise riski omavahendite nõuded vastavalt sellele meetodile. </w:t>
            </w:r>
          </w:p>
        </w:tc>
      </w:tr>
    </w:tbl>
    <w:p w14:paraId="5DFF986C" w14:textId="77777777" w:rsidR="00942645" w:rsidRPr="00CA7700" w:rsidRDefault="00942645" w:rsidP="00942645">
      <w:pPr>
        <w:pStyle w:val="Titlelevel2"/>
        <w:spacing w:before="120" w:after="120"/>
        <w:rPr>
          <w:rFonts w:ascii="Times New Roman" w:eastAsia="Times New Roman" w:hAnsi="Times New Roman" w:cs="Times New Roman"/>
          <w:bCs w:val="0"/>
          <w:color w:val="auto"/>
          <w:sz w:val="24"/>
          <w:lang w:val="en-GB"/>
        </w:rPr>
      </w:pPr>
    </w:p>
    <w:p w14:paraId="31875874" w14:textId="54D7739A"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Vorm EU CVA1. Krediidiväärtuse korrigeerimise risk vähendatud põhimeetodi (R-BA) korral. </w:t>
      </w:r>
      <w:r>
        <w:rPr>
          <w:rFonts w:ascii="Times New Roman" w:hAnsi="Times New Roman"/>
          <w:color w:val="auto"/>
          <w:sz w:val="24"/>
        </w:rPr>
        <w:t>Muutumatu vorming</w:t>
      </w:r>
    </w:p>
    <w:p w14:paraId="30591F3A" w14:textId="450864D5" w:rsidR="00942645" w:rsidRPr="005F644A"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auto"/>
          <w:sz w:val="24"/>
        </w:rPr>
      </w:pPr>
      <w:r w:rsidRPr="005F644A">
        <w:rPr>
          <w:rFonts w:ascii="Times New Roman" w:hAnsi="Times New Roman"/>
          <w:color w:val="auto"/>
          <w:sz w:val="24"/>
        </w:rPr>
        <w:lastRenderedPageBreak/>
        <w:t>Määruse (EL) nr 575/2013 artikli 445a lõike 3 punkti a kohaldamisel järgivad finantsinstitutsioonid käesolevas lisas esitatud juhiseid, et täita IT-lahenduste XLI lisas esitatud vorm EU CVA1.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rFonts w:ascii="Times New Roman" w:hAnsi="Times New Roman" w:cs="Times New Roman"/>
                <w:b/>
                <w:sz w:val="24"/>
              </w:rPr>
            </w:pPr>
            <w:r>
              <w:rPr>
                <w:rFonts w:ascii="Times New Roman" w:hAnsi="Times New Roman"/>
                <w:b/>
                <w:sz w:val="24"/>
              </w:rPr>
              <w:t>Viited õigussätetele ja juhised</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t>1</w:t>
            </w:r>
          </w:p>
        </w:tc>
        <w:tc>
          <w:tcPr>
            <w:tcW w:w="7655" w:type="dxa"/>
          </w:tcPr>
          <w:p w14:paraId="54484298" w14:textId="3A4B27E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Krediidiväärtuse korrigeerimise riski süsteemsete komponentide koondamine</w:t>
            </w:r>
          </w:p>
          <w:p w14:paraId="732F93B6" w14:textId="4D694000" w:rsidR="00942645" w:rsidRPr="00CA7700" w:rsidRDefault="00942645" w:rsidP="00962254">
            <w:pPr>
              <w:jc w:val="both"/>
              <w:rPr>
                <w:rFonts w:ascii="Times New Roman" w:hAnsi="Times New Roman" w:cs="Times New Roman"/>
                <w:sz w:val="24"/>
              </w:rPr>
            </w:pPr>
            <w:r>
              <w:rPr>
                <w:rFonts w:ascii="Times New Roman" w:hAnsi="Times New Roman"/>
                <w:sz w:val="24"/>
              </w:rPr>
              <w:t>Määruse (EL) nr 575/2013 artikli 384 lõige 3. Omavahendite nõuete komponent täieliku korrelatsiooni eeldusel (</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rFonts w:ascii="Times New Roman" w:hAnsi="Times New Roman"/>
                <w:sz w:val="24"/>
                <w:vertAlign w:val="subscript"/>
              </w:rPr>
              <w:t xml:space="preserve">). </w:t>
            </w:r>
            <w:r>
              <w:rPr>
                <w:rFonts w:ascii="Times New Roman" w:hAnsi="Times New Roman"/>
                <w:sz w:val="24"/>
              </w:rPr>
              <w:t>Diskontotegurit 0,65 ei kohaldata.</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t>2</w:t>
            </w:r>
          </w:p>
        </w:tc>
        <w:tc>
          <w:tcPr>
            <w:tcW w:w="7655" w:type="dxa"/>
          </w:tcPr>
          <w:p w14:paraId="196293CA" w14:textId="70469F02"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Krediidiväärtuse korrigeerimise riski idiosünkraatiliste komponentide koondamine</w:t>
            </w:r>
          </w:p>
          <w:p w14:paraId="75CC615B" w14:textId="674604A6" w:rsidR="00942645" w:rsidRPr="00CA7700" w:rsidRDefault="00942645" w:rsidP="00962254">
            <w:pPr>
              <w:jc w:val="both"/>
              <w:rPr>
                <w:rFonts w:ascii="Times New Roman" w:hAnsi="Times New Roman" w:cs="Times New Roman"/>
                <w:sz w:val="24"/>
              </w:rPr>
            </w:pPr>
            <w:r>
              <w:rPr>
                <w:rFonts w:ascii="Times New Roman" w:hAnsi="Times New Roman"/>
                <w:sz w:val="24"/>
              </w:rPr>
              <w:t>Määruse (EL) nr 575/2013 artikli 384 lõige 3. Omavahendite nõuete komponent nullkorrelatsiooni eeldusel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rFonts w:ascii="Times New Roman" w:hAnsi="Times New Roman"/>
                <w:sz w:val="24"/>
              </w:rPr>
              <w:t>). Diskontotegurit 0,65 ei kohaldata.</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t>3</w:t>
            </w:r>
          </w:p>
        </w:tc>
        <w:tc>
          <w:tcPr>
            <w:tcW w:w="7655" w:type="dxa"/>
          </w:tcPr>
          <w:p w14:paraId="625EFEB1" w14:textId="604F049D"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Kokku</w:t>
            </w:r>
          </w:p>
          <w:p w14:paraId="715DBC77" w14:textId="042D3A66" w:rsidR="00942645" w:rsidRPr="00CA7700" w:rsidRDefault="00942645" w:rsidP="00962254">
            <w:pPr>
              <w:pStyle w:val="Default"/>
              <w:spacing w:after="120"/>
              <w:jc w:val="both"/>
              <w:rPr>
                <w:rFonts w:ascii="Times New Roman" w:hAnsi="Times New Roman" w:cs="Times New Roman"/>
                <w:iCs/>
              </w:rPr>
            </w:pPr>
            <w:r>
              <w:rPr>
                <w:rFonts w:ascii="Times New Roman" w:hAnsi="Times New Roman"/>
              </w:rPr>
              <w:t>Krediidiväärtuse korrigeerimise riski omavahendite nõuded kokku vähendatud põhimeetodi korral. See summa on võrdne vormi EU OV1 rea EU 10b veerus c esitatud summaga, kui finantsinstitutsioon kasutab krediidiväärtuse korrigeerimise riski vähendatud põhimeetodit.</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Selgitus</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rFonts w:ascii="Times New Roman" w:hAnsi="Times New Roman" w:cs="Times New Roman"/>
                <w:b/>
                <w:bCs/>
              </w:rPr>
            </w:pPr>
            <w:r>
              <w:rPr>
                <w:rFonts w:ascii="Times New Roman" w:hAnsi="Times New Roman"/>
                <w:b/>
              </w:rPr>
              <w:t>Omavahendite nõuete komponendid</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Määruse (EL) nr 575/2013 artikli 384 lõike 3 kohased omavahendite nõuete komponendid finantsinstitutsiooni puhul, mis vastab määruse (EL) nr 575/2013 artikli 384 lõike 1 punktis b sätestatud tingimusele.</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Vorm EU CVA2. Krediidiväärtuse korrigeerimise risk täieliku põhimeetodi (F-BA) korral. </w:t>
      </w:r>
      <w:r>
        <w:rPr>
          <w:rFonts w:ascii="Times New Roman" w:hAnsi="Times New Roman"/>
          <w:color w:val="auto"/>
          <w:sz w:val="24"/>
        </w:rPr>
        <w:t>Muutumatu vorming</w:t>
      </w:r>
    </w:p>
    <w:p w14:paraId="1AC6C572" w14:textId="77777777" w:rsidR="00942645" w:rsidRPr="005F644A"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auto"/>
          <w:sz w:val="24"/>
        </w:rPr>
      </w:pPr>
      <w:r w:rsidRPr="005F644A">
        <w:rPr>
          <w:rFonts w:ascii="Times New Roman" w:hAnsi="Times New Roman"/>
          <w:color w:val="auto"/>
          <w:sz w:val="24"/>
        </w:rPr>
        <w:t>Määruse (EL) nr 575/2013 artikli 445a lõike 3 punktide a ja b kohaldamisel järgivad finantsinstitutsioonid käesolevas lisas esitatud juhiseid, et täita XLI lisas esitatud vorm EU CVA2.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rFonts w:ascii="Times New Roman" w:hAnsi="Times New Roman" w:cs="Times New Roman"/>
                <w:b/>
                <w:sz w:val="24"/>
              </w:rPr>
            </w:pPr>
            <w:r>
              <w:rPr>
                <w:rFonts w:ascii="Times New Roman" w:hAnsi="Times New Roman"/>
                <w:b/>
                <w:sz w:val="24"/>
              </w:rPr>
              <w:t>Viited õigussätetele ja juhised</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t>1</w:t>
            </w:r>
          </w:p>
        </w:tc>
        <w:tc>
          <w:tcPr>
            <w:tcW w:w="7655" w:type="dxa"/>
          </w:tcPr>
          <w:p w14:paraId="04421C27"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BACVA </w:t>
            </w:r>
            <w:r>
              <w:rPr>
                <w:rFonts w:ascii="Times New Roman" w:hAnsi="Times New Roman"/>
                <w:b/>
                <w:sz w:val="24"/>
                <w:vertAlign w:val="superscript"/>
              </w:rPr>
              <w:t>csr-maandamata</w:t>
            </w:r>
            <w:r>
              <w:rPr>
                <w:rFonts w:ascii="Times New Roman" w:hAnsi="Times New Roman"/>
                <w:b/>
                <w:sz w:val="24"/>
              </w:rPr>
              <w:t xml:space="preserve"> </w:t>
            </w:r>
          </w:p>
          <w:p w14:paraId="773EAD60" w14:textId="5EA45F2D" w:rsidR="00942645" w:rsidRPr="00CA7700" w:rsidRDefault="00942645" w:rsidP="00962254">
            <w:pPr>
              <w:pStyle w:val="TableMainHeading"/>
              <w:spacing w:before="60"/>
              <w:jc w:val="both"/>
              <w:rPr>
                <w:rFonts w:ascii="Times New Roman" w:hAnsi="Times New Roman"/>
                <w:i/>
                <w:sz w:val="24"/>
                <w:szCs w:val="24"/>
              </w:rPr>
            </w:pPr>
            <w:r>
              <w:rPr>
                <w:rFonts w:ascii="Times New Roman" w:hAnsi="Times New Roman"/>
                <w:sz w:val="24"/>
              </w:rPr>
              <w:lastRenderedPageBreak/>
              <w:t xml:space="preserve">Määruse (EL) nr 575/2013 artikli 384 lõike 3 kohane omavahendite nõuete komponent finantsinstitutsiooni puhul, mis vastab määruse (EL) nr 575/2013 artikli 384 lõike 1 punktis b sätestatud tingimusele.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lastRenderedPageBreak/>
              <w:t>2</w:t>
            </w:r>
          </w:p>
        </w:tc>
        <w:tc>
          <w:tcPr>
            <w:tcW w:w="7655" w:type="dxa"/>
          </w:tcPr>
          <w:p w14:paraId="7F0AADE9" w14:textId="77777777" w:rsidR="00942645" w:rsidRPr="00212EDF" w:rsidRDefault="00942645" w:rsidP="00962254">
            <w:pPr>
              <w:pStyle w:val="TableMainHeading"/>
              <w:spacing w:before="60" w:after="60"/>
              <w:jc w:val="both"/>
              <w:rPr>
                <w:rFonts w:ascii="Times New Roman" w:hAnsi="Times New Roman"/>
                <w:b/>
                <w:bCs/>
                <w:iCs/>
                <w:sz w:val="24"/>
                <w:szCs w:val="24"/>
              </w:rPr>
            </w:pPr>
            <w:r>
              <w:rPr>
                <w:rFonts w:ascii="Times New Roman" w:hAnsi="Times New Roman"/>
                <w:b/>
                <w:sz w:val="24"/>
              </w:rPr>
              <w:t xml:space="preserve">BACVA </w:t>
            </w:r>
            <w:r>
              <w:rPr>
                <w:rFonts w:ascii="Times New Roman" w:hAnsi="Times New Roman"/>
                <w:b/>
                <w:sz w:val="24"/>
                <w:vertAlign w:val="superscript"/>
              </w:rPr>
              <w:t>csr-maandatud</w:t>
            </w:r>
            <w:r>
              <w:rPr>
                <w:rFonts w:ascii="Times New Roman" w:hAnsi="Times New Roman"/>
                <w:b/>
                <w:sz w:val="24"/>
              </w:rPr>
              <w:t xml:space="preserve"> </w:t>
            </w:r>
          </w:p>
          <w:p w14:paraId="57BEC7BE" w14:textId="56260E01" w:rsidR="00942645" w:rsidRPr="00CA7700" w:rsidRDefault="00942645" w:rsidP="00962254">
            <w:pPr>
              <w:pStyle w:val="TableMainHeading"/>
              <w:spacing w:before="60"/>
              <w:jc w:val="both"/>
              <w:rPr>
                <w:rFonts w:ascii="Times New Roman" w:hAnsi="Times New Roman"/>
                <w:sz w:val="24"/>
                <w:szCs w:val="24"/>
              </w:rPr>
            </w:pPr>
            <w:r>
              <w:rPr>
                <w:rFonts w:ascii="Times New Roman" w:hAnsi="Times New Roman"/>
                <w:sz w:val="24"/>
              </w:rPr>
              <w:t>Määruse (EL) nr 575/2013 artikli 384 lõike 2 kohane omavahendite nõuete komponent finantsinstitutsiooni puhul, mis vastab määruse (EL) nr 575/2013 artikli 384 lõike 1 punktis a sätestatud tingimusele.</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t>3</w:t>
            </w:r>
          </w:p>
        </w:tc>
        <w:tc>
          <w:tcPr>
            <w:tcW w:w="7655" w:type="dxa"/>
          </w:tcPr>
          <w:p w14:paraId="478A4B46" w14:textId="25E59F3E"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Kokku</w:t>
            </w:r>
          </w:p>
          <w:p w14:paraId="1F769140" w14:textId="5695C89E"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Määruse (EL) nr 575/2013 artikli 384 lõike 2 kohaselt arvutatud omavahendite nõuded kokku tehingute puhul, mille suhtes kohaldatakse täielikku põhimeetodit, finantsinstitutsiooni puhul, mis vastab määruse (EL) nr 575/2013 artikli 384 lõike 1 punktis a sätestatud tingimusele. See summa on võrdne vormi EU OV1 rea EU 10b veerus c esitatud summaga, kui finantsinstitutsioon kasutab krediidiväärtuse korrigeerimise riski täielikku põhimeetodit.</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t>EU 4-EU 6</w:t>
            </w:r>
          </w:p>
        </w:tc>
        <w:tc>
          <w:tcPr>
            <w:tcW w:w="7655" w:type="dxa"/>
          </w:tcPr>
          <w:p w14:paraId="52CA155D" w14:textId="77777777" w:rsidR="00942645" w:rsidRPr="00212EDF" w:rsidRDefault="00942645" w:rsidP="00962254">
            <w:pPr>
              <w:pStyle w:val="Default"/>
              <w:spacing w:before="60" w:after="120"/>
              <w:jc w:val="both"/>
              <w:rPr>
                <w:rFonts w:ascii="Times New Roman" w:hAnsi="Times New Roman" w:cs="Times New Roman"/>
                <w:b/>
                <w:bCs/>
                <w:iCs/>
              </w:rPr>
            </w:pPr>
            <w:r>
              <w:rPr>
                <w:rFonts w:ascii="Times New Roman" w:hAnsi="Times New Roman"/>
                <w:b/>
              </w:rPr>
              <w:t>Krediidiväärtuse korrigeerimise riski maandused</w:t>
            </w:r>
          </w:p>
          <w:p w14:paraId="2DA2624F" w14:textId="215DECDF"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Määruse (EL) nr 575/2013 artikkel 386</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Selgitus</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rFonts w:ascii="Times New Roman" w:hAnsi="Times New Roman" w:cs="Times New Roman"/>
                <w:b/>
                <w:bCs/>
                <w:iCs/>
              </w:rPr>
            </w:pPr>
            <w:r>
              <w:rPr>
                <w:rFonts w:ascii="Times New Roman" w:hAnsi="Times New Roman"/>
                <w:b/>
              </w:rPr>
              <w:t>Omavahendite nõuded</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Määruse (EL) nr 575/2013 artikkel 382</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Krediidiväärtuse korrigeerimise riski riskimaanduse tinglik väärtus</w:t>
            </w:r>
          </w:p>
          <w:p w14:paraId="6971C72E" w14:textId="002E6959" w:rsidR="00942645" w:rsidRPr="00CA7700" w:rsidRDefault="00942645" w:rsidP="00962254">
            <w:pPr>
              <w:pStyle w:val="Default"/>
              <w:spacing w:after="120"/>
              <w:jc w:val="both"/>
              <w:rPr>
                <w:rFonts w:ascii="Times New Roman" w:hAnsi="Times New Roman" w:cs="Times New Roman"/>
                <w:b/>
              </w:rPr>
            </w:pPr>
            <w:r>
              <w:rPr>
                <w:rFonts w:ascii="Times New Roman" w:hAnsi="Times New Roman"/>
              </w:rPr>
              <w:t>Määruse (EL) nr 575/2013 artikli 386 kohaselt tunnustatud krediidiväärtuse korrigeerimise riski aktsepteeritud riskimaanduse tinglik väärtus (brutosummad).</w:t>
            </w:r>
          </w:p>
        </w:tc>
      </w:tr>
    </w:tbl>
    <w:p w14:paraId="262650D7" w14:textId="77777777" w:rsidR="00942645" w:rsidRPr="00CA7700" w:rsidRDefault="00942645" w:rsidP="00942645">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 </w:t>
      </w:r>
    </w:p>
    <w:p w14:paraId="26F81090" w14:textId="2B54E115"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Tabel EU CVAB. Krediidiväärtuse korrigeerimise riskiga seotud kvalitatiivse teabe avalikustamise nõuded standardmeetodit kasutavate finantsinstitutsioonide puhul.</w:t>
      </w:r>
      <w:r>
        <w:rPr>
          <w:rFonts w:ascii="Times New Roman" w:hAnsi="Times New Roman"/>
          <w:sz w:val="24"/>
        </w:rPr>
        <w:t xml:space="preserve"> </w:t>
      </w:r>
      <w:r>
        <w:rPr>
          <w:rFonts w:ascii="Times New Roman" w:hAnsi="Times New Roman"/>
          <w:color w:val="000000"/>
          <w:sz w:val="24"/>
        </w:rPr>
        <w:t>Vabas vormis tekstikastid</w:t>
      </w:r>
    </w:p>
    <w:p w14:paraId="15A03098" w14:textId="5A4C11E9" w:rsidR="00942645" w:rsidRPr="005F644A" w:rsidRDefault="00942645" w:rsidP="00942645">
      <w:pPr>
        <w:pStyle w:val="Titlelevel2"/>
        <w:numPr>
          <w:ilvl w:val="0"/>
          <w:numId w:val="14"/>
        </w:numPr>
        <w:spacing w:before="120"/>
        <w:jc w:val="both"/>
        <w:rPr>
          <w:rFonts w:ascii="Times New Roman" w:hAnsi="Times New Roman" w:cs="Times New Roman"/>
          <w:color w:val="auto"/>
          <w:sz w:val="24"/>
        </w:rPr>
      </w:pPr>
      <w:r w:rsidRPr="005F644A">
        <w:rPr>
          <w:rFonts w:ascii="Times New Roman" w:hAnsi="Times New Roman"/>
          <w:color w:val="auto"/>
          <w:sz w:val="24"/>
        </w:rPr>
        <w:t>Määruse (EL) nr 575/2013 artikli 445a lõike 2 punkti a kohaldamisel järgivad finantsinstitutsioonid allpool esitatud juhiseid, et täita IT-lahenduste XLI lisas esitatud tabel EU CVAB.</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rFonts w:ascii="Times New Roman" w:hAnsi="Times New Roman" w:cs="Times New Roman"/>
                <w:b/>
                <w:sz w:val="24"/>
              </w:rPr>
            </w:pPr>
            <w:r>
              <w:rPr>
                <w:rFonts w:ascii="Times New Roman" w:hAnsi="Times New Roman"/>
                <w:b/>
                <w:sz w:val="24"/>
              </w:rPr>
              <w:t>Viited õigussätetele ja juhised</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t>a</w:t>
            </w:r>
          </w:p>
        </w:tc>
        <w:tc>
          <w:tcPr>
            <w:tcW w:w="7655" w:type="dxa"/>
            <w:vAlign w:val="center"/>
          </w:tcPr>
          <w:p w14:paraId="5723498B" w14:textId="6623C4D9" w:rsidR="00942645" w:rsidRPr="00CA7700" w:rsidRDefault="00942645" w:rsidP="00C2380E">
            <w:pPr>
              <w:spacing w:before="60" w:after="120"/>
              <w:jc w:val="both"/>
              <w:rPr>
                <w:rFonts w:ascii="Times New Roman" w:hAnsi="Times New Roman" w:cs="Times New Roman"/>
                <w:sz w:val="24"/>
              </w:rPr>
            </w:pPr>
            <w:r>
              <w:rPr>
                <w:rFonts w:ascii="Times New Roman" w:hAnsi="Times New Roman"/>
                <w:sz w:val="24"/>
              </w:rPr>
              <w:t xml:space="preserve">Määruse (EL) nr 575/2013 artikli 445a lõike 2 punktis a nõutud teabe avalikustamisel peavad finantsinstitutsioonid kirjeldama sisemise krediidiväärtuse korrigeerimise riski juhtimise funktsiooni ja halduse </w:t>
            </w:r>
            <w:r>
              <w:rPr>
                <w:rFonts w:ascii="Times New Roman" w:hAnsi="Times New Roman"/>
                <w:sz w:val="24"/>
              </w:rPr>
              <w:lastRenderedPageBreak/>
              <w:t xml:space="preserve">struktuuri ja korraldust; sealhulgas panga krediidiväärtuse korrigeerimise riski juhtimise raamistiku kirjeldus.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lastRenderedPageBreak/>
              <w:t>b</w:t>
            </w:r>
          </w:p>
        </w:tc>
        <w:tc>
          <w:tcPr>
            <w:tcW w:w="7655" w:type="dxa"/>
            <w:vAlign w:val="center"/>
          </w:tcPr>
          <w:p w14:paraId="18D48591"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Selle kirjeldus, kuidas kõrgem juhtkond osaleb krediidiväärtuse korrigeerimise riski juhtimise raamistikus.</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c</w:t>
            </w:r>
          </w:p>
        </w:tc>
        <w:tc>
          <w:tcPr>
            <w:tcW w:w="7655" w:type="dxa"/>
            <w:vAlign w:val="center"/>
          </w:tcPr>
          <w:p w14:paraId="4DDC9D3A"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Ülevaade krediidiväärtuse korrigeerimise riski juhtimise raamistiku haldamisest (nt dokumentatsioon, sõltumatu kontrolliüksus, sõltumatu läbivaatamine, äriliinidelt andmete kogumise sõltumatus)</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rFonts w:ascii="Times New Roman" w:hAnsi="Times New Roman" w:cs="Times New Roman"/>
          <w:sz w:val="24"/>
        </w:rPr>
      </w:pPr>
      <w:r>
        <w:rPr>
          <w:rFonts w:ascii="Times New Roman" w:hAnsi="Times New Roman"/>
          <w:b/>
          <w:sz w:val="24"/>
        </w:rPr>
        <w:t xml:space="preserve">Vorm EU CVA3. Krediidiväärtuse korrigeerimise risk standardmeetodi (SA) korral. </w:t>
      </w:r>
      <w:r>
        <w:rPr>
          <w:rFonts w:ascii="Times New Roman" w:hAnsi="Times New Roman"/>
          <w:sz w:val="24"/>
        </w:rPr>
        <w:t>Muutumatu vorming</w:t>
      </w:r>
    </w:p>
    <w:p w14:paraId="18ADC674" w14:textId="77777777" w:rsidR="00942645" w:rsidRPr="005F644A" w:rsidRDefault="00942645" w:rsidP="00942645">
      <w:pPr>
        <w:pStyle w:val="Titlelevel2"/>
        <w:numPr>
          <w:ilvl w:val="0"/>
          <w:numId w:val="14"/>
        </w:numPr>
        <w:spacing w:before="120"/>
        <w:jc w:val="both"/>
        <w:rPr>
          <w:rFonts w:ascii="Times New Roman" w:hAnsi="Times New Roman" w:cs="Times New Roman"/>
          <w:b/>
          <w:color w:val="auto"/>
          <w:sz w:val="24"/>
        </w:rPr>
      </w:pPr>
      <w:r w:rsidRPr="005F644A">
        <w:rPr>
          <w:rFonts w:ascii="Times New Roman" w:hAnsi="Times New Roman"/>
          <w:color w:val="auto"/>
          <w:sz w:val="24"/>
        </w:rPr>
        <w:t>Määruse (EL) nr 575/2013 artikli 445a lõike 1 punkti c ning artikli 445a lõike 2 punktide b ja c kohaldamisel järgivad finantsinstitutsioonid käesolevas lisas esitatud juhiseid, et täita XLI lisas esitatud vorm EU CVA3.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rFonts w:ascii="Times New Roman" w:hAnsi="Times New Roman" w:cs="Times New Roman"/>
                <w:b/>
                <w:sz w:val="24"/>
              </w:rPr>
            </w:pPr>
            <w:r>
              <w:rPr>
                <w:rFonts w:ascii="Times New Roman" w:hAnsi="Times New Roman"/>
                <w:b/>
                <w:sz w:val="24"/>
              </w:rPr>
              <w:t>Viited õigussätetele ja juhised</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t>1–6</w:t>
            </w:r>
          </w:p>
        </w:tc>
        <w:tc>
          <w:tcPr>
            <w:tcW w:w="7655" w:type="dxa"/>
            <w:vAlign w:val="center"/>
          </w:tcPr>
          <w:p w14:paraId="78E0BB68" w14:textId="77777777" w:rsidR="00942645" w:rsidRPr="00212EDF" w:rsidRDefault="00942645" w:rsidP="00962254">
            <w:pPr>
              <w:pStyle w:val="TableNote"/>
              <w:rPr>
                <w:rFonts w:ascii="Times New Roman" w:hAnsi="Times New Roman"/>
                <w:b/>
                <w:iCs/>
                <w:sz w:val="24"/>
                <w:szCs w:val="24"/>
              </w:rPr>
            </w:pPr>
            <w:r>
              <w:rPr>
                <w:rFonts w:ascii="Times New Roman" w:hAnsi="Times New Roman"/>
                <w:b/>
                <w:sz w:val="24"/>
              </w:rPr>
              <w:t>Riskiklassid</w:t>
            </w:r>
          </w:p>
          <w:p w14:paraId="60828ECC" w14:textId="4B3E3F32" w:rsidR="00942645" w:rsidRPr="00CA7700" w:rsidRDefault="00942645" w:rsidP="00962254">
            <w:pPr>
              <w:pStyle w:val="TableNote"/>
              <w:rPr>
                <w:rFonts w:ascii="Times New Roman" w:hAnsi="Times New Roman"/>
                <w:i/>
                <w:sz w:val="24"/>
                <w:szCs w:val="24"/>
              </w:rPr>
            </w:pPr>
            <w:r>
              <w:rPr>
                <w:rFonts w:ascii="Times New Roman" w:hAnsi="Times New Roman"/>
                <w:sz w:val="24"/>
              </w:rPr>
              <w:t>Standardmeetodi kohased omavahendite nõuete komponendid (SA-CVA risk) vastavalt määruse (EL) nr 575/2013 artiklile 383, sealhulgas jaotus riskiklasside kaupa, nagu on määratletud määruse (EL) nr 575/2013 artikli 383 lõike 2 punktis 1.</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t>1</w:t>
            </w:r>
          </w:p>
        </w:tc>
        <w:tc>
          <w:tcPr>
            <w:tcW w:w="7655" w:type="dxa"/>
            <w:vAlign w:val="center"/>
          </w:tcPr>
          <w:p w14:paraId="28EC92DE" w14:textId="02A0C77C"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Intressirisk</w:t>
            </w:r>
          </w:p>
          <w:p w14:paraId="16CB1A2E" w14:textId="2B6C4833" w:rsidR="00942645" w:rsidRPr="00CA7700" w:rsidRDefault="00942645" w:rsidP="00962254">
            <w:pPr>
              <w:pStyle w:val="TableNote"/>
              <w:rPr>
                <w:rFonts w:ascii="Times New Roman" w:hAnsi="Times New Roman"/>
                <w:i/>
                <w:sz w:val="24"/>
                <w:szCs w:val="24"/>
              </w:rPr>
            </w:pPr>
            <w:r>
              <w:rPr>
                <w:rFonts w:ascii="Times New Roman" w:hAnsi="Times New Roman"/>
                <w:sz w:val="24"/>
              </w:rPr>
              <w:t xml:space="preserve">Määruse (EL) nr 575/2013 artiklid 383c, 383i, 383j, 383k, 383 l ja 383 m.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t>2</w:t>
            </w:r>
          </w:p>
        </w:tc>
        <w:tc>
          <w:tcPr>
            <w:tcW w:w="7655" w:type="dxa"/>
            <w:vAlign w:val="center"/>
          </w:tcPr>
          <w:p w14:paraId="44DDD750" w14:textId="724BB3B3"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Valuutarisk</w:t>
            </w:r>
          </w:p>
          <w:p w14:paraId="0D99F846" w14:textId="21475511" w:rsidR="00942645" w:rsidRPr="00CA7700" w:rsidRDefault="00942645" w:rsidP="00962254">
            <w:pPr>
              <w:pStyle w:val="TableNote"/>
              <w:rPr>
                <w:rFonts w:ascii="Times New Roman" w:hAnsi="Times New Roman"/>
                <w:i/>
                <w:sz w:val="24"/>
                <w:szCs w:val="24"/>
              </w:rPr>
            </w:pPr>
            <w:r>
              <w:rPr>
                <w:rFonts w:ascii="Times New Roman" w:hAnsi="Times New Roman"/>
                <w:sz w:val="24"/>
              </w:rPr>
              <w:t>Määruse (EL) nr 575/2013 artiklid 383d, 383i, 383j, 383n ja 383o.</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t>3</w:t>
            </w:r>
          </w:p>
        </w:tc>
        <w:tc>
          <w:tcPr>
            <w:tcW w:w="7655" w:type="dxa"/>
            <w:vAlign w:val="center"/>
          </w:tcPr>
          <w:p w14:paraId="2CE70E59" w14:textId="77777777" w:rsidR="00942645" w:rsidRPr="00212EDF" w:rsidRDefault="00942645" w:rsidP="00962254">
            <w:pPr>
              <w:spacing w:after="120"/>
              <w:jc w:val="both"/>
              <w:rPr>
                <w:rFonts w:ascii="Times New Roman" w:hAnsi="Times New Roman" w:cs="Times New Roman"/>
                <w:b/>
                <w:bCs/>
                <w:iCs/>
                <w:sz w:val="24"/>
              </w:rPr>
            </w:pPr>
            <w:r>
              <w:rPr>
                <w:rFonts w:ascii="Times New Roman" w:hAnsi="Times New Roman"/>
                <w:b/>
                <w:sz w:val="24"/>
              </w:rPr>
              <w:t>Võrdlusaluseks olev krediidimarginaali risk</w:t>
            </w:r>
          </w:p>
          <w:p w14:paraId="371E3FA7" w14:textId="67089DA8" w:rsidR="00942645" w:rsidRPr="00CA7700" w:rsidRDefault="00942645" w:rsidP="00962254">
            <w:pPr>
              <w:pStyle w:val="TableNote"/>
              <w:rPr>
                <w:rFonts w:ascii="Times New Roman" w:hAnsi="Times New Roman"/>
                <w:i/>
                <w:sz w:val="24"/>
                <w:szCs w:val="24"/>
              </w:rPr>
            </w:pPr>
            <w:r>
              <w:rPr>
                <w:rFonts w:ascii="Times New Roman" w:hAnsi="Times New Roman"/>
                <w:sz w:val="24"/>
              </w:rPr>
              <w:t>Määruse (EL) nr 575/2013 artiklid 383f, 383i, 383j, 383s ja 383u.</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t>4</w:t>
            </w:r>
          </w:p>
        </w:tc>
        <w:tc>
          <w:tcPr>
            <w:tcW w:w="7655" w:type="dxa"/>
            <w:vAlign w:val="center"/>
          </w:tcPr>
          <w:p w14:paraId="57EBB8D1"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Aktsiarisk</w:t>
            </w:r>
          </w:p>
          <w:p w14:paraId="091E1B85" w14:textId="4452A32D" w:rsidR="00942645" w:rsidRPr="00CA7700" w:rsidRDefault="00942645" w:rsidP="00962254">
            <w:pPr>
              <w:pStyle w:val="TableNote"/>
              <w:rPr>
                <w:rFonts w:ascii="Times New Roman" w:hAnsi="Times New Roman"/>
                <w:i/>
                <w:sz w:val="24"/>
                <w:szCs w:val="24"/>
              </w:rPr>
            </w:pPr>
            <w:r>
              <w:rPr>
                <w:rFonts w:ascii="Times New Roman" w:hAnsi="Times New Roman"/>
                <w:sz w:val="24"/>
              </w:rPr>
              <w:t>Määruse (EL) nr 575/2013 artiklid 383g, 383i, 383j, 383v ja 383w.</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t>5</w:t>
            </w:r>
          </w:p>
        </w:tc>
        <w:tc>
          <w:tcPr>
            <w:tcW w:w="7655" w:type="dxa"/>
            <w:vAlign w:val="center"/>
          </w:tcPr>
          <w:p w14:paraId="56BFBEB4"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Kaubarisk</w:t>
            </w:r>
          </w:p>
          <w:p w14:paraId="1503EDB0" w14:textId="5095156A" w:rsidR="00942645" w:rsidRPr="00CA7700" w:rsidRDefault="00942645" w:rsidP="00962254">
            <w:pPr>
              <w:pStyle w:val="TableNote"/>
              <w:rPr>
                <w:rFonts w:ascii="Times New Roman" w:hAnsi="Times New Roman"/>
                <w:i/>
                <w:sz w:val="24"/>
                <w:szCs w:val="24"/>
              </w:rPr>
            </w:pPr>
            <w:r>
              <w:rPr>
                <w:rFonts w:ascii="Times New Roman" w:hAnsi="Times New Roman"/>
                <w:sz w:val="24"/>
              </w:rPr>
              <w:t>Määruse (EL) nr 575/2013 artiklid 383h, 383i, 383j, 383x ja 383z.</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t>6</w:t>
            </w:r>
          </w:p>
        </w:tc>
        <w:tc>
          <w:tcPr>
            <w:tcW w:w="7655" w:type="dxa"/>
            <w:vAlign w:val="center"/>
          </w:tcPr>
          <w:p w14:paraId="14F9191C"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Vastaspoole krediidimarginaali risk</w:t>
            </w:r>
          </w:p>
          <w:p w14:paraId="3345109B" w14:textId="5DC9DECF" w:rsidR="00942645" w:rsidRPr="00CA7700" w:rsidRDefault="00942645" w:rsidP="00962254">
            <w:pPr>
              <w:pStyle w:val="TableNote"/>
              <w:rPr>
                <w:rFonts w:ascii="Times New Roman" w:hAnsi="Times New Roman"/>
                <w:i/>
                <w:sz w:val="24"/>
                <w:szCs w:val="24"/>
              </w:rPr>
            </w:pPr>
            <w:r>
              <w:rPr>
                <w:rFonts w:ascii="Times New Roman" w:hAnsi="Times New Roman"/>
                <w:sz w:val="24"/>
              </w:rPr>
              <w:t>Määruse (EL) nr 575/2013 artiklid 383e, 383i, 383j, 383p 383q ja 383r.</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lastRenderedPageBreak/>
              <w:t>7</w:t>
            </w:r>
          </w:p>
        </w:tc>
        <w:tc>
          <w:tcPr>
            <w:tcW w:w="7655" w:type="dxa"/>
          </w:tcPr>
          <w:p w14:paraId="78C024D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Kokku</w:t>
            </w:r>
          </w:p>
          <w:p w14:paraId="7E51C6A2" w14:textId="0EF0E48B" w:rsidR="00942645" w:rsidRPr="00CA7700" w:rsidRDefault="00942645" w:rsidP="00962254">
            <w:pPr>
              <w:spacing w:before="60" w:after="120"/>
              <w:rPr>
                <w:rFonts w:ascii="Times New Roman" w:hAnsi="Times New Roman" w:cs="Times New Roman"/>
                <w:b/>
                <w:iCs/>
                <w:sz w:val="24"/>
              </w:rPr>
            </w:pPr>
            <w:r>
              <w:rPr>
                <w:rFonts w:ascii="Times New Roman" w:hAnsi="Times New Roman"/>
                <w:sz w:val="24"/>
              </w:rPr>
              <w:t>Ridade 1–6 summa. See summa on võrdne vormi EU OV1 rea EU 10a veerus c esitatud summaga.</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t>EU 8-EU 13</w:t>
            </w:r>
          </w:p>
        </w:tc>
        <w:tc>
          <w:tcPr>
            <w:tcW w:w="7655" w:type="dxa"/>
          </w:tcPr>
          <w:p w14:paraId="24FDD12C" w14:textId="5D39C865"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Tehingute vastaspoolte liigid</w:t>
            </w:r>
          </w:p>
          <w:p w14:paraId="384E4400" w14:textId="489739D4" w:rsidR="00942645" w:rsidRPr="00212EDF" w:rsidRDefault="00942645" w:rsidP="00E60D1B">
            <w:pPr>
              <w:spacing w:before="60" w:after="120"/>
              <w:rPr>
                <w:rFonts w:ascii="Times New Roman" w:hAnsi="Times New Roman" w:cs="Times New Roman"/>
                <w:sz w:val="24"/>
              </w:rPr>
            </w:pPr>
            <w:r>
              <w:rPr>
                <w:rFonts w:ascii="Times New Roman" w:hAnsi="Times New Roman"/>
                <w:sz w:val="24"/>
              </w:rPr>
              <w:t xml:space="preserve">Tehingute vastaspoolte arv liikide kaupa vastavalt IT-lahenduse „Finantsteabe esitamine IFRSi ja GAAPi teabe kohaselt vastavalt 2024. aasta versioonile 1“ [kättesaadav EBA veebisaidil] V lisa 1. osa 6. jao punktides 42–44 esitatud juhistele.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t>EU 14</w:t>
            </w:r>
          </w:p>
        </w:tc>
        <w:tc>
          <w:tcPr>
            <w:tcW w:w="7655" w:type="dxa"/>
          </w:tcPr>
          <w:p w14:paraId="18FAC522"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Kokku</w:t>
            </w:r>
          </w:p>
          <w:p w14:paraId="67696FDB" w14:textId="77777777" w:rsidR="00942645" w:rsidRPr="00CA7700" w:rsidRDefault="00942645" w:rsidP="00962254">
            <w:pPr>
              <w:spacing w:before="60" w:after="120"/>
              <w:rPr>
                <w:rFonts w:ascii="Times New Roman" w:hAnsi="Times New Roman" w:cs="Times New Roman"/>
                <w:iCs/>
                <w:sz w:val="24"/>
              </w:rPr>
            </w:pPr>
            <w:r>
              <w:rPr>
                <w:rFonts w:ascii="Times New Roman" w:hAnsi="Times New Roman"/>
                <w:sz w:val="24"/>
              </w:rPr>
              <w:t>Vastaspoolte koguarv ridade EL 8 kuni EL 13 summana.</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t>EU 15-EU 17</w:t>
            </w:r>
          </w:p>
        </w:tc>
        <w:tc>
          <w:tcPr>
            <w:tcW w:w="7655" w:type="dxa"/>
          </w:tcPr>
          <w:p w14:paraId="64353F3E"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Krediidiväärtuse korrigeerimise riski maandused</w:t>
            </w:r>
          </w:p>
          <w:p w14:paraId="69C81380" w14:textId="77777777" w:rsidR="00942645" w:rsidRPr="00CA7700" w:rsidRDefault="00942645" w:rsidP="00962254">
            <w:pPr>
              <w:spacing w:before="60" w:after="120"/>
              <w:rPr>
                <w:rFonts w:ascii="Times New Roman" w:hAnsi="Times New Roman" w:cs="Times New Roman"/>
                <w:i/>
                <w:sz w:val="24"/>
              </w:rPr>
            </w:pPr>
            <w:r>
              <w:rPr>
                <w:rFonts w:ascii="Times New Roman" w:hAnsi="Times New Roman"/>
                <w:sz w:val="24"/>
              </w:rPr>
              <w:t>Määruse (EL) nr 575/2013 artikkel 386</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t>EU 18</w:t>
            </w:r>
          </w:p>
        </w:tc>
        <w:tc>
          <w:tcPr>
            <w:tcW w:w="7655" w:type="dxa"/>
          </w:tcPr>
          <w:p w14:paraId="30C7C94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Kokku</w:t>
            </w:r>
          </w:p>
          <w:p w14:paraId="7B810666" w14:textId="77777777" w:rsidR="00942645" w:rsidRPr="00CA7700" w:rsidRDefault="00942645" w:rsidP="00962254">
            <w:pPr>
              <w:spacing w:before="60" w:after="120"/>
              <w:rPr>
                <w:rFonts w:ascii="Times New Roman" w:hAnsi="Times New Roman" w:cs="Times New Roman"/>
                <w:bCs/>
                <w:iCs/>
                <w:sz w:val="24"/>
              </w:rPr>
            </w:pPr>
            <w:r>
              <w:rPr>
                <w:rFonts w:ascii="Times New Roman" w:hAnsi="Times New Roman"/>
                <w:sz w:val="24"/>
              </w:rPr>
              <w:t>Ridade EU 15–EU 17 summa.</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Selgitus</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t>a</w:t>
            </w:r>
          </w:p>
        </w:tc>
        <w:tc>
          <w:tcPr>
            <w:tcW w:w="7655" w:type="dxa"/>
            <w:vAlign w:val="center"/>
          </w:tcPr>
          <w:p w14:paraId="2B901479" w14:textId="0CC9B9F7" w:rsidR="004D0F6F" w:rsidRPr="00212EDF" w:rsidRDefault="009B4C5B" w:rsidP="00962254">
            <w:pPr>
              <w:spacing w:after="120"/>
              <w:jc w:val="both"/>
              <w:rPr>
                <w:rFonts w:ascii="Times New Roman" w:eastAsia="Times New Roman" w:hAnsi="Times New Roman" w:cs="Times New Roman"/>
                <w:b/>
                <w:bCs/>
                <w:iCs/>
                <w:sz w:val="24"/>
                <w:szCs w:val="20"/>
              </w:rPr>
            </w:pPr>
            <w:r>
              <w:rPr>
                <w:rFonts w:ascii="Times New Roman" w:hAnsi="Times New Roman"/>
                <w:b/>
                <w:sz w:val="24"/>
              </w:rPr>
              <w:t>Omavahendite nõuded</w:t>
            </w:r>
          </w:p>
          <w:p w14:paraId="1259F031" w14:textId="106FC974" w:rsidR="00942645" w:rsidRPr="00CA7700" w:rsidRDefault="00942645" w:rsidP="00962254">
            <w:pPr>
              <w:spacing w:after="120"/>
              <w:jc w:val="both"/>
              <w:rPr>
                <w:rFonts w:ascii="Times New Roman" w:hAnsi="Times New Roman" w:cs="Times New Roman"/>
                <w:sz w:val="24"/>
              </w:rPr>
            </w:pPr>
            <w:r>
              <w:rPr>
                <w:rFonts w:ascii="Times New Roman" w:hAnsi="Times New Roman"/>
                <w:sz w:val="24"/>
              </w:rPr>
              <w:t>Määruse (EL) nr 575/2013 artikkel 382</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t>b</w:t>
            </w:r>
          </w:p>
        </w:tc>
        <w:tc>
          <w:tcPr>
            <w:tcW w:w="7655" w:type="dxa"/>
            <w:vAlign w:val="center"/>
          </w:tcPr>
          <w:p w14:paraId="6F63311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Vastaspoolte arv</w:t>
            </w:r>
          </w:p>
          <w:p w14:paraId="4B5F72BC" w14:textId="48FA7F47" w:rsidR="00942645" w:rsidRPr="00CA7700" w:rsidRDefault="00942645" w:rsidP="00962254">
            <w:pPr>
              <w:pStyle w:val="TableNote"/>
              <w:rPr>
                <w:rFonts w:ascii="Times New Roman" w:hAnsi="Times New Roman"/>
                <w:sz w:val="24"/>
                <w:szCs w:val="24"/>
              </w:rPr>
            </w:pPr>
            <w:r>
              <w:rPr>
                <w:rFonts w:ascii="Times New Roman" w:hAnsi="Times New Roman"/>
                <w:sz w:val="24"/>
              </w:rPr>
              <w:t xml:space="preserve">Määruse (EL) nr 575/2013 artikli 383 lõikes 1 määratletud selliste vastaspoolte arv, keda võetakse arvesse standardmeetodi kohase krediidiväärtuse korrigeerimise riski omavahendite nõuete arvutamisel.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t>EU c</w:t>
            </w:r>
          </w:p>
        </w:tc>
        <w:tc>
          <w:tcPr>
            <w:tcW w:w="7655" w:type="dxa"/>
            <w:vAlign w:val="center"/>
          </w:tcPr>
          <w:p w14:paraId="78B4FFA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Krediidiväärtuse korrigeerimise riski riskimaanduse tinglik väärtus</w:t>
            </w:r>
          </w:p>
          <w:p w14:paraId="52C0F4DF" w14:textId="77777777" w:rsidR="00942645" w:rsidRPr="00CA7700" w:rsidDel="000073FA" w:rsidRDefault="00942645" w:rsidP="00962254">
            <w:pPr>
              <w:pStyle w:val="TableNote"/>
              <w:rPr>
                <w:rFonts w:ascii="Times New Roman" w:hAnsi="Times New Roman"/>
                <w:i/>
                <w:sz w:val="24"/>
                <w:szCs w:val="24"/>
              </w:rPr>
            </w:pPr>
            <w:r>
              <w:rPr>
                <w:rFonts w:ascii="Times New Roman" w:hAnsi="Times New Roman"/>
                <w:sz w:val="24"/>
              </w:rPr>
              <w:t>Määruse (EL) nr 575/2013 artikli 386 kohaselt tunnustatud krediidiväärtuse korrigeerimise riski aktsepteeritud riskimaanduse tinglik väärtus.</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rFonts w:ascii="Times New Roman" w:hAnsi="Times New Roman" w:cs="Times New Roman"/>
          <w:color w:val="auto"/>
          <w:sz w:val="24"/>
        </w:rPr>
      </w:pPr>
      <w:r>
        <w:rPr>
          <w:rFonts w:ascii="Times New Roman" w:hAnsi="Times New Roman"/>
          <w:b/>
          <w:color w:val="auto"/>
          <w:sz w:val="24"/>
        </w:rPr>
        <w:t xml:space="preserve">Vorm EU CVA4. Riskiga kaalutud vara vooaruanded seoses krediidiväärtuse korrigeerimise riskiga standardmeetodi (SA) korral. </w:t>
      </w:r>
      <w:r>
        <w:rPr>
          <w:rFonts w:ascii="Times New Roman" w:hAnsi="Times New Roman"/>
          <w:color w:val="auto"/>
          <w:sz w:val="24"/>
        </w:rPr>
        <w:t>Muutumatu vorming</w:t>
      </w:r>
    </w:p>
    <w:p w14:paraId="22E699CE" w14:textId="31EFE218"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Määruse (EL) nr 575/2013 artikli 438 punktide d ja h kohaldamisel järgivad finantsinstitutsioonid allpool esitatud juhiseid, et täita IT-lahenduste XLI lisas esitatud vorm EU CVA4.</w:t>
      </w:r>
    </w:p>
    <w:p w14:paraId="03A729A3" w14:textId="77777777"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Finantsinstitutsioonid peavad täiendama seda vormi selgitusega aruandeperioodi jooksul toimunud oluliste muutuste ja nende peamiste põhjuste kohta. Muutusi põhjustavad tegurid võivad olla riskitaseme muutused, kohaldamisala muutused (nt tasaarvestatavate tehingute kogumite liikumine SA-CVA ja BA-CVA vahel), äri-</w:t>
      </w:r>
      <w:r>
        <w:rPr>
          <w:rFonts w:ascii="Times New Roman" w:hAnsi="Times New Roman"/>
          <w:color w:val="000000"/>
          <w:sz w:val="24"/>
        </w:rPr>
        <w:lastRenderedPageBreak/>
        <w:t>/tooteliinide või üksuste omandamine ja võõrandamine või välisvaluuta ümberarvestamise muutused.</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rFonts w:ascii="Times New Roman" w:hAnsi="Times New Roman" w:cs="Times New Roman"/>
                <w:b/>
                <w:color w:val="000000"/>
                <w:sz w:val="24"/>
              </w:rPr>
            </w:pPr>
            <w:r>
              <w:rPr>
                <w:rFonts w:ascii="Times New Roman" w:hAnsi="Times New Roman"/>
                <w:b/>
                <w:color w:val="000000"/>
                <w:sz w:val="24"/>
              </w:rPr>
              <w:t>Viited õigussätetele ja juhised</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t>1</w:t>
            </w:r>
          </w:p>
        </w:tc>
        <w:tc>
          <w:tcPr>
            <w:tcW w:w="7655" w:type="dxa"/>
            <w:vAlign w:val="center"/>
          </w:tcPr>
          <w:p w14:paraId="1165D18C"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 xml:space="preserve">Riskiga kaalutud vara eelmise aruandeperioodi lõpus </w:t>
            </w:r>
          </w:p>
          <w:p w14:paraId="0A24A95A"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See summa on võrdne vormi EU OV1 rea EU 10a veerus b esitatud summaga.</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t>2</w:t>
            </w:r>
          </w:p>
        </w:tc>
        <w:tc>
          <w:tcPr>
            <w:tcW w:w="7655" w:type="dxa"/>
            <w:vAlign w:val="center"/>
          </w:tcPr>
          <w:p w14:paraId="1AE00A33"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Riskiga kaalutud vara praeguse aruandeperioodi lõpus</w:t>
            </w:r>
          </w:p>
          <w:p w14:paraId="1FF40BFD"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See summa on võrdne vormi EU OV1 rea EU 10a veerus a esitatud summaga.</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Selgitus</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t>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Riskiga kaalutud vara</w:t>
            </w:r>
          </w:p>
          <w:p w14:paraId="10E360D0" w14:textId="4CD692C9"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Määruse (EL) nr 575/2013 artikli 92 lõike 4 punkt e</w:t>
            </w:r>
          </w:p>
          <w:p w14:paraId="7E05B452" w14:textId="77777777" w:rsidR="00942645" w:rsidRPr="00DD6E2F"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Omavahendite nõuded korrutatuna 12,5ga.</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rPr>
      <w:t>1</w:t>
    </w:r>
    <w:r>
      <w:rPr>
        <w:rStyle w:val="PageNumber"/>
      </w:rPr>
      <w:fldChar w:fldCharType="end"/>
    </w:r>
  </w:p>
  <w:p w14:paraId="6EBA73BD" w14:textId="77777777" w:rsidR="009B1B59" w:rsidRDefault="009B1B59" w:rsidP="00610305">
    <w:pPr>
      <w:pStyle w:val="Footer"/>
      <w:ind w:right="360"/>
    </w:pPr>
    <w:r>
      <w:rPr>
        <w:noProof/>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4B5242B4" w:rsidR="00942645" w:rsidRDefault="00942645" w:rsidP="00942645">
      <w:pPr>
        <w:pStyle w:val="FootnoteText"/>
      </w:pPr>
      <w:r>
        <w:rPr>
          <w:rStyle w:val="FootnoteReference"/>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B32D17">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Default="0027780B">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Title:  - Description: EBA tavakasutus"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sdt>
      <w:sdtPr>
        <w:id w:val="-1905980668"/>
        <w:temporary/>
        <w:showingPlcHdr/>
      </w:sdtPr>
      <w:sdtEndPr/>
      <w:sdtContent>
        <w:r>
          <w:t>[Sisestage tekst]</w:t>
        </w:r>
      </w:sdtContent>
    </w:sdt>
    <w:r>
      <w:ptab w:relativeTo="margin" w:alignment="center" w:leader="none"/>
    </w:r>
    <w:sdt>
      <w:sdtPr>
        <w:id w:val="-476227318"/>
        <w:temporary/>
        <w:showingPlcHdr/>
      </w:sdtPr>
      <w:sdtEndPr/>
      <w:sdtContent>
        <w:r>
          <w:t>[Sisestage tekst]</w:t>
        </w:r>
      </w:sdtContent>
    </w:sdt>
    <w:r>
      <w:ptab w:relativeTo="margin" w:alignment="right" w:leader="none"/>
    </w:r>
    <w:sdt>
      <w:sdtPr>
        <w:id w:val="807362839"/>
        <w:temporary/>
        <w:showingPlcHdr/>
      </w:sdtPr>
      <w:sdtEndPr/>
      <w:sdtContent>
        <w:r>
          <w:t>[Sisestage tekst]</w:t>
        </w:r>
      </w:sdtContent>
    </w:sdt>
  </w:p>
  <w:p w14:paraId="3AAE931B" w14:textId="77777777" w:rsidR="009B1B59" w:rsidRDefault="009B1B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Selles lisas osutavad viited õigussätetele kapitalinõuete määruse 3 eelnõule.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 xml:space="preserve">Selles lisas osutavad viited õigussätetele kapitalinõuete määruse 3 eelnõule.</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Title:  - Description: EBA tavakasutus"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r>
      <w:t>Siia lisatakse päis asjakohases vormingus</w:t>
    </w:r>
    <w:r>
      <w:rPr>
        <w:noProof/>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0" w:nlCheck="1" w:checkStyle="0"/>
  <w:activeWritingStyle w:appName="MSWord" w:lang="en-US" w:vendorID="64" w:dllVersion="0" w:nlCheck="1" w:checkStyle="0"/>
  <w:proofState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44A"/>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2D17"/>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t-EE"/>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BDDE578E-3CFF-456B-B6D6-3AB5AF9FE645}"/>
</file>

<file path=customXml/itemProps3.xml><?xml version="1.0" encoding="utf-8"?>
<ds:datastoreItem xmlns:ds="http://schemas.openxmlformats.org/officeDocument/2006/customXml" ds:itemID="{77F8FC5E-73E3-4BAD-8D24-68B6DEA68FF7}"/>
</file>

<file path=customXml/itemProps4.xml><?xml version="1.0" encoding="utf-8"?>
<ds:datastoreItem xmlns:ds="http://schemas.openxmlformats.org/officeDocument/2006/customXml" ds:itemID="{1BED01DC-F416-4FF5-8C1F-47DE762785B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1244</Words>
  <Characters>8473</Characters>
  <Application>Microsoft Office Word</Application>
  <DocSecurity>0</DocSecurity>
  <Lines>249</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2024-10-16T13:45:00Z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