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F64070" w:rsidRDefault="00965CEB" w:rsidP="00965CEB">
      <w:pPr>
        <w:pStyle w:val="Annexetitre"/>
        <w:spacing w:after="240"/>
        <w:rPr>
          <w:u w:val="none"/>
        </w:rPr>
      </w:pPr>
      <w:r w:rsidRPr="00F64070">
        <w:rPr>
          <w:u w:val="none"/>
        </w:rPr>
        <w:t>Bijlage XXXIV — Instructies voor de openbaarmakingstemplates betreffende het beloningsbeleid</w:t>
      </w:r>
    </w:p>
    <w:p w14:paraId="27BC952C" w14:textId="77777777" w:rsidR="00965CEB" w:rsidRPr="00F64070" w:rsidRDefault="00965CEB" w:rsidP="00965CEB">
      <w:pPr>
        <w:pStyle w:val="Titlelevel2"/>
        <w:spacing w:before="120" w:after="120"/>
        <w:rPr>
          <w:rFonts w:ascii="Times New Roman" w:hAnsi="Times New Roman" w:cs="Times New Roman"/>
          <w:b/>
          <w:color w:val="auto"/>
          <w:sz w:val="22"/>
        </w:rPr>
      </w:pPr>
    </w:p>
    <w:p w14:paraId="08B38A5D" w14:textId="77777777" w:rsidR="00965CEB" w:rsidRPr="00F64070" w:rsidRDefault="00965CEB" w:rsidP="00965CEB">
      <w:pPr>
        <w:pStyle w:val="Titlelevel2"/>
        <w:spacing w:before="120" w:after="120"/>
        <w:rPr>
          <w:rFonts w:ascii="Times New Roman" w:hAnsi="Times New Roman" w:cs="Times New Roman"/>
          <w:b/>
          <w:color w:val="auto"/>
          <w:sz w:val="24"/>
        </w:rPr>
      </w:pPr>
      <w:r w:rsidRPr="00F64070">
        <w:rPr>
          <w:rFonts w:ascii="Times New Roman" w:hAnsi="Times New Roman" w:cs="Times New Roman"/>
          <w:b/>
          <w:color w:val="auto"/>
          <w:sz w:val="24"/>
        </w:rPr>
        <w:t xml:space="preserve">Tabel EU REMA - Beloningsbeleid: </w:t>
      </w:r>
      <w:r w:rsidRPr="00F64070">
        <w:rPr>
          <w:rFonts w:ascii="Times New Roman" w:hAnsi="Times New Roman" w:cs="Times New Roman"/>
          <w:color w:val="auto"/>
          <w:sz w:val="24"/>
        </w:rPr>
        <w:t>Flexibele opmaak</w:t>
      </w:r>
    </w:p>
    <w:p w14:paraId="6ACFB470" w14:textId="1A85C375"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maken de informatie bedoeld in artikel 450, lid 1, punten a), b), c), d), e), f), j) en k), en artikel 450, lid 2, van Verordening (EU) nr. 575/2013</w:t>
      </w:r>
      <w:r w:rsidRPr="00F64070">
        <w:rPr>
          <w:rStyle w:val="FootnoteReference"/>
          <w:rFonts w:ascii="Times New Roman" w:eastAsiaTheme="minorEastAsia" w:hAnsi="Times New Roman" w:cs="Times New Roman"/>
          <w:bCs w:val="0"/>
          <w:color w:val="auto"/>
          <w:sz w:val="24"/>
          <w:lang w:val="en-GB"/>
        </w:rPr>
        <w:footnoteReference w:id="1"/>
      </w:r>
      <w:r w:rsidRPr="00F64070">
        <w:rPr>
          <w:rFonts w:ascii="Times New Roman" w:hAnsi="Times New Roman" w:cs="Times New Roman"/>
          <w:color w:val="auto"/>
          <w:sz w:val="24"/>
        </w:rPr>
        <w:t xml:space="preserve"> openbaar door aan de hand van de volgende instructies in deze bijlage tabel EU REMA in bijlage XXXIII bij de IT-oplossingen van EBA in te vullen.</w:t>
      </w:r>
    </w:p>
    <w:p w14:paraId="3D4A1A0C"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Deze tabel heeft een flexibele opmaak. Ingeval instellingen een andere opmaak toepassen, verstrekken zij informatie die vergelijkbaar is met de in deze tabel vereiste informatie, met een vergelijkbaar niveau van granulariteit en met inbegrip van alle vereiste inhoudelijke informatie.</w:t>
      </w:r>
    </w:p>
    <w:p w14:paraId="5ED60910"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Voor de toepassing van deze tabel en de in deze bijlage toegelichte templates betreft “toekenning” het verlenen van variabele beloning voor een specifieke toerekeningsperiode, ongeacht het feitelijke tijdstip waarop het toegekende bedrag wordt uitbetaald.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t>Verwijzingen naar wetgeving en instructies</w:t>
            </w:r>
          </w:p>
        </w:tc>
      </w:tr>
      <w:tr w:rsidR="00965CEB" w:rsidRPr="00F64070" w14:paraId="284F051F" w14:textId="77777777" w:rsidTr="00AA1635">
        <w:trPr>
          <w:trHeight w:val="238"/>
        </w:trPr>
        <w:tc>
          <w:tcPr>
            <w:tcW w:w="1435" w:type="dxa"/>
            <w:shd w:val="clear" w:color="auto" w:fill="D9D9D9" w:themeFill="background1" w:themeFillShade="D9"/>
          </w:tcPr>
          <w:p w14:paraId="2F1543A4"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5DD0A4CC"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366273C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7A843606" w14:textId="77777777" w:rsidR="00965CEB" w:rsidRPr="00F64070" w:rsidRDefault="00965CEB" w:rsidP="004F3087">
            <w:pPr>
              <w:pStyle w:val="Applicationdirecte"/>
              <w:spacing w:before="0" w:after="0"/>
              <w:jc w:val="center"/>
            </w:pPr>
            <w:r w:rsidRPr="00F64070">
              <w:t>a)</w:t>
            </w:r>
          </w:p>
        </w:tc>
        <w:tc>
          <w:tcPr>
            <w:tcW w:w="7604"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Informatie over de organen die toezicht houden op de beloning. Openbaarmakingen omvatten het volgende:</w:t>
            </w:r>
          </w:p>
          <w:p w14:paraId="1488B17D" w14:textId="77777777" w:rsidR="00965CEB" w:rsidRPr="00F64070" w:rsidRDefault="00965CEB" w:rsidP="00965CEB">
            <w:pPr>
              <w:pStyle w:val="ListParagraph"/>
              <w:numPr>
                <w:ilvl w:val="0"/>
                <w:numId w:val="2"/>
              </w:numPr>
              <w:spacing w:before="60" w:after="120"/>
              <w:jc w:val="both"/>
              <w:rPr>
                <w:rFonts w:ascii="Times New Roman" w:hAnsi="Times New Roman"/>
                <w:sz w:val="24"/>
                <w:szCs w:val="24"/>
              </w:rPr>
            </w:pPr>
            <w:r w:rsidRPr="00F64070">
              <w:rPr>
                <w:rFonts w:ascii="Times New Roman" w:hAnsi="Times New Roman"/>
                <w:sz w:val="24"/>
              </w:rPr>
              <w:t>naam, samenstelling en mandaat van het voornaamste orgaan (leidinggevend orgaan en beloningscomité indien dat laatste is opgericht) dat toezicht houdt op het beloningsbeleid en het aantal vergaderingen dat dat voornaamste orgaan in de loop van het boekjaar heeft gehouden;</w:t>
            </w:r>
          </w:p>
          <w:p w14:paraId="5B0DD549" w14:textId="77777777" w:rsidR="00965CEB" w:rsidRPr="00F64070" w:rsidRDefault="00965CEB" w:rsidP="00965CEB">
            <w:pPr>
              <w:pStyle w:val="ListParagraph"/>
              <w:numPr>
                <w:ilvl w:val="0"/>
                <w:numId w:val="2"/>
              </w:numPr>
              <w:spacing w:before="60" w:after="120"/>
              <w:jc w:val="both"/>
              <w:rPr>
                <w:rFonts w:ascii="Times New Roman" w:hAnsi="Times New Roman"/>
                <w:sz w:val="24"/>
                <w:szCs w:val="24"/>
              </w:rPr>
            </w:pPr>
            <w:r w:rsidRPr="00F64070">
              <w:rPr>
                <w:rFonts w:ascii="Times New Roman" w:hAnsi="Times New Roman"/>
                <w:sz w:val="24"/>
              </w:rPr>
              <w:t>externe adviseurs op wie een beroep is gedaan, het orgaan dat om advies heeft gevraagd, en de gebieden van het beloningskader waarvoor om advies is gevraagd;</w:t>
            </w:r>
          </w:p>
          <w:p w14:paraId="3CBC394C" w14:textId="77777777" w:rsidR="00965CEB" w:rsidRPr="00F64070" w:rsidRDefault="00965CEB" w:rsidP="00965CEB">
            <w:pPr>
              <w:pStyle w:val="ListParagraph"/>
              <w:numPr>
                <w:ilvl w:val="0"/>
                <w:numId w:val="2"/>
              </w:numPr>
              <w:spacing w:before="60" w:after="120"/>
              <w:jc w:val="both"/>
              <w:rPr>
                <w:rFonts w:ascii="Times New Roman" w:hAnsi="Times New Roman"/>
                <w:sz w:val="24"/>
                <w:szCs w:val="24"/>
              </w:rPr>
            </w:pPr>
            <w:r w:rsidRPr="00F64070">
              <w:rPr>
                <w:rFonts w:ascii="Times New Roman" w:hAnsi="Times New Roman"/>
                <w:sz w:val="24"/>
              </w:rPr>
              <w:t>een beschrijving van de reikwijdte van het beloningsbeleid van de instelling (bv. per regio, bedrijfsonderdeel), met inbegrip van de mate waarin dit van toepassing is op dochterondernemingen en in derde landen gevestigde bijkantoren;</w:t>
            </w:r>
          </w:p>
          <w:p w14:paraId="1BEEE20B" w14:textId="77777777" w:rsidR="00965CEB" w:rsidRPr="00F64070" w:rsidRDefault="00965CEB" w:rsidP="00965CEB">
            <w:pPr>
              <w:pStyle w:val="ListParagraph"/>
              <w:numPr>
                <w:ilvl w:val="0"/>
                <w:numId w:val="2"/>
              </w:numPr>
              <w:spacing w:before="60" w:after="120"/>
              <w:jc w:val="both"/>
              <w:rPr>
                <w:rFonts w:ascii="Times New Roman" w:hAnsi="Times New Roman"/>
                <w:sz w:val="24"/>
              </w:rPr>
            </w:pPr>
            <w:r w:rsidRPr="00F64070">
              <w:rPr>
                <w:rFonts w:ascii="Times New Roman" w:hAnsi="Times New Roman"/>
                <w:sz w:val="24"/>
              </w:rPr>
              <w:t>een beschrijving van de personeelsleden of categorieën van personeelsleden wier beroepswerkzaamheden het risicoprofiel van de instelling wezenlijk beïnvloeden (aangewezen personeelsleden).</w:t>
            </w:r>
          </w:p>
        </w:tc>
      </w:tr>
      <w:tr w:rsidR="00965CEB" w:rsidRPr="00F64070" w14:paraId="2FEF2CFD"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7A003A1C" w14:textId="77777777" w:rsidR="00965CEB" w:rsidRPr="00F64070" w:rsidRDefault="00965CEB" w:rsidP="004F3087">
            <w:pPr>
              <w:pStyle w:val="Applicationdirecte"/>
              <w:spacing w:before="0" w:after="0"/>
              <w:jc w:val="center"/>
            </w:pPr>
            <w:r w:rsidRPr="00F64070">
              <w:t>b)</w:t>
            </w:r>
          </w:p>
        </w:tc>
        <w:tc>
          <w:tcPr>
            <w:tcW w:w="7604"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Informatie over de opzet en structuur van het beloningssysteem voor aangewezen personeelsleden. Openbaarmakingen omvatten het volgende:</w:t>
            </w:r>
          </w:p>
          <w:p w14:paraId="363C45DA"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 xml:space="preserve">een overzicht van de belangrijkste kenmerken en doelstellingen van het beloningsbeleid en informatie over het besluitvormingsproces dat </w:t>
            </w:r>
            <w:r w:rsidRPr="00F64070">
              <w:rPr>
                <w:rFonts w:ascii="Times New Roman" w:hAnsi="Times New Roman"/>
                <w:sz w:val="24"/>
              </w:rPr>
              <w:lastRenderedPageBreak/>
              <w:t>wordt gebruikt voor het bepalen van het beloningsbeleid en de rol van de relevante belanghebbenden (bv. de aandeelhoudersvergadering);</w:t>
            </w:r>
          </w:p>
          <w:p w14:paraId="415080E8"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informatie over de voor prestatiebeoordeling en risicocorrectie vooraf en achteraf gebruikte criteria;</w:t>
            </w:r>
          </w:p>
          <w:p w14:paraId="486E0D69"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of het leidinggevend orgaan en het beloningscomité, indien dat is opgericht, het beloningsbeleid van de instelling gedurende het afgelopen jaar hebben geëvalueerd, en zo ja, een overzicht van eventuele wijzigingen die zijn aangebracht, de redenen voor die wijzigingen en de gevolgen ervan voor de beloning;</w:t>
            </w:r>
          </w:p>
          <w:p w14:paraId="410559C6"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informatie over de wijze waarop de instelling ervoor zorgt dat personeelsleden in interne controlefuncties onafhankelijk van de bedrijfsactiviteiten waarop zij toezicht houden, worden beloond;</w:t>
            </w:r>
          </w:p>
          <w:p w14:paraId="0551D89A"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beleidslijnen en criteria die worden toegepast op de toekenning van gegarandeerde variabele beloning en betalingen bij ontslag.</w:t>
            </w:r>
          </w:p>
        </w:tc>
      </w:tr>
      <w:tr w:rsidR="00965CEB" w:rsidRPr="00F64070" w14:paraId="6A1C9518"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059DC3B9" w14:textId="77777777" w:rsidR="00965CEB" w:rsidRPr="00F64070" w:rsidRDefault="00965CEB" w:rsidP="004F3087">
            <w:pPr>
              <w:pStyle w:val="Applicationdirecte"/>
              <w:spacing w:before="0" w:after="0"/>
              <w:jc w:val="center"/>
            </w:pPr>
            <w:r w:rsidRPr="00F64070">
              <w:lastRenderedPageBreak/>
              <w:t>c)</w:t>
            </w:r>
          </w:p>
        </w:tc>
        <w:tc>
          <w:tcPr>
            <w:tcW w:w="7604"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 xml:space="preserve">Beschrijving van de wijzen waarop in de beloningsprocessen rekening wordt gehouden met actuele en toekomstige risico’s. </w:t>
            </w:r>
          </w:p>
          <w:p w14:paraId="5A14C6D4"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Openbaarmakingen omvatten een overzicht van de belangrijkste risico’s, de meting ervan en de wijze waarop deze metingen van invloed zijn op de beloning.</w:t>
            </w:r>
          </w:p>
        </w:tc>
      </w:tr>
      <w:tr w:rsidR="00965CEB" w:rsidRPr="00F64070" w14:paraId="7E128A2E"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6590B101" w14:textId="77777777" w:rsidR="00965CEB" w:rsidRPr="00F64070" w:rsidRDefault="00965CEB" w:rsidP="004F3087">
            <w:pPr>
              <w:pStyle w:val="Applicationdirecte"/>
              <w:spacing w:before="0" w:after="0"/>
              <w:jc w:val="center"/>
            </w:pPr>
            <w:r w:rsidRPr="00F64070">
              <w:t>d)</w:t>
            </w:r>
          </w:p>
        </w:tc>
        <w:tc>
          <w:tcPr>
            <w:tcW w:w="7604"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De overeenkomstig artikel 94, lid 1, punt g), van Richtlijn 2013/36/EU</w:t>
            </w:r>
            <w:r w:rsidRPr="00F64070">
              <w:rPr>
                <w:rStyle w:val="FootnoteReference"/>
                <w:rFonts w:ascii="Times New Roman" w:hAnsi="Times New Roman" w:cs="Times New Roman"/>
                <w:sz w:val="24"/>
              </w:rPr>
              <w:footnoteReference w:id="2"/>
            </w:r>
            <w:r w:rsidRPr="00F64070">
              <w:rPr>
                <w:rFonts w:ascii="Times New Roman" w:hAnsi="Times New Roman" w:cs="Times New Roman"/>
                <w:sz w:val="24"/>
              </w:rPr>
              <w:t xml:space="preserve"> vastgestelde verhoudingen tussen de vaste en de variabele beloning.</w:t>
            </w:r>
          </w:p>
        </w:tc>
      </w:tr>
      <w:tr w:rsidR="00965CEB" w:rsidRPr="00F64070" w14:paraId="55F04AE7"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84BF53B" w14:textId="77777777" w:rsidR="00965CEB" w:rsidRPr="00F64070" w:rsidRDefault="00965CEB" w:rsidP="004F3087">
            <w:pPr>
              <w:pStyle w:val="Applicationdirecte"/>
              <w:spacing w:before="0" w:after="0"/>
              <w:jc w:val="center"/>
            </w:pPr>
            <w:r w:rsidRPr="00F64070">
              <w:t>e)</w:t>
            </w:r>
          </w:p>
        </w:tc>
        <w:tc>
          <w:tcPr>
            <w:tcW w:w="7604"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Beschrijving van de wijzen waarop de instelling de prestaties tijdens een prestatiebeoordelingsperiode wil koppelen aan beloningsniveaus.</w:t>
            </w:r>
          </w:p>
          <w:p w14:paraId="2C4FFE47"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Openbaarmakingen omvatten het volgende:</w:t>
            </w:r>
          </w:p>
          <w:p w14:paraId="13DAA836"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een overzicht van de belangrijkste prestatiecriteria en maatstaven voor instellingen, bedrijfsonderdelen en individuele personen;</w:t>
            </w:r>
          </w:p>
          <w:p w14:paraId="4673DEDB"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een overzicht van de wijze waarop de bedragen van individuele variabele beloning gekoppeld zijn aan de prestaties van de instelling in haar geheel en individuele prestaties;</w:t>
            </w:r>
          </w:p>
          <w:p w14:paraId="66395D16"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informatie over de criteria die worden gebruikt om het evenwicht te bepalen tussen de verschillende soorten toegekende instrumenten, waaronder aandelen, equivalente eigendomsbelangen, opties en andere instrumenten;</w:t>
            </w:r>
          </w:p>
          <w:p w14:paraId="41B4F38D" w14:textId="77777777" w:rsidR="00965CEB" w:rsidRPr="00F64070" w:rsidRDefault="00965CEB" w:rsidP="00965CEB">
            <w:pPr>
              <w:pStyle w:val="ListParagraph"/>
              <w:numPr>
                <w:ilvl w:val="0"/>
                <w:numId w:val="3"/>
              </w:numPr>
              <w:spacing w:before="60" w:after="120"/>
              <w:jc w:val="both"/>
              <w:rPr>
                <w:rFonts w:ascii="Times New Roman" w:hAnsi="Times New Roman"/>
                <w:sz w:val="24"/>
              </w:rPr>
            </w:pPr>
            <w:r w:rsidRPr="00F64070">
              <w:rPr>
                <w:rFonts w:ascii="Times New Roman" w:hAnsi="Times New Roman"/>
                <w:sz w:val="24"/>
              </w:rPr>
              <w:t xml:space="preserve">informatie over de maatregelen die de instelling zal nemen om variabele beloning aan te passen ingeval de prestatiemaatstaven zwak zijn, met inbegrip van de criteria van de instelling voor het bepalen van prestatiemaatstaven wanneer de prestatiemaatstaven als “zwak” worden beschouwd. Overeenkomstig artikel 94, lid 1, punt n), van Richtlijn 2013/36/EU moet de betaling of verwerving van de variabele beloning worden gerechtvaardigd op basis van de prestaties van de </w:t>
            </w:r>
            <w:r w:rsidRPr="00F64070">
              <w:rPr>
                <w:rFonts w:ascii="Times New Roman" w:hAnsi="Times New Roman"/>
                <w:sz w:val="24"/>
              </w:rPr>
              <w:lastRenderedPageBreak/>
              <w:t>instelling, de bedrijfseenheid en de betrokken persoon. Instellingen lichten de criteria/drempels toe aan de hand waarvan zij bepalen dat de prestaties zwak zijn en het niet gerechtvaardigd is dat de variabele beloning wordt betaald of verworven.</w:t>
            </w:r>
          </w:p>
        </w:tc>
      </w:tr>
      <w:tr w:rsidR="00965CEB" w:rsidRPr="00F64070" w14:paraId="1F6FE8CC"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7E766238" w14:textId="77777777" w:rsidR="00965CEB" w:rsidRPr="00F64070" w:rsidRDefault="00965CEB" w:rsidP="004F3087">
            <w:pPr>
              <w:pStyle w:val="Applicationdirecte"/>
              <w:spacing w:before="0" w:after="0"/>
              <w:jc w:val="center"/>
            </w:pPr>
            <w:r w:rsidRPr="00F64070">
              <w:lastRenderedPageBreak/>
              <w:t>f)</w:t>
            </w:r>
          </w:p>
        </w:tc>
        <w:tc>
          <w:tcPr>
            <w:tcW w:w="7604"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Beschrijving van de wijzen waarop de instelling de beloning wil aanpassen om rekening te houden met langetermijnprestaties.</w:t>
            </w:r>
          </w:p>
          <w:p w14:paraId="6FD7FDE9"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Openbaarmakingen omvatten het volgende:</w:t>
            </w:r>
          </w:p>
          <w:p w14:paraId="4C34D32C"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een overzicht van het beleid van de instelling inzake uitstel, uitbetaling in instrumenten, retentieperioden en verwerving van variabele beloning, ook wanneer dit verschilt tussen personeelsleden of categorieën van personeelsleden;</w:t>
            </w:r>
          </w:p>
          <w:p w14:paraId="21961ED2"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informatie over de criteria van de instelling voor correcties achteraf (malus tijdens uitstel en terugvordering na verwerving, indien het nationale recht dit toestaat);</w:t>
            </w:r>
          </w:p>
          <w:p w14:paraId="17291DFB" w14:textId="77777777" w:rsidR="00965CEB" w:rsidRPr="00F64070" w:rsidRDefault="00965CEB" w:rsidP="00965CEB">
            <w:pPr>
              <w:pStyle w:val="ListParagraph"/>
              <w:numPr>
                <w:ilvl w:val="0"/>
                <w:numId w:val="3"/>
              </w:numPr>
              <w:spacing w:before="60" w:after="120"/>
              <w:jc w:val="both"/>
              <w:rPr>
                <w:rFonts w:ascii="Times New Roman" w:hAnsi="Times New Roman"/>
                <w:b/>
                <w:sz w:val="24"/>
                <w:szCs w:val="24"/>
              </w:rPr>
            </w:pPr>
            <w:r w:rsidRPr="00F64070">
              <w:rPr>
                <w:rFonts w:ascii="Times New Roman" w:hAnsi="Times New Roman"/>
                <w:sz w:val="24"/>
              </w:rPr>
              <w:t>in voorkomend geval, aandeelhoudersverplichtingen die aan aangewezen personeelsleden kunnen worden opgelegd.</w:t>
            </w:r>
          </w:p>
        </w:tc>
      </w:tr>
      <w:tr w:rsidR="00965CEB" w:rsidRPr="00F64070" w14:paraId="67C1F135"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3429FF2" w14:textId="77777777" w:rsidR="00965CEB" w:rsidRPr="00F64070" w:rsidRDefault="00965CEB" w:rsidP="004F3087">
            <w:pPr>
              <w:pStyle w:val="Applicationdirecte"/>
              <w:spacing w:before="0" w:after="0"/>
              <w:jc w:val="center"/>
            </w:pPr>
            <w:r w:rsidRPr="00F64070">
              <w:t>g)</w:t>
            </w:r>
          </w:p>
        </w:tc>
        <w:tc>
          <w:tcPr>
            <w:tcW w:w="7604"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De beschrijving van de belangrijkste parameters en de motivering voor elk variabel beloningssysteem en voor eventuele andere niet-contante voordelen, als bedoeld in artikel 450, lid 1, punt f), van Verordening (EU) nr. 575/2013. Openbaarmakingen omvatten het volgende:</w:t>
            </w:r>
          </w:p>
          <w:p w14:paraId="41EACCDC" w14:textId="77777777" w:rsidR="00965CEB" w:rsidRPr="00F64070" w:rsidRDefault="00965CEB" w:rsidP="00965CEB">
            <w:pPr>
              <w:pStyle w:val="ListParagraph"/>
              <w:numPr>
                <w:ilvl w:val="0"/>
                <w:numId w:val="3"/>
              </w:numPr>
              <w:spacing w:before="60" w:after="120"/>
              <w:jc w:val="both"/>
              <w:rPr>
                <w:rFonts w:ascii="Times New Roman" w:hAnsi="Times New Roman"/>
                <w:sz w:val="24"/>
                <w:szCs w:val="24"/>
              </w:rPr>
            </w:pPr>
            <w:r w:rsidRPr="00F64070">
              <w:rPr>
                <w:rFonts w:ascii="Times New Roman" w:hAnsi="Times New Roman"/>
                <w:sz w:val="24"/>
              </w:rPr>
              <w:t>informatie over de specifieke risico-/prestatie-indicatoren die worden gebruikt om de variabele beloningscomponenten te bepalen en de criteria die worden gebruikt om het evenwicht te bepalen tussen de verschillende soorten toegekende instrumenten, waaronder aandelen, equivalente eigendomsbelangen, op aandelen gebaseerde instrumenten, equivalente niet-liquide instrumenten, opties en andere instrumenten.</w:t>
            </w:r>
          </w:p>
        </w:tc>
      </w:tr>
      <w:tr w:rsidR="00965CEB" w:rsidRPr="00F64070" w14:paraId="1226A1BD"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164F5D91" w14:textId="77777777" w:rsidR="00965CEB" w:rsidRPr="00F64070" w:rsidRDefault="00965CEB" w:rsidP="004F3087">
            <w:pPr>
              <w:pStyle w:val="Applicationdirecte"/>
              <w:spacing w:before="0" w:after="0"/>
              <w:jc w:val="center"/>
            </w:pPr>
            <w:r w:rsidRPr="00F64070">
              <w:t>h)</w:t>
            </w:r>
          </w:p>
        </w:tc>
        <w:tc>
          <w:tcPr>
            <w:tcW w:w="7604"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Op verzoek van de betrokken lidstaat of bevoegde autoriteit, de totale beloning van elk lid van het leidinggevend orgaan of de directie, als bedoeld in artikel 450, lid 1, punt j), van Verordening (EU) nr. 575/2013.</w:t>
            </w:r>
          </w:p>
        </w:tc>
      </w:tr>
      <w:tr w:rsidR="00965CEB" w:rsidRPr="00F64070" w14:paraId="55274E1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6F179305" w14:textId="77777777" w:rsidR="00965CEB" w:rsidRPr="00F64070" w:rsidRDefault="00965CEB" w:rsidP="004F3087">
            <w:pPr>
              <w:pStyle w:val="Applicationdirecte"/>
              <w:spacing w:before="0" w:after="0"/>
              <w:jc w:val="center"/>
            </w:pPr>
            <w:r w:rsidRPr="00F64070">
              <w:t>i)</w:t>
            </w:r>
          </w:p>
        </w:tc>
        <w:tc>
          <w:tcPr>
            <w:tcW w:w="7604"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Informatie over het feit of de instelling een afwijking geniet als bepaald in artikel 94, lid 3, van Richtlijn 2013/36/EU, als bedoeld in artikel 450, lid 1, punt k), van Verordening (EU) nr. 575/2013.</w:t>
            </w:r>
          </w:p>
          <w:p w14:paraId="43880B53"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Voor de toepassing van dit punt geven instellingen die een dergelijke afwijking genieten, aan of dit op grond van punt a) en/of punt b) van artikel 94, lid 3, van Richtlijn 2013/36/EU is. Zij vermelden ook welke van de beloningsvereisten (d.w.z. punt l) en/of punt m) en/of punt o) van artikel 94, lid 1, van Richtlijn 2013/36/EU) zij toepassen op de afwijking(en), het aantal personeelsleden dat de afwijking(en) geniet en hun totale beloning, uitgesplitst in vaste en variabele beloning.</w:t>
            </w:r>
          </w:p>
        </w:tc>
      </w:tr>
      <w:tr w:rsidR="00965CEB" w:rsidRPr="00F64070" w14:paraId="2297665A"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5FEB8126" w14:textId="77777777" w:rsidR="00965CEB" w:rsidRPr="00F64070" w:rsidRDefault="00965CEB" w:rsidP="004F3087">
            <w:pPr>
              <w:pStyle w:val="Applicationdirecte"/>
              <w:spacing w:before="0" w:after="0"/>
              <w:jc w:val="center"/>
            </w:pPr>
            <w:r w:rsidRPr="00F64070">
              <w:t>j)</w:t>
            </w:r>
          </w:p>
        </w:tc>
        <w:tc>
          <w:tcPr>
            <w:tcW w:w="7604"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 xml:space="preserve">Grote instellingen maken de kwantitatieve informatie over de beloning van hun gezamenlijk leidinggevend orgaan openbaar, waarbij een onderscheid </w:t>
            </w:r>
            <w:r w:rsidRPr="00F64070">
              <w:rPr>
                <w:rFonts w:ascii="Times New Roman" w:hAnsi="Times New Roman" w:cs="Times New Roman"/>
                <w:sz w:val="24"/>
              </w:rPr>
              <w:lastRenderedPageBreak/>
              <w:t>wordt gemaakt tussen uitvoerende en niet-uitvoerende leden, als bedoeld in artikel 450, lid 2, van Verordening (EU) nr. 575/2013.</w:t>
            </w:r>
          </w:p>
        </w:tc>
      </w:tr>
    </w:tbl>
    <w:p w14:paraId="253E4D29" w14:textId="77777777" w:rsidR="00965CEB" w:rsidRPr="00F64070"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F64070"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F64070"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F64070"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F64070" w:rsidRDefault="00965CEB" w:rsidP="00965CEB">
      <w:pPr>
        <w:pStyle w:val="Titlelevel2"/>
        <w:spacing w:before="120" w:after="120"/>
        <w:rPr>
          <w:rFonts w:ascii="Times New Roman" w:hAnsi="Times New Roman" w:cs="Times New Roman"/>
          <w:color w:val="auto"/>
          <w:sz w:val="24"/>
        </w:rPr>
      </w:pPr>
      <w:r w:rsidRPr="00F64070">
        <w:rPr>
          <w:rFonts w:ascii="Times New Roman" w:hAnsi="Times New Roman" w:cs="Times New Roman"/>
          <w:b/>
          <w:color w:val="auto"/>
          <w:sz w:val="24"/>
        </w:rPr>
        <w:t xml:space="preserve">Template EU REM1 - Voor het boekjaar toegekende beloning: </w:t>
      </w:r>
      <w:r w:rsidRPr="00F64070">
        <w:rPr>
          <w:rFonts w:ascii="Times New Roman" w:hAnsi="Times New Roman" w:cs="Times New Roman"/>
          <w:color w:val="auto"/>
          <w:sz w:val="24"/>
        </w:rPr>
        <w:t>Vaste opmaak</w:t>
      </w:r>
    </w:p>
    <w:p w14:paraId="0B701908"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volgen de onderstaande instructies in deze bijlage voor het invullen van template EU REM1, die in bijlage XXXIII bij deze uitvoeringsverordening is opgenomen, bij toepassing van artikel 450, lid 1, punt h), i) en ii), van Verordening (EU) nr. 575/2013.</w:t>
      </w:r>
    </w:p>
    <w:p w14:paraId="667CF96F" w14:textId="77777777" w:rsidR="00965CEB" w:rsidRPr="00F64070"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t>Verwijzingen naar wetgeving en instructies</w:t>
            </w:r>
          </w:p>
        </w:tc>
      </w:tr>
      <w:tr w:rsidR="00965CEB" w:rsidRPr="00F64070" w14:paraId="6BE5DB3C" w14:textId="77777777" w:rsidTr="00AA1635">
        <w:trPr>
          <w:trHeight w:val="238"/>
        </w:trPr>
        <w:tc>
          <w:tcPr>
            <w:tcW w:w="1435" w:type="dxa"/>
            <w:shd w:val="clear" w:color="auto" w:fill="D9D9D9" w:themeFill="background1" w:themeFillShade="D9"/>
          </w:tcPr>
          <w:p w14:paraId="6F088F3D"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366C181D"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796E366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1 en 9</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Aantal aangewezen personeelsleden</w:t>
            </w:r>
          </w:p>
          <w:p w14:paraId="23AE8698"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Het aantal personeelsleden wier beroepswerkzaamheden het risicoprofiel van de instelling wezenlijk beïnvloeden overeenkomstig artikel 92 van Richtlijn 2013/36/EU en de gedelegeerde verordening van de Commissie betreffende aangewezen personeelsleden</w:t>
            </w:r>
            <w:r w:rsidRPr="00F64070">
              <w:rPr>
                <w:rStyle w:val="FootnoteReference"/>
                <w:rFonts w:ascii="Times New Roman" w:hAnsi="Times New Roman" w:cs="Times New Roman"/>
                <w:sz w:val="24"/>
              </w:rPr>
              <w:footnoteReference w:id="3"/>
            </w:r>
            <w:r w:rsidRPr="00F64070">
              <w:rPr>
                <w:rFonts w:ascii="Times New Roman" w:hAnsi="Times New Roman" w:cs="Times New Roman"/>
                <w:sz w:val="24"/>
              </w:rPr>
              <w:t xml:space="preserve"> tot uitvoering van artikel 94, lid 2, van Richtlijn 2013/36/EU en die begunstigden zijn van de in deze template opgenomen beloningscomponenten. Het wordt berekend volgens de VTE-benadering (voltijdequivalenten) voor aangewezen personeelsleden die geen lid van het leidinggevend orgaan zijn, waarbij aantallen worden bekendgemaakt op basis van de personeelsbezetting.</w:t>
            </w:r>
          </w:p>
        </w:tc>
      </w:tr>
      <w:tr w:rsidR="00965CEB" w:rsidRPr="00F64070" w14:paraId="6023846F"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2</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Totaal vaste beloning</w:t>
            </w:r>
          </w:p>
          <w:p w14:paraId="03654C0F"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Som van de bedragen in de rijen 3 tot en met 7 van deze template.</w:t>
            </w:r>
          </w:p>
        </w:tc>
      </w:tr>
      <w:tr w:rsidR="00965CEB" w:rsidRPr="00F64070" w14:paraId="5807918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3</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geldelijk</w:t>
            </w:r>
          </w:p>
          <w:p w14:paraId="1A2351D8"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Het bedrag van de geldelijke beloning binnen de vaste beloning.</w:t>
            </w:r>
          </w:p>
        </w:tc>
      </w:tr>
      <w:tr w:rsidR="00965CEB" w:rsidRPr="00F64070" w14:paraId="7596F3C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EU-4a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aandelen of equivalente eigendomsbelangen</w:t>
            </w:r>
          </w:p>
          <w:p w14:paraId="14E3789E"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de bedragen van de in artikel 94, lid 1, punt l), i), van Richtlijn 2013/36/EU bedoelde aandelen of, afhankelijk van de juridische structuur van de betrokken instelling, equivalente eigendomsbelangen binnen de vaste beloning.</w:t>
            </w:r>
          </w:p>
        </w:tc>
      </w:tr>
      <w:tr w:rsidR="00965CEB" w:rsidRPr="00F64070" w14:paraId="048B3C44"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5</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 xml:space="preserve">waarvan: op aandelen gebaseerde instrumenten of equivalente niet-liquide instrumenten </w:t>
            </w:r>
          </w:p>
          <w:p w14:paraId="54EF89ED"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 xml:space="preserve">De som van de bedragen van de in artikel 94, lid 1, punt l), i), van Richtlijn 2013/36/EU bedoelde op aandelen gebaseerde instrumenten of, afhankelijk </w:t>
            </w:r>
            <w:r w:rsidRPr="00F64070">
              <w:rPr>
                <w:rFonts w:ascii="Times New Roman" w:hAnsi="Times New Roman" w:cs="Times New Roman"/>
                <w:sz w:val="24"/>
              </w:rPr>
              <w:lastRenderedPageBreak/>
              <w:t>van de juridische structuur van de betrokken instelling, equivalente niet-liquide instrumenten binnen de vaste beloning.</w:t>
            </w:r>
          </w:p>
        </w:tc>
      </w:tr>
      <w:tr w:rsidR="00965CEB" w:rsidRPr="00F64070" w14:paraId="67599F4D"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lastRenderedPageBreak/>
              <w:t>EU-5x</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andere instrumenten</w:t>
            </w:r>
          </w:p>
          <w:p w14:paraId="06C24EE7"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Het bedrag van de in artikel 94, lid 1, punt l), ii), van Richtlijn 2013/36/EU bedoelde andere instrumenten binnen de vaste beloning.</w:t>
            </w:r>
          </w:p>
        </w:tc>
      </w:tr>
      <w:tr w:rsidR="00965CEB" w:rsidRPr="00F64070" w14:paraId="31124981"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7</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andere vormen</w:t>
            </w:r>
          </w:p>
          <w:p w14:paraId="35C192C0"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bedragen van voor het boekjaar toegekende vaste beloning die niet in de andere rijen van de rubriek “totaal vaste beloning” openbaar zijn gemaakt.</w:t>
            </w:r>
          </w:p>
          <w:p w14:paraId="5E279F2C"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Het kan onder meer gaan om in overweging 64 van Richtlijn 2013/36/EU bedoelde evenredige reguliere pensioenbijdragen of voordelen (waarbij voor die voordelen geen prestatiecriteria in aanmerking worden genomen), of om andere vormen van beloning zoals kilometervergoeding.</w:t>
            </w:r>
          </w:p>
        </w:tc>
      </w:tr>
      <w:tr w:rsidR="00965CEB" w:rsidRPr="00F64070" w14:paraId="32ABF286"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10</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Totaal variabele beloning</w:t>
            </w:r>
          </w:p>
          <w:p w14:paraId="00FC93B0"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Som van de bedragen in de rijen 11, EU-13a, EU-13b, EU-14x en 15 van deze template.</w:t>
            </w:r>
          </w:p>
          <w:p w14:paraId="74BA85CD"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alle beloningscomponenten die geen vaste beloning zijn die in rij 2 van deze template openbaar is gemaakt, met inbegrip van gegarandeerde variabele beloning en betalingen bij ontslag die tijdens dat jaar zijn toegekend.</w:t>
            </w:r>
          </w:p>
        </w:tc>
      </w:tr>
      <w:tr w:rsidR="00965CEB" w:rsidRPr="00F64070" w14:paraId="76911A24"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11</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geldelijk</w:t>
            </w:r>
          </w:p>
          <w:p w14:paraId="2BEE787D"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Het bedrag van de geldelijke beloning binnen de variabele beloning.</w:t>
            </w:r>
          </w:p>
        </w:tc>
      </w:tr>
      <w:tr w:rsidR="00965CEB" w:rsidRPr="00F64070" w14:paraId="721EE2BE"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F64070" w:rsidRDefault="00965CEB" w:rsidP="004F3087">
            <w:pPr>
              <w:autoSpaceDE w:val="0"/>
              <w:autoSpaceDN w:val="0"/>
              <w:adjustRightInd w:val="0"/>
              <w:jc w:val="center"/>
              <w:rPr>
                <w:rFonts w:ascii="Times New Roman" w:hAnsi="Times New Roman" w:cs="Times New Roman"/>
                <w:sz w:val="24"/>
                <w:lang w:val="fr-BE"/>
              </w:rPr>
            </w:pPr>
            <w:r w:rsidRPr="00F64070">
              <w:rPr>
                <w:rFonts w:ascii="Times New Roman" w:hAnsi="Times New Roman" w:cs="Times New Roman"/>
                <w:sz w:val="24"/>
                <w:lang w:val="fr-BE"/>
              </w:rPr>
              <w:t>12, EU-14a, EU-14b, EU-14y en 16</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uitgesteld</w:t>
            </w:r>
          </w:p>
          <w:p w14:paraId="151C1A05"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bedragen van de variabele beloning per type component die worden uitgesteld, bepaald overeenkomstig artikel 94 van Richtlijn 2013/36/EU.</w:t>
            </w:r>
          </w:p>
        </w:tc>
      </w:tr>
      <w:tr w:rsidR="00965CEB" w:rsidRPr="00F64070" w14:paraId="2F521362"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EU-13a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aandelen of equivalente eigendomsbelangen</w:t>
            </w:r>
          </w:p>
          <w:p w14:paraId="4498A72C"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de bedragen van de in artikel 94, lid 1, punt l), i), van Richtlijn 2013/36/EU bedoelde aandelen of, afhankelijk van de juridische structuur van de betrokken instelling, equivalente eigendomsbelangen binnen de variabele beloning.</w:t>
            </w:r>
          </w:p>
        </w:tc>
      </w:tr>
      <w:tr w:rsidR="00965CEB" w:rsidRPr="00F64070" w14:paraId="54AF9B69"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EU-13b</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 xml:space="preserve">Waarvan: op aandelen gebaseerde instrumenten of equivalente niet-liquide instrumenten </w:t>
            </w:r>
          </w:p>
          <w:p w14:paraId="6FA62A3F"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de bedragen van de in artikel 94, lid 1, punt l), i), van Richtlijn 2013/36/EU bedoelde op aandelen gebaseerde instrumenten of, afhankelijk van de juridische structuur van de betrokken instelling, equivalente niet-liquide instrumenten binnen de variabele beloning.</w:t>
            </w:r>
          </w:p>
        </w:tc>
      </w:tr>
      <w:tr w:rsidR="00965CEB" w:rsidRPr="00F64070" w14:paraId="5FFBFCE4"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EU-14x</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andere instrumenten</w:t>
            </w:r>
          </w:p>
          <w:p w14:paraId="4D8E1D04"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sz w:val="24"/>
              </w:rPr>
              <w:t>Het bedrag van de in artikel 94, lid 1, punt l), ii), van Richtlijn 2013/36/EU bedoelde andere instrumenten binnen de variabele beloning.</w:t>
            </w:r>
          </w:p>
        </w:tc>
      </w:tr>
      <w:tr w:rsidR="00965CEB" w:rsidRPr="00F64070" w14:paraId="4B762FE1"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15</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waarvan: andere vormen</w:t>
            </w:r>
          </w:p>
          <w:p w14:paraId="236742B0"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lastRenderedPageBreak/>
              <w:t>De bedragen van voor het boekjaar toegekende variabele beloning die niet in de andere rijen van de rubriek “totaal variabele beloning” openbaar zijn gemaakt.</w:t>
            </w:r>
          </w:p>
        </w:tc>
      </w:tr>
      <w:tr w:rsidR="00965CEB" w:rsidRPr="00F64070" w14:paraId="765DE5F9"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lastRenderedPageBreak/>
              <w:t>17</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Totaal beloning</w:t>
            </w:r>
          </w:p>
          <w:p w14:paraId="7D746BF1"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Som van de bedragen in de rijen 2 en 10 van deze template.</w:t>
            </w:r>
          </w:p>
        </w:tc>
      </w:tr>
      <w:tr w:rsidR="00965CEB" w:rsidRPr="00F64070" w14:paraId="7636FF7D"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F64070" w:rsidRDefault="00965CEB" w:rsidP="004F3087">
            <w:pPr>
              <w:pStyle w:val="Applicationdirecte"/>
              <w:spacing w:before="0"/>
              <w:jc w:val="center"/>
              <w:rPr>
                <w:b/>
              </w:rPr>
            </w:pPr>
            <w:r w:rsidRPr="00F64070">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F64070" w:rsidRDefault="00965CEB" w:rsidP="004F3087">
            <w:pPr>
              <w:pStyle w:val="TableMainHeading"/>
              <w:spacing w:before="60"/>
              <w:rPr>
                <w:rFonts w:ascii="Times New Roman" w:hAnsi="Times New Roman"/>
                <w:b/>
                <w:sz w:val="24"/>
                <w:szCs w:val="24"/>
              </w:rPr>
            </w:pPr>
            <w:r w:rsidRPr="00F64070">
              <w:rPr>
                <w:rFonts w:ascii="Times New Roman" w:hAnsi="Times New Roman"/>
                <w:b/>
                <w:sz w:val="24"/>
              </w:rPr>
              <w:t>Toelichting</w:t>
            </w:r>
          </w:p>
        </w:tc>
      </w:tr>
      <w:tr w:rsidR="00965CEB" w:rsidRPr="00F64070" w14:paraId="032AF07C"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Leidinggevend orgaan in zijn toezichthoudende functie</w:t>
            </w:r>
          </w:p>
          <w:p w14:paraId="5B085248"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 xml:space="preserve">Het leidinggevend orgaan in zijn toezichthoudende functie, d.w.z. het leidinggevend orgaan handelend in zijn functie van het toezien op en controleren van de bestuurlijke besluitvorming in de zin van artikel 3, lid 1, punt 8, van Richtlijn 2013/36/EU. </w:t>
            </w:r>
          </w:p>
          <w:p w14:paraId="69498C90"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 xml:space="preserve">Instellingen maken informatie openbaar op basis van de personeelsbezetting. </w:t>
            </w:r>
          </w:p>
          <w:p w14:paraId="45A26C8B"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Overeenkomstig artikel 13 van Verordening (EU) nr. 575/2013 maken EU-moederinstellingen deze informatie openbaar op basis van hun geconsolideerde situatie en grote dochterondernemingen van EU-moederinstellingen maken deze informatie openbaar op individuele basis of, wanneer van toepassing, overeenkomstig deze verordening en Richtlijn 2013/36/EU, op gesubconsolideerde basis. De entiteit die de informatie openbaar maakt, neemt in deze kolom informatie over haar leidinggevend orgaan op. Als de openbaarmaking overeenkomstig de artikelen 6 en 13 van Verordening (EU) nr. 575/2013 op geconsolideerd of gesubconsolideerd niveau plaatsvindt, wordt informatie over de aangewezen personeelsleden van de leidinggevende organen van de dochterondernemingen openbaar gemaakt onder het desbetreffende bedrijfsonderdeel.</w:t>
            </w:r>
          </w:p>
        </w:tc>
      </w:tr>
      <w:tr w:rsidR="00965CEB" w:rsidRPr="00F64070" w14:paraId="01418590"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b</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 xml:space="preserve">Leidinggevend orgaan in zijn leidinggevende functie </w:t>
            </w:r>
          </w:p>
          <w:p w14:paraId="286AC6E9"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De leden van het leidinggevend orgaan, die verantwoordelijk zijn voor zijn leidinggevende functies.</w:t>
            </w:r>
          </w:p>
          <w:p w14:paraId="235DAD77"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maken informatie openbaar op basis van de personeelsbezetting.</w:t>
            </w:r>
          </w:p>
          <w:p w14:paraId="5BD47962"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maken informatie openbaar op basis van de personeelsbezetting. Overeenkomstig artikel 13 van Verordening (EU) nr. 575/2013 maken EU-moederinstellingen deze informatie openbaar op basis van hun geconsolideerde situatie en grote dochterondernemingen van EU-moederinstellingen maken deze informatie openbaar op individuele basis of, wanneer van toepassing, overeenkomstig deze verordening en Richtlijn 2013/36/EU, op gesubconsolideerde basis. De entiteit die de informatie openbaar maakt, neemt in deze kolom informatie over haar leidinggevend orgaan op. Als de openbaarmaking overeenkomstig de artikelen 6 en 13 van Verordening (EU) nr. 575/2013 op geconsolideerd of gesubconsolideerd niveau plaatsvindt, wordt informatie over de aangewezen personeelsleden van de leidinggevende organen van de dochterondernemingen openbaar gemaakt onder het desbetreffende bedrijfsonderdeel.</w:t>
            </w:r>
          </w:p>
        </w:tc>
      </w:tr>
      <w:tr w:rsidR="00965CEB" w:rsidRPr="00F64070" w14:paraId="07AF1D01"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c</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Andere directieleden</w:t>
            </w:r>
          </w:p>
          <w:p w14:paraId="43B1CA89"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lastRenderedPageBreak/>
              <w:t>Directie in de zin van artikel 3, lid 1, punt 9, van Richtlijn 2013/36/EU.</w:t>
            </w:r>
          </w:p>
          <w:p w14:paraId="16B3B839"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maken het aantal directieleden openbaar dat niet openbaar is gemaakt onder “leidinggevend orgaan in zijn leidinggevende functie” en onder “andere aangewezen personeelsleden”. Instellingen maken informatie openbaar op basis van voltijdequivalenten.</w:t>
            </w:r>
          </w:p>
        </w:tc>
      </w:tr>
      <w:tr w:rsidR="00965CEB" w:rsidRPr="00F64070" w14:paraId="4E09CB2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lastRenderedPageBreak/>
              <w:t>d</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Andere aangewezen personeelsleden</w:t>
            </w:r>
          </w:p>
          <w:p w14:paraId="6ECAE4F8"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 xml:space="preserve">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van Richtlijn 2013/36/EU betreffende aangewezen personeelsleden heeft vastgesteld en daarnaast, in voorkomend geval, op basis van criteria van instellingen. </w:t>
            </w:r>
          </w:p>
          <w:p w14:paraId="78BEE2A5"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kunnen in deze template de uitsplitsing naar bedrijfsonderdeel opnemen die in template EU REM5 (VTE) wordt voorgesteld. Instellingen maken informatie openbaar op basis van voltijdequivalenten.</w:t>
            </w:r>
          </w:p>
        </w:tc>
      </w:tr>
    </w:tbl>
    <w:p w14:paraId="68C370B5" w14:textId="77777777" w:rsidR="00965CEB" w:rsidRPr="00F64070"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F64070" w:rsidRDefault="00965CEB" w:rsidP="00965CEB">
      <w:pPr>
        <w:pStyle w:val="Titlelevel2"/>
        <w:spacing w:before="120" w:after="120"/>
        <w:rPr>
          <w:rFonts w:ascii="Times New Roman" w:hAnsi="Times New Roman" w:cs="Times New Roman"/>
          <w:b/>
          <w:color w:val="auto"/>
          <w:sz w:val="24"/>
        </w:rPr>
      </w:pPr>
      <w:r w:rsidRPr="00F64070">
        <w:rPr>
          <w:rFonts w:ascii="Times New Roman" w:hAnsi="Times New Roman" w:cs="Times New Roman"/>
          <w:b/>
          <w:color w:val="auto"/>
          <w:sz w:val="24"/>
        </w:rPr>
        <w:t xml:space="preserve">Template EU REM2 - Bijzondere betalingen aan personeelsleden wier beroepswerkzaamheden het risicoprofiel van de instelling wezenlijk beïnvloeden (aangewezen personeelsleden): </w:t>
      </w:r>
      <w:r w:rsidRPr="00F64070">
        <w:rPr>
          <w:rFonts w:ascii="Times New Roman" w:hAnsi="Times New Roman" w:cs="Times New Roman"/>
          <w:color w:val="auto"/>
          <w:sz w:val="24"/>
        </w:rPr>
        <w:t>Vaste opmaak</w:t>
      </w:r>
    </w:p>
    <w:p w14:paraId="031B19E3"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maken de in artikel 450, lid 1, punt h), v) tot en met vii), van Verordening (EU) nr. 575/2013 bedoelde informatie openbaar volgens de onderstaande instructies in deze bijlage voor het invullen van de openbaarmakingstemplate EU REM2, die in bijlage XXXIII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t>Verwijzingen naar wetgeving en instructies</w:t>
            </w:r>
          </w:p>
        </w:tc>
      </w:tr>
      <w:tr w:rsidR="00965CEB" w:rsidRPr="00F64070" w14:paraId="270A64D0" w14:textId="77777777" w:rsidTr="00AA1635">
        <w:trPr>
          <w:trHeight w:val="238"/>
        </w:trPr>
        <w:tc>
          <w:tcPr>
            <w:tcW w:w="1435" w:type="dxa"/>
            <w:shd w:val="clear" w:color="auto" w:fill="D9D9D9" w:themeFill="background1" w:themeFillShade="D9"/>
          </w:tcPr>
          <w:p w14:paraId="110C173D"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17E42920"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79993880"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54CA59E3" w14:textId="77777777" w:rsidR="00965CEB" w:rsidRPr="00F64070" w:rsidRDefault="00965CEB" w:rsidP="004F3087">
            <w:pPr>
              <w:pStyle w:val="Applicationdirecte"/>
              <w:spacing w:before="0" w:after="0"/>
              <w:jc w:val="center"/>
            </w:pPr>
            <w:r w:rsidRPr="00F64070">
              <w:t>1, 4 en 6</w:t>
            </w:r>
          </w:p>
        </w:tc>
        <w:tc>
          <w:tcPr>
            <w:tcW w:w="7604"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Aantal aangewezen personeelsleden</w:t>
            </w:r>
          </w:p>
          <w:p w14:paraId="50587A12"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aantal aangewezen personeelsleden wier beroepswerkzaamheden het risicoprofiel van de instelling wezenlijk beïnvloeden overeenkomstig artikel 92 van Richtlijn 2013/36/EU en de gedelegeerde verordening die de Commissie in uitvoering van artikel 94, lid 2, van Richtlijn 2013/36/EU betreffende aangewezen personeelsleden heeft vastgesteld, voor elk van de specifieke beloningscomponenten.</w:t>
            </w:r>
          </w:p>
          <w:p w14:paraId="6D4FEBDD"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Voor de kolommen a en b (leidinggevend orgaan) van deze template wordt de waarde gebaseerd op de personeelsbezetting. Voor de kolommen c en d van deze template wordt de waarde berekend aan de hand van de VTE-methode (voltijdequivalenten).</w:t>
            </w:r>
          </w:p>
          <w:p w14:paraId="2E1869A2"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Rij 4 van deze template heeft betrekking op betalingen bij ontslag die in voorgaande perioden zijn toegekend en tijdens het boekjaar (dit jaar) zijn uitbetaald, terwijl rij 6 van deze template betrekking heeft op betalingen bij ontslag die tijdens het boekjaar (lopend jaar) zijn toegekend.</w:t>
            </w:r>
          </w:p>
        </w:tc>
      </w:tr>
      <w:tr w:rsidR="00965CEB" w:rsidRPr="00F64070" w14:paraId="06192E0B"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06197FBD" w14:textId="77777777" w:rsidR="00965CEB" w:rsidRPr="00F64070" w:rsidRDefault="00965CEB" w:rsidP="004F3087">
            <w:pPr>
              <w:pStyle w:val="Applicationdirecte"/>
              <w:spacing w:before="0" w:after="0"/>
              <w:jc w:val="center"/>
            </w:pPr>
            <w:r w:rsidRPr="00F64070">
              <w:lastRenderedPageBreak/>
              <w:t>2</w:t>
            </w:r>
          </w:p>
        </w:tc>
        <w:tc>
          <w:tcPr>
            <w:tcW w:w="7604"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Toekenningen van gegarandeerde variabele beloning – Totaal bedrag</w:t>
            </w:r>
          </w:p>
          <w:p w14:paraId="6D0F7C1C"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toekenningen van gegarandeerde variabele beloningen, als bedoeld in artikel 94, lid 1, punt e), van Richtlijn 2013/36/EU.</w:t>
            </w:r>
          </w:p>
        </w:tc>
      </w:tr>
      <w:tr w:rsidR="00965CEB" w:rsidRPr="00F64070" w14:paraId="315511A5"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0F0816D1" w14:textId="77777777" w:rsidR="00965CEB" w:rsidRPr="00F64070" w:rsidRDefault="00965CEB" w:rsidP="004F3087">
            <w:pPr>
              <w:pStyle w:val="Applicationdirecte"/>
              <w:spacing w:before="0" w:after="0"/>
              <w:jc w:val="center"/>
            </w:pPr>
            <w:r w:rsidRPr="00F64070">
              <w:t>3</w:t>
            </w:r>
          </w:p>
        </w:tc>
        <w:tc>
          <w:tcPr>
            <w:tcW w:w="7604"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Waarvan tijdens het boekjaar betaalde toekenningen van gegarandeerde variabele beloning waarmee in het bonusplafond geen rekening is gehouden</w:t>
            </w:r>
          </w:p>
          <w:p w14:paraId="35D0912A"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De bedragen van de toekenningen van gegarandeerde variabele beloning als bedoeld in artikel 94, lid 1, punt e), van Richtlijn 2013/36/EU, die tijdens het boekjaar (lopend jaar) zijn betaald en waarmee in het bonusplafond geen rekening is gehouden.</w:t>
            </w:r>
          </w:p>
          <w:p w14:paraId="1D5DC4D6"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Met betrekking tot de in artikel 450, lid 1, punt g) en punt h), v) en vi), van Verordening (EU) nr. 575/2013 bedoelde openbaar gemaakte informatie geven instellingen duidelijk aan of de geaggregeerde kwantitatieve informatie over de beloning uitgesplitst naar bedrijfsonderdeel het bonusplafond weerspiegelt wanneer het gaat om nieuwe betalingen bij indiensttreding en ontslag.</w:t>
            </w:r>
          </w:p>
        </w:tc>
      </w:tr>
      <w:tr w:rsidR="00965CEB" w:rsidRPr="00F64070" w14:paraId="0ACB8FB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792C0DB" w14:textId="77777777" w:rsidR="00965CEB" w:rsidRPr="00F64070" w:rsidRDefault="00965CEB" w:rsidP="004F3087">
            <w:pPr>
              <w:pStyle w:val="Applicationdirecte"/>
              <w:spacing w:before="0" w:after="0"/>
              <w:jc w:val="center"/>
            </w:pPr>
            <w:r w:rsidRPr="00F64070">
              <w:t>5</w:t>
            </w:r>
          </w:p>
        </w:tc>
        <w:tc>
          <w:tcPr>
            <w:tcW w:w="7604"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In voorgaande perioden toegekende betalingen bij ontslag die tijdens het boekjaar zijn uitbetaald – Totaal bedrag</w:t>
            </w:r>
          </w:p>
          <w:p w14:paraId="6BDFFBCB"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betalingen bij ontslag als bedoeld in artikel 94, lid 1, punt h), van Richtlijn 2013/36/EU die in voorgaande perioden zijn toegekend en tijdens het boekjaar (lopend jaar) zijn uitbetaald.</w:t>
            </w:r>
          </w:p>
        </w:tc>
      </w:tr>
      <w:tr w:rsidR="00965CEB" w:rsidRPr="00F64070" w14:paraId="1CD3B2F1"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3E55016C" w14:textId="77777777" w:rsidR="00965CEB" w:rsidRPr="00F64070" w:rsidRDefault="00965CEB" w:rsidP="004F3087">
            <w:pPr>
              <w:pStyle w:val="Applicationdirecte"/>
              <w:spacing w:before="0" w:after="0"/>
              <w:jc w:val="center"/>
            </w:pPr>
            <w:r w:rsidRPr="00F64070">
              <w:t>7</w:t>
            </w:r>
          </w:p>
        </w:tc>
        <w:tc>
          <w:tcPr>
            <w:tcW w:w="7604"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Tijdens het boekjaar toegekende betalingen bij ontslag – Totaal bedrag</w:t>
            </w:r>
          </w:p>
          <w:p w14:paraId="370D85D3"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betalingen bij ontslag als bedoeld in artikel 94, lid 1, punt h), van Richtlijn 2013/36/EU die tijdens het boekjaar (lopend jaar) zijn toegekend.</w:t>
            </w:r>
          </w:p>
        </w:tc>
      </w:tr>
      <w:tr w:rsidR="00965CEB" w:rsidRPr="00F64070" w14:paraId="52F0521C"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00847F60" w14:textId="77777777" w:rsidR="00965CEB" w:rsidRPr="00F64070" w:rsidRDefault="00965CEB" w:rsidP="004F3087">
            <w:pPr>
              <w:pStyle w:val="Applicationdirecte"/>
              <w:spacing w:before="0" w:after="0"/>
              <w:jc w:val="center"/>
            </w:pPr>
            <w:r w:rsidRPr="00F64070">
              <w:t>8</w:t>
            </w:r>
          </w:p>
        </w:tc>
        <w:tc>
          <w:tcPr>
            <w:tcW w:w="7604"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Waarvan tijdens het boekjaar toegekende betalingen bij ontslag – Betaald tijdens het boekjaar</w:t>
            </w:r>
          </w:p>
          <w:p w14:paraId="75DA4E07"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betalingen bij ontslag als bedoeld in artikel 94, lid 1, punt h), van Richtlijn 2013/36/EU die tijdens het boekjaar zijn toegekend en betaald.</w:t>
            </w:r>
          </w:p>
        </w:tc>
      </w:tr>
      <w:tr w:rsidR="00965CEB" w:rsidRPr="00F64070" w14:paraId="718151EA"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688AE7D7" w14:textId="77777777" w:rsidR="00965CEB" w:rsidRPr="00F64070" w:rsidRDefault="00965CEB" w:rsidP="004F3087">
            <w:pPr>
              <w:pStyle w:val="Applicationdirecte"/>
              <w:spacing w:before="0" w:after="0"/>
              <w:jc w:val="center"/>
            </w:pPr>
            <w:r w:rsidRPr="00F64070">
              <w:t>9</w:t>
            </w:r>
          </w:p>
        </w:tc>
        <w:tc>
          <w:tcPr>
            <w:tcW w:w="7604"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Waarvan tijdens het boekjaar toegekende betalingen bij ontslag – Uitgesteld</w:t>
            </w:r>
          </w:p>
          <w:p w14:paraId="2B8A3E35"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betalingen bij ontslag als bedoeld in artikel 94, lid 1, punt h), van Richtlijn 2013/36/EU die tijdens het boekjaar zijn toegekend en die zijn uitgesteld, bepaald overeenkomstig artikel 94 van Richtlijn 2013/36/EU.</w:t>
            </w:r>
          </w:p>
        </w:tc>
      </w:tr>
      <w:tr w:rsidR="00965CEB" w:rsidRPr="00F64070" w14:paraId="3FA2D86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093075F9" w14:textId="77777777" w:rsidR="00965CEB" w:rsidRPr="00F64070" w:rsidRDefault="00965CEB" w:rsidP="004F3087">
            <w:pPr>
              <w:pStyle w:val="Applicationdirecte"/>
              <w:spacing w:before="0" w:after="0"/>
              <w:jc w:val="center"/>
            </w:pPr>
            <w:r w:rsidRPr="00F64070">
              <w:t>10</w:t>
            </w:r>
          </w:p>
        </w:tc>
        <w:tc>
          <w:tcPr>
            <w:tcW w:w="7604"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Waarvan tijdens het boekjaar betaalde betalingen bij ontslag waarmee in het bonusplafond geen rekening is gehouden</w:t>
            </w:r>
          </w:p>
          <w:p w14:paraId="3020E32C"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De bedragen van de betalingen bij ontslag als bedoeld in artikel 94, lid 1, punt h), van Richtlijn 2013/36/EU, die tijdens het boekjaar zijn betaald en waarmee in het bonusplafond geen rekening is gehouden.</w:t>
            </w:r>
          </w:p>
          <w:p w14:paraId="78B7D63D"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 xml:space="preserve">Met betrekking tot de in artikel 450, lid 1, punt g) en punt h), v) en vi), van Verordening (EU) nr. 575/2013 bedoelde openbaar gemaakte informatie </w:t>
            </w:r>
            <w:r w:rsidRPr="00F64070">
              <w:rPr>
                <w:rFonts w:ascii="Times New Roman" w:hAnsi="Times New Roman" w:cs="Times New Roman"/>
                <w:sz w:val="24"/>
              </w:rPr>
              <w:lastRenderedPageBreak/>
              <w:t>geven instellingen duidelijk aan of de geaggregeerde kwantitatieve informatie over de beloning uitgesplitst naar bedrijfsonderdeel het bonusplafond weerspiegelt wanneer het gaat om nieuwe betalingen bij indiensttreding en ontslag.</w:t>
            </w:r>
          </w:p>
        </w:tc>
      </w:tr>
      <w:tr w:rsidR="00965CEB" w:rsidRPr="00F64070" w14:paraId="648B4407"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65548CCE" w14:textId="77777777" w:rsidR="00965CEB" w:rsidRPr="00F64070" w:rsidRDefault="00965CEB" w:rsidP="004F3087">
            <w:pPr>
              <w:pStyle w:val="Applicationdirecte"/>
              <w:spacing w:before="0" w:after="0"/>
              <w:jc w:val="center"/>
            </w:pPr>
            <w:r w:rsidRPr="00F64070">
              <w:lastRenderedPageBreak/>
              <w:t>11</w:t>
            </w:r>
          </w:p>
        </w:tc>
        <w:tc>
          <w:tcPr>
            <w:tcW w:w="7604"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Waarvan tijdens het boekjaar toegekende betalingen bij ontslag – Hoogste betaling die aan één persoon is toegekend</w:t>
            </w:r>
          </w:p>
          <w:p w14:paraId="69C2783A"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hoogste betaling bij ontslag, als bedoeld in artikel 94, lid 1, punt h), van Richtlijn 2013/36/EU die tijdens het boekjaar aan één persoon is toegekend.</w:t>
            </w:r>
          </w:p>
        </w:tc>
      </w:tr>
      <w:tr w:rsidR="00965CEB" w:rsidRPr="00F64070" w14:paraId="63F86BC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F64070" w:rsidRDefault="00965CEB" w:rsidP="004F3087">
            <w:pPr>
              <w:pStyle w:val="TableMainHeading"/>
              <w:spacing w:before="60"/>
              <w:jc w:val="center"/>
              <w:rPr>
                <w:rFonts w:ascii="Times New Roman" w:hAnsi="Times New Roman"/>
                <w:b/>
                <w:sz w:val="24"/>
                <w:szCs w:val="24"/>
              </w:rPr>
            </w:pPr>
            <w:r w:rsidRPr="00F64070">
              <w:rPr>
                <w:rFonts w:ascii="Times New Roman" w:hAnsi="Times New Roman"/>
                <w:b/>
                <w:sz w:val="24"/>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F64070" w:rsidRDefault="00965CEB" w:rsidP="004F3087">
            <w:pPr>
              <w:pStyle w:val="TableMainHeading"/>
              <w:spacing w:before="60"/>
              <w:jc w:val="both"/>
              <w:rPr>
                <w:rFonts w:ascii="Times New Roman" w:hAnsi="Times New Roman"/>
                <w:b/>
                <w:sz w:val="24"/>
                <w:szCs w:val="24"/>
              </w:rPr>
            </w:pPr>
            <w:r w:rsidRPr="00F64070">
              <w:rPr>
                <w:rFonts w:ascii="Times New Roman" w:hAnsi="Times New Roman"/>
                <w:b/>
                <w:sz w:val="24"/>
              </w:rPr>
              <w:t>Toelichting</w:t>
            </w:r>
          </w:p>
        </w:tc>
      </w:tr>
      <w:tr w:rsidR="00965CEB" w:rsidRPr="00F64070" w14:paraId="6E4921EF"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F64070" w:rsidRDefault="00965CEB" w:rsidP="004F3087">
            <w:pPr>
              <w:pStyle w:val="Applicationdirecte"/>
              <w:spacing w:before="0" w:after="0"/>
              <w:jc w:val="center"/>
            </w:pPr>
            <w:r w:rsidRPr="00F64070">
              <w:t>a</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Leidinggevend orgaan in zijn toezichthoudende functie</w:t>
            </w:r>
          </w:p>
          <w:p w14:paraId="3734590D" w14:textId="77777777" w:rsidR="00965CEB" w:rsidRPr="00F64070" w:rsidRDefault="00965CEB" w:rsidP="004F3087">
            <w:pPr>
              <w:spacing w:after="120"/>
              <w:jc w:val="both"/>
              <w:rPr>
                <w:rFonts w:ascii="Times New Roman" w:hAnsi="Times New Roman" w:cs="Times New Roman"/>
                <w:color w:val="000000"/>
                <w:sz w:val="24"/>
              </w:rPr>
            </w:pPr>
            <w:r w:rsidRPr="00F64070">
              <w:rPr>
                <w:rFonts w:ascii="Times New Roman" w:hAnsi="Times New Roman" w:cs="Times New Roman"/>
                <w:sz w:val="24"/>
              </w:rPr>
              <w:t>Het leidinggevend orgaan in zijn toezichthoudende functie, d.w.z. het leidinggevend orgaan handelend in zijn functie van het toezien op en controleren van de bestuurlijke besluitvorming in de zin van artikel 3, lid 1, punt 8, van Richtlijn 2013/36/EU (personeelsbezetting).</w:t>
            </w:r>
          </w:p>
        </w:tc>
      </w:tr>
      <w:tr w:rsidR="00965CEB" w:rsidRPr="00F64070" w14:paraId="1FF44426"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F64070" w:rsidRDefault="00965CEB" w:rsidP="004F3087">
            <w:pPr>
              <w:pStyle w:val="Applicationdirecte"/>
              <w:spacing w:before="0" w:after="0"/>
              <w:jc w:val="center"/>
            </w:pPr>
            <w:r w:rsidRPr="00F64070">
              <w:t>b</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Leidinggevend orgaan in zijn leidinggevende functie</w:t>
            </w:r>
          </w:p>
          <w:p w14:paraId="1A03D44D" w14:textId="77777777" w:rsidR="00965CEB" w:rsidRPr="00F64070" w:rsidRDefault="00965CEB" w:rsidP="004F3087">
            <w:pPr>
              <w:spacing w:after="120"/>
              <w:jc w:val="both"/>
              <w:rPr>
                <w:rFonts w:ascii="Times New Roman" w:hAnsi="Times New Roman" w:cs="Times New Roman"/>
                <w:color w:val="000000"/>
                <w:sz w:val="24"/>
              </w:rPr>
            </w:pPr>
            <w:r w:rsidRPr="00F64070">
              <w:rPr>
                <w:rFonts w:ascii="Times New Roman" w:hAnsi="Times New Roman" w:cs="Times New Roman"/>
                <w:sz w:val="24"/>
              </w:rPr>
              <w:t>De leden van het leidinggevend orgaan, die verantwoordelijk zijn voor zijn leidinggevende functies (personeelsbezetting).</w:t>
            </w:r>
          </w:p>
        </w:tc>
      </w:tr>
      <w:tr w:rsidR="00965CEB" w:rsidRPr="00F64070" w14:paraId="1E5ED2FF"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F64070" w:rsidRDefault="00965CEB" w:rsidP="004F3087">
            <w:pPr>
              <w:pStyle w:val="Applicationdirecte"/>
              <w:spacing w:before="0" w:after="0"/>
              <w:jc w:val="center"/>
            </w:pPr>
            <w:r w:rsidRPr="00F64070">
              <w:t>c</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Andere directieleden</w:t>
            </w:r>
          </w:p>
          <w:p w14:paraId="1598A239"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Directie in de zin van artikel 3, lid 1, punt 9, van Richtlijn 2013/36/EU.</w:t>
            </w:r>
          </w:p>
          <w:p w14:paraId="1B942BBE"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maken het aantal directieleden openbaar dat niet openbaar is gemaakt onder “leidinggevend orgaan in zijn leidinggevende functie” en onder “andere aangewezen personeelsleden” (VTE).</w:t>
            </w:r>
          </w:p>
        </w:tc>
      </w:tr>
      <w:tr w:rsidR="00965CEB" w:rsidRPr="00F64070" w14:paraId="31827D27"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F64070" w:rsidRDefault="00965CEB" w:rsidP="004F3087">
            <w:pPr>
              <w:pStyle w:val="Applicationdirecte"/>
              <w:spacing w:before="0" w:after="0"/>
              <w:jc w:val="center"/>
            </w:pPr>
            <w:r w:rsidRPr="00F64070">
              <w:t>d</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Andere aangewezen personeelsleden</w:t>
            </w:r>
          </w:p>
          <w:p w14:paraId="01528962"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van Richtlijn 2013/36/EU betreffende aangewezen personeelsleden heeft vastgesteld en daarnaast, in voorkomend geval, op basis van criteria van instellingen.</w:t>
            </w:r>
          </w:p>
          <w:p w14:paraId="566D1319" w14:textId="77777777" w:rsidR="00965CEB" w:rsidRPr="00F64070" w:rsidRDefault="00965CEB" w:rsidP="004F3087">
            <w:pPr>
              <w:spacing w:after="120"/>
              <w:jc w:val="both"/>
              <w:rPr>
                <w:rFonts w:ascii="Times New Roman" w:hAnsi="Times New Roman" w:cs="Times New Roman"/>
                <w:color w:val="000000"/>
                <w:sz w:val="24"/>
              </w:rPr>
            </w:pPr>
            <w:r w:rsidRPr="00F64070">
              <w:rPr>
                <w:rFonts w:ascii="Times New Roman" w:hAnsi="Times New Roman" w:cs="Times New Roman"/>
                <w:sz w:val="24"/>
              </w:rPr>
              <w:t>Instellingen kunnen in deze template de uitsplitsing naar bedrijfsonderdeel opnemen die in template EU REM5 (VTE) wordt voorgesteld.</w:t>
            </w:r>
          </w:p>
        </w:tc>
      </w:tr>
    </w:tbl>
    <w:p w14:paraId="760802A7" w14:textId="77777777" w:rsidR="00965CEB" w:rsidRPr="00F64070" w:rsidRDefault="00965CEB" w:rsidP="00965CEB">
      <w:pPr>
        <w:rPr>
          <w:rFonts w:ascii="Times New Roman" w:eastAsia="Times New Roman" w:hAnsi="Times New Roman" w:cs="Times New Roman"/>
          <w:sz w:val="24"/>
          <w:highlight w:val="yellow"/>
        </w:rPr>
      </w:pPr>
    </w:p>
    <w:p w14:paraId="2C5AB76E" w14:textId="77777777" w:rsidR="00965CEB" w:rsidRPr="00F64070" w:rsidRDefault="00965CEB" w:rsidP="00965CEB">
      <w:pPr>
        <w:pStyle w:val="Titlelevel2"/>
        <w:spacing w:before="120" w:after="120"/>
        <w:rPr>
          <w:rFonts w:ascii="Times New Roman" w:hAnsi="Times New Roman" w:cs="Times New Roman"/>
          <w:b/>
          <w:color w:val="auto"/>
          <w:sz w:val="24"/>
        </w:rPr>
      </w:pPr>
      <w:r w:rsidRPr="00F64070">
        <w:rPr>
          <w:rFonts w:ascii="Times New Roman" w:hAnsi="Times New Roman" w:cs="Times New Roman"/>
          <w:b/>
          <w:color w:val="auto"/>
          <w:sz w:val="24"/>
        </w:rPr>
        <w:t xml:space="preserve">Template EU REM3 - Uitgestelde beloning </w:t>
      </w:r>
      <w:r w:rsidRPr="00F64070">
        <w:rPr>
          <w:rFonts w:ascii="Times New Roman" w:hAnsi="Times New Roman" w:cs="Times New Roman"/>
          <w:color w:val="auto"/>
          <w:sz w:val="24"/>
        </w:rPr>
        <w:t>Vaste opmaak</w:t>
      </w:r>
    </w:p>
    <w:p w14:paraId="2F3BCD0E"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maken de in artikel 450, lid 1, punt h), iii) en iv), van Verordening (EU) nr. 575/2013 bedoelde informatie openbaar volgens de onderstaande instructies in deze bijlage voor het invullen van de openbaarmakingstemplate EU REM3, die in bijlage XXXIII bij deze uitvoeringsverordening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lastRenderedPageBreak/>
              <w:t>Verwijzingen naar wetgeving en instructies</w:t>
            </w:r>
          </w:p>
        </w:tc>
      </w:tr>
      <w:tr w:rsidR="00965CEB" w:rsidRPr="00F64070" w14:paraId="596FBD77" w14:textId="77777777" w:rsidTr="00AA1635">
        <w:trPr>
          <w:trHeight w:val="238"/>
        </w:trPr>
        <w:tc>
          <w:tcPr>
            <w:tcW w:w="1435" w:type="dxa"/>
            <w:shd w:val="clear" w:color="auto" w:fill="D9D9D9" w:themeFill="background1" w:themeFillShade="D9"/>
          </w:tcPr>
          <w:p w14:paraId="0D87CD78"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2DE2309D"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600F239C"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EC4748B" w14:textId="77777777" w:rsidR="00965CEB" w:rsidRPr="00F64070" w:rsidRDefault="00965CEB" w:rsidP="004F3087">
            <w:pPr>
              <w:pStyle w:val="Applicationdirecte"/>
              <w:spacing w:before="0" w:after="0"/>
              <w:jc w:val="center"/>
            </w:pPr>
            <w:r w:rsidRPr="00F64070">
              <w:t>1</w:t>
            </w:r>
          </w:p>
        </w:tc>
        <w:tc>
          <w:tcPr>
            <w:tcW w:w="7604"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Leidinggevend orgaan in zijn toezichthoudende functie</w:t>
            </w:r>
          </w:p>
          <w:p w14:paraId="42F62B75"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leidinggevend orgaan in zijn toezichthoudende functie, d.w.z. het leidinggevend orgaan handelend in zijn functie van het toezien op en controleren van de bestuurlijke besluitvorming in de zin van artikel 3, lid 1, punt 8, van Richtlijn 2013/36/EU.</w:t>
            </w:r>
          </w:p>
          <w:p w14:paraId="78EE1100"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Som van de bedragen in de rijen 2, 3, 4, 5 en 6 van deze template.</w:t>
            </w:r>
          </w:p>
        </w:tc>
      </w:tr>
      <w:tr w:rsidR="00965CEB" w:rsidRPr="00F64070" w14:paraId="7B48C31E"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3FD60631" w14:textId="77777777" w:rsidR="00965CEB" w:rsidRPr="00F64070" w:rsidRDefault="00965CEB" w:rsidP="004F3087">
            <w:pPr>
              <w:pStyle w:val="Applicationdirecte"/>
              <w:spacing w:before="0" w:after="0"/>
              <w:jc w:val="center"/>
            </w:pPr>
            <w:r w:rsidRPr="00F64070">
              <w:t>2, 8, 14 en 20</w:t>
            </w:r>
          </w:p>
        </w:tc>
        <w:tc>
          <w:tcPr>
            <w:tcW w:w="7604"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Geldelijk</w:t>
            </w:r>
          </w:p>
          <w:p w14:paraId="0BC40D8E"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geldelijke beloning binnen de variabele beloning.</w:t>
            </w:r>
          </w:p>
        </w:tc>
      </w:tr>
      <w:tr w:rsidR="00965CEB" w:rsidRPr="00F64070" w14:paraId="33B142D2"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3172617E" w14:textId="77777777" w:rsidR="00965CEB" w:rsidRPr="00F64070" w:rsidRDefault="00965CEB" w:rsidP="004F3087">
            <w:pPr>
              <w:pStyle w:val="Applicationdirecte"/>
              <w:spacing w:before="0" w:after="0"/>
              <w:jc w:val="center"/>
            </w:pPr>
            <w:r w:rsidRPr="00F64070">
              <w:t>3, 9, 15 en 21</w:t>
            </w:r>
          </w:p>
        </w:tc>
        <w:tc>
          <w:tcPr>
            <w:tcW w:w="7604"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F64070" w:rsidRDefault="00965CEB" w:rsidP="004F3087">
            <w:pPr>
              <w:autoSpaceDE w:val="0"/>
              <w:autoSpaceDN w:val="0"/>
              <w:adjustRightInd w:val="0"/>
              <w:spacing w:after="120"/>
              <w:rPr>
                <w:rFonts w:ascii="Times New Roman" w:hAnsi="Times New Roman" w:cs="Times New Roman"/>
                <w:b/>
                <w:sz w:val="24"/>
              </w:rPr>
            </w:pPr>
            <w:r w:rsidRPr="00F64070">
              <w:rPr>
                <w:rFonts w:ascii="Times New Roman" w:hAnsi="Times New Roman" w:cs="Times New Roman"/>
                <w:b/>
                <w:sz w:val="24"/>
              </w:rPr>
              <w:t xml:space="preserve">Aandelen of equivalente eigendomsbelangen </w:t>
            </w:r>
          </w:p>
          <w:p w14:paraId="4B63188A"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sz w:val="24"/>
              </w:rPr>
              <w:t>De som van de bedragen van de in artikel 94, lid 1, punt l), i), van Richtlijn 2013/36/EU bedoelde aandelen of, afhankelijk van de juridische structuur van de betrokken instelling, equivalente eigendomsbelangen binnen de variabele beloning.</w:t>
            </w:r>
          </w:p>
        </w:tc>
      </w:tr>
      <w:tr w:rsidR="00965CEB" w:rsidRPr="00F64070" w14:paraId="7446B000"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325D4037" w14:textId="77777777" w:rsidR="00965CEB" w:rsidRPr="00F64070" w:rsidRDefault="00965CEB" w:rsidP="004F3087">
            <w:pPr>
              <w:pStyle w:val="Applicationdirecte"/>
              <w:spacing w:before="0" w:after="0"/>
              <w:jc w:val="center"/>
            </w:pPr>
            <w:r w:rsidRPr="00F64070">
              <w:t>4, 10, 16 en 22</w:t>
            </w:r>
          </w:p>
        </w:tc>
        <w:tc>
          <w:tcPr>
            <w:tcW w:w="7604"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F64070" w:rsidRDefault="00965CEB" w:rsidP="004F3087">
            <w:pPr>
              <w:autoSpaceDE w:val="0"/>
              <w:autoSpaceDN w:val="0"/>
              <w:adjustRightInd w:val="0"/>
              <w:spacing w:after="120"/>
              <w:rPr>
                <w:rFonts w:ascii="Times New Roman" w:hAnsi="Times New Roman" w:cs="Times New Roman"/>
                <w:b/>
                <w:sz w:val="24"/>
              </w:rPr>
            </w:pPr>
            <w:r w:rsidRPr="00F64070">
              <w:rPr>
                <w:rFonts w:ascii="Times New Roman" w:hAnsi="Times New Roman" w:cs="Times New Roman"/>
                <w:b/>
                <w:sz w:val="24"/>
              </w:rPr>
              <w:t xml:space="preserve">Op aandelen gebaseerde instrumenten of equivalente niet-liquide instrumenten </w:t>
            </w:r>
          </w:p>
          <w:p w14:paraId="362CEB2B"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de bedragen van de in artikel 94, lid 1, punt l), i), van Richtlijn 2013/36/EU bedoelde op aandelen gebaseerde instrumenten of, afhankelijk van de juridische structuur van de betrokken instelling, equivalente niet-liquide instrumenten binnen de variabele beloning.</w:t>
            </w:r>
          </w:p>
        </w:tc>
      </w:tr>
      <w:tr w:rsidR="00965CEB" w:rsidRPr="00F64070" w14:paraId="00D93458"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56DAF8F8" w14:textId="77777777" w:rsidR="00965CEB" w:rsidRPr="00F64070" w:rsidRDefault="00965CEB" w:rsidP="004F3087">
            <w:pPr>
              <w:pStyle w:val="Applicationdirecte"/>
              <w:spacing w:before="0" w:after="0"/>
              <w:jc w:val="center"/>
            </w:pPr>
            <w:r w:rsidRPr="00F64070">
              <w:t>5, 11, 17 en 23</w:t>
            </w:r>
          </w:p>
        </w:tc>
        <w:tc>
          <w:tcPr>
            <w:tcW w:w="7604"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Andere instrumenten</w:t>
            </w:r>
          </w:p>
          <w:p w14:paraId="4C0BEEE9"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bedrag van de in artikel 94, lid 1, punt l), ii), van Richtlijn 2013/36/EU bedoelde andere instrumenten binnen de variabele beloning.</w:t>
            </w:r>
          </w:p>
        </w:tc>
      </w:tr>
      <w:tr w:rsidR="00965CEB" w:rsidRPr="00F64070" w14:paraId="582939B0"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7B9C353" w14:textId="77777777" w:rsidR="00965CEB" w:rsidRPr="00F64070" w:rsidRDefault="00965CEB" w:rsidP="004F3087">
            <w:pPr>
              <w:pStyle w:val="Applicationdirecte"/>
              <w:spacing w:before="0" w:after="0"/>
              <w:jc w:val="center"/>
            </w:pPr>
            <w:r w:rsidRPr="00F64070">
              <w:t>6, 12, 18 en 24</w:t>
            </w:r>
          </w:p>
        </w:tc>
        <w:tc>
          <w:tcPr>
            <w:tcW w:w="7604"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F64070" w:rsidRDefault="00965CEB" w:rsidP="004F3087">
            <w:pPr>
              <w:autoSpaceDE w:val="0"/>
              <w:autoSpaceDN w:val="0"/>
              <w:adjustRightInd w:val="0"/>
              <w:spacing w:after="120"/>
              <w:rPr>
                <w:rFonts w:ascii="Times New Roman" w:hAnsi="Times New Roman" w:cs="Times New Roman"/>
                <w:b/>
                <w:sz w:val="24"/>
              </w:rPr>
            </w:pPr>
            <w:r w:rsidRPr="00F64070">
              <w:rPr>
                <w:rFonts w:ascii="Times New Roman" w:hAnsi="Times New Roman" w:cs="Times New Roman"/>
                <w:b/>
                <w:sz w:val="24"/>
              </w:rPr>
              <w:t>Andere vormen</w:t>
            </w:r>
          </w:p>
          <w:p w14:paraId="05DE9AE7"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De bedragen van variabele beloning die niet in de rijen “Geldelijk”, “Aandelen of equivalente eigendomsbelangen”, afhankelijk van de juridische structuur van de betrokken instelling, of “Op aandelen gebaseerde instrumenten of equivalente niet-liquide instrumenten” en “Andere instrumenten” openbaar zijn gemaakt.</w:t>
            </w:r>
          </w:p>
          <w:p w14:paraId="47E931D3"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Het kan onder meer gaan om in overweging 64 van Richtlijn 2013/36/EU bedoelde evenredige reguliere pensioenbijdragen of voordelen (waarbij voor die voordelen geen prestatiecriteria in aanmerking worden genomen), of om andere vormen van beloning zoals kilometervergoeding.</w:t>
            </w:r>
          </w:p>
        </w:tc>
      </w:tr>
      <w:tr w:rsidR="00965CEB" w:rsidRPr="00F64070" w14:paraId="1E2113D9"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409708C7" w14:textId="77777777" w:rsidR="00965CEB" w:rsidRPr="00F64070" w:rsidRDefault="00965CEB" w:rsidP="004F3087">
            <w:pPr>
              <w:pStyle w:val="Applicationdirecte"/>
              <w:spacing w:before="0" w:after="0"/>
              <w:jc w:val="center"/>
            </w:pPr>
            <w:r w:rsidRPr="00F64070">
              <w:t>7</w:t>
            </w:r>
          </w:p>
        </w:tc>
        <w:tc>
          <w:tcPr>
            <w:tcW w:w="7604"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 xml:space="preserve">Leidinggevend orgaan in zijn leidinggevende functie </w:t>
            </w:r>
          </w:p>
          <w:p w14:paraId="7D897A2D"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leden van het leidinggevend orgaan, die verantwoordelijk zijn voor zijn leidinggevende functies; som van de bedragen in de rijen 8, 9, 10, 11 en 12 van deze template.</w:t>
            </w:r>
          </w:p>
        </w:tc>
      </w:tr>
      <w:tr w:rsidR="00965CEB" w:rsidRPr="00F64070" w14:paraId="6BB9DE71"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76033D47" w14:textId="77777777" w:rsidR="00965CEB" w:rsidRPr="00F64070" w:rsidRDefault="00965CEB" w:rsidP="004F3087">
            <w:pPr>
              <w:pStyle w:val="Applicationdirecte"/>
              <w:spacing w:before="0" w:after="0"/>
              <w:jc w:val="center"/>
            </w:pPr>
            <w:r w:rsidRPr="00F64070">
              <w:t>13</w:t>
            </w:r>
          </w:p>
        </w:tc>
        <w:tc>
          <w:tcPr>
            <w:tcW w:w="7604"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Andere directieleden</w:t>
            </w:r>
          </w:p>
          <w:p w14:paraId="015BE952"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Directie in de zin van artikel 3, lid 1, punt 9, van Richtlijn 2013/36/EU; som van de bedragen in de rijen 14, 15, 16, 17 en 18 van deze template.</w:t>
            </w:r>
          </w:p>
          <w:p w14:paraId="3E12A111"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lastRenderedPageBreak/>
              <w:t>Instellingen maken het aantal directieleden openbaar dat niet openbaar is gemaakt onder “leidinggevend orgaan in zijn leidinggevende functie” en onder “andere aangewezen personeelsleden”.</w:t>
            </w:r>
          </w:p>
        </w:tc>
      </w:tr>
      <w:tr w:rsidR="00965CEB" w:rsidRPr="00F64070" w14:paraId="60C2B242"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5497957A" w14:textId="77777777" w:rsidR="00965CEB" w:rsidRPr="00F64070" w:rsidRDefault="00965CEB" w:rsidP="004F3087">
            <w:pPr>
              <w:pStyle w:val="Applicationdirecte"/>
              <w:spacing w:before="0" w:after="0"/>
              <w:jc w:val="center"/>
            </w:pPr>
            <w:r w:rsidRPr="00F64070">
              <w:lastRenderedPageBreak/>
              <w:t>19</w:t>
            </w:r>
          </w:p>
        </w:tc>
        <w:tc>
          <w:tcPr>
            <w:tcW w:w="7604"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Andere aangewezen personeelsleden</w:t>
            </w:r>
          </w:p>
          <w:p w14:paraId="1561B753"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Andere personeelsleden dan het leidinggevend orgaan in zijn toezichthoudende functie of in zijn leidinggevende functie, en andere personeelsleden dan directieleden, wier beroepswerkzaamheden het risicoprofiel van de instelling wezenlijk beïnvloeden overeenkomstig de criteria van de gedelegeerde verordening die de Commissie in uitvoering van artikel 94, lid 2, van Richtlijn 2013/36/EU betreffende aangewezen personeelsleden heeft vastgesteld en daarnaast, in voorkomend geval, op basis van criteria van instellingen; som van de bedragen in de rijen 20, 21, 22, 23 en 24 van deze template.</w:t>
            </w:r>
          </w:p>
        </w:tc>
      </w:tr>
      <w:tr w:rsidR="00965CEB" w:rsidRPr="00F64070" w14:paraId="724701D0"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tcPr>
          <w:p w14:paraId="283D7647" w14:textId="77777777" w:rsidR="00965CEB" w:rsidRPr="00F64070" w:rsidRDefault="00965CEB" w:rsidP="004F3087">
            <w:pPr>
              <w:pStyle w:val="Applicationdirecte"/>
              <w:spacing w:before="0" w:after="0"/>
              <w:jc w:val="center"/>
            </w:pPr>
            <w:r w:rsidRPr="00F64070">
              <w:t>25</w:t>
            </w:r>
          </w:p>
        </w:tc>
        <w:tc>
          <w:tcPr>
            <w:tcW w:w="7604"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F64070" w:rsidRDefault="00965CEB" w:rsidP="004F3087">
            <w:pPr>
              <w:spacing w:before="60" w:after="120"/>
              <w:jc w:val="both"/>
              <w:rPr>
                <w:rFonts w:ascii="Times New Roman" w:hAnsi="Times New Roman" w:cs="Times New Roman"/>
                <w:b/>
                <w:sz w:val="24"/>
              </w:rPr>
            </w:pPr>
            <w:r w:rsidRPr="00F64070">
              <w:rPr>
                <w:rFonts w:ascii="Times New Roman" w:hAnsi="Times New Roman" w:cs="Times New Roman"/>
                <w:b/>
                <w:sz w:val="24"/>
              </w:rPr>
              <w:t>Totaal bedrag</w:t>
            </w:r>
          </w:p>
          <w:p w14:paraId="70B531DE" w14:textId="77777777" w:rsidR="00965CEB" w:rsidRPr="00F64070" w:rsidRDefault="00965CEB" w:rsidP="004F3087">
            <w:pPr>
              <w:spacing w:before="60" w:after="120"/>
              <w:jc w:val="both"/>
              <w:rPr>
                <w:rFonts w:ascii="Times New Roman" w:hAnsi="Times New Roman" w:cs="Times New Roman"/>
                <w:sz w:val="24"/>
              </w:rPr>
            </w:pPr>
            <w:r w:rsidRPr="00F64070">
              <w:rPr>
                <w:rFonts w:ascii="Times New Roman" w:hAnsi="Times New Roman" w:cs="Times New Roman"/>
                <w:sz w:val="24"/>
              </w:rPr>
              <w:t>Som van de bedragen in de rijen 1, 7, 13 en 19 van deze template.</w:t>
            </w:r>
          </w:p>
        </w:tc>
      </w:tr>
      <w:tr w:rsidR="00965CEB" w:rsidRPr="00F64070" w14:paraId="32AF233A"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F64070" w:rsidRDefault="00965CEB" w:rsidP="004F3087">
            <w:pPr>
              <w:pStyle w:val="TableMainHeading"/>
              <w:spacing w:before="60"/>
              <w:jc w:val="center"/>
              <w:rPr>
                <w:rFonts w:ascii="Times New Roman" w:hAnsi="Times New Roman"/>
                <w:b/>
                <w:sz w:val="24"/>
                <w:szCs w:val="24"/>
              </w:rPr>
            </w:pPr>
            <w:r w:rsidRPr="00F64070">
              <w:rPr>
                <w:rFonts w:ascii="Times New Roman" w:hAnsi="Times New Roman"/>
                <w:b/>
                <w:sz w:val="24"/>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F64070" w:rsidRDefault="00965CEB" w:rsidP="004F3087">
            <w:pPr>
              <w:pStyle w:val="TableMainHeading"/>
              <w:spacing w:before="60"/>
              <w:rPr>
                <w:rFonts w:ascii="Times New Roman" w:hAnsi="Times New Roman"/>
                <w:b/>
                <w:sz w:val="24"/>
                <w:szCs w:val="24"/>
              </w:rPr>
            </w:pPr>
            <w:r w:rsidRPr="00F64070">
              <w:rPr>
                <w:rFonts w:ascii="Times New Roman" w:hAnsi="Times New Roman"/>
                <w:b/>
                <w:sz w:val="24"/>
              </w:rPr>
              <w:t>Toelichting</w:t>
            </w:r>
          </w:p>
        </w:tc>
      </w:tr>
      <w:tr w:rsidR="00965CEB" w:rsidRPr="00F64070" w14:paraId="03A75FCF"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F64070" w:rsidRDefault="00965CEB" w:rsidP="004F3087">
            <w:pPr>
              <w:pStyle w:val="Applicationdirecte"/>
              <w:spacing w:before="0" w:after="0"/>
              <w:jc w:val="center"/>
            </w:pPr>
            <w:r w:rsidRPr="00F64070">
              <w:t>a</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F64070" w:rsidRDefault="00965CEB" w:rsidP="004F3087">
            <w:pPr>
              <w:spacing w:after="120"/>
              <w:jc w:val="both"/>
              <w:rPr>
                <w:rFonts w:ascii="Times New Roman" w:hAnsi="Times New Roman" w:cs="Times New Roman"/>
                <w:b/>
                <w:color w:val="000000"/>
                <w:sz w:val="24"/>
              </w:rPr>
            </w:pPr>
            <w:r w:rsidRPr="00F64070">
              <w:rPr>
                <w:rFonts w:ascii="Times New Roman" w:hAnsi="Times New Roman" w:cs="Times New Roman"/>
                <w:b/>
                <w:sz w:val="24"/>
              </w:rPr>
              <w:t>Totaal bedrag van uitgestelde beloning toegekend voor voorgaande prestatieperioden</w:t>
            </w:r>
          </w:p>
          <w:p w14:paraId="7D355FC1"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Het bedrag van uitgestelde beloning, als bepaald overeenkomstig artikel 94 van Richtlijn 2013/36/EU, die voor voorgaande prestatieperioden is toegekend (som van de bedragen in de kolommen b en c van deze template).</w:t>
            </w:r>
          </w:p>
        </w:tc>
      </w:tr>
      <w:tr w:rsidR="00965CEB" w:rsidRPr="00F64070" w14:paraId="4861A172"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F64070" w:rsidRDefault="00965CEB" w:rsidP="004F3087">
            <w:pPr>
              <w:pStyle w:val="Applicationdirecte"/>
              <w:spacing w:before="0" w:after="0"/>
              <w:jc w:val="center"/>
            </w:pPr>
            <w:r w:rsidRPr="00F64070">
              <w:t>b</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Waarvan verworven in het boekjaar</w:t>
            </w:r>
          </w:p>
          <w:p w14:paraId="1877D636" w14:textId="77777777" w:rsidR="00965CEB" w:rsidRPr="00F64070" w:rsidRDefault="00965CEB" w:rsidP="004F3087">
            <w:pPr>
              <w:spacing w:after="120"/>
              <w:jc w:val="both"/>
              <w:rPr>
                <w:rFonts w:ascii="Times New Roman" w:hAnsi="Times New Roman" w:cs="Times New Roman"/>
                <w:color w:val="000000"/>
                <w:sz w:val="24"/>
              </w:rPr>
            </w:pPr>
            <w:r w:rsidRPr="00F64070">
              <w:rPr>
                <w:rFonts w:ascii="Times New Roman" w:hAnsi="Times New Roman" w:cs="Times New Roman"/>
                <w:sz w:val="24"/>
              </w:rPr>
              <w:t>Het bedrag van uitgestelde beloning die voor voorgaande prestatieperioden is toegekend, als bepaald overeenkomstig artikel 94 van Richtlijn 2013/36/EU, die in het boekjaar verworven is.</w:t>
            </w:r>
          </w:p>
        </w:tc>
      </w:tr>
      <w:tr w:rsidR="00965CEB" w:rsidRPr="00F64070" w14:paraId="4F4F4E4A"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F64070" w:rsidRDefault="00965CEB" w:rsidP="004F3087">
            <w:pPr>
              <w:pStyle w:val="Applicationdirecte"/>
              <w:spacing w:before="0" w:after="0"/>
              <w:jc w:val="center"/>
            </w:pPr>
            <w:r w:rsidRPr="00F64070">
              <w:t>c</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Waarvan verworven in volgende boekjaren</w:t>
            </w:r>
          </w:p>
          <w:p w14:paraId="41D97AF8" w14:textId="77777777" w:rsidR="00965CEB" w:rsidRPr="00F64070" w:rsidRDefault="00965CEB" w:rsidP="004F3087">
            <w:pPr>
              <w:spacing w:after="120"/>
              <w:jc w:val="both"/>
              <w:rPr>
                <w:rFonts w:ascii="Times New Roman" w:hAnsi="Times New Roman" w:cs="Times New Roman"/>
                <w:color w:val="000000"/>
                <w:sz w:val="24"/>
              </w:rPr>
            </w:pPr>
            <w:r w:rsidRPr="00F64070">
              <w:rPr>
                <w:rFonts w:ascii="Times New Roman" w:hAnsi="Times New Roman" w:cs="Times New Roman"/>
                <w:sz w:val="24"/>
              </w:rPr>
              <w:t>Het bedrag van uitgestelde beloning die voor voorgaande prestatieperioden is toegekend, als bepaald overeenkomstig artikel 94 van Richtlijn 2013/36/EU, die in de volgende boekjaren verworven zal zijn.</w:t>
            </w:r>
          </w:p>
        </w:tc>
      </w:tr>
      <w:tr w:rsidR="00965CEB" w:rsidRPr="00F64070" w14:paraId="44F6D02E"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F64070" w:rsidRDefault="00965CEB" w:rsidP="004F3087">
            <w:pPr>
              <w:pStyle w:val="Applicationdirecte"/>
              <w:spacing w:before="0" w:after="0"/>
              <w:jc w:val="center"/>
            </w:pPr>
            <w:r w:rsidRPr="00F64070">
              <w:t>d</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Bedrag van prestatiecorrectie die in het boekjaar is toegepast op uitgestelde beloning die in het boekjaar verworven was</w:t>
            </w:r>
          </w:p>
          <w:p w14:paraId="1571AC97"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Het bedrag van de prestatiecorrectie op uitgestelde beloning, als bepaald overeenkomstig artikel 94 van Richtlijn 2013/36/EU, die in het boekjaar verworven was.</w:t>
            </w:r>
          </w:p>
        </w:tc>
      </w:tr>
      <w:tr w:rsidR="00965CEB" w:rsidRPr="00F64070" w14:paraId="5B84E881"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F64070" w:rsidRDefault="00965CEB" w:rsidP="004F3087">
            <w:pPr>
              <w:pStyle w:val="Applicationdirecte"/>
              <w:spacing w:before="0" w:after="0"/>
              <w:jc w:val="center"/>
            </w:pPr>
            <w:r w:rsidRPr="00F64070">
              <w:t>e</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Bedrag van prestatiecorrectie die in het boekjaar is toegepast op uitgestelde beloning die in toekomstige boekjaren verworven zou zijn</w:t>
            </w:r>
          </w:p>
          <w:p w14:paraId="2D3814DB"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Het bedrag van de prestatiecorrectie op uitgestelde beloning, als bepaald overeenkomstig artikel 94 van Richtlijn 2013/36/EU, die in toekomstige boekjaren verworven zou zijn.</w:t>
            </w:r>
          </w:p>
        </w:tc>
      </w:tr>
      <w:tr w:rsidR="00965CEB" w:rsidRPr="00F64070" w14:paraId="22206507"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F64070" w:rsidRDefault="00965CEB" w:rsidP="004F3087">
            <w:pPr>
              <w:pStyle w:val="Applicationdirecte"/>
              <w:spacing w:before="0" w:after="0"/>
              <w:jc w:val="center"/>
            </w:pPr>
            <w:r w:rsidRPr="00F64070">
              <w:t>f</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F64070" w:rsidRDefault="00965CEB" w:rsidP="004F3087">
            <w:pPr>
              <w:spacing w:after="120"/>
              <w:jc w:val="both"/>
              <w:rPr>
                <w:rFonts w:ascii="Times New Roman" w:hAnsi="Times New Roman" w:cs="Times New Roman"/>
                <w:b/>
                <w:sz w:val="24"/>
              </w:rPr>
            </w:pPr>
            <w:proofErr w:type="gramStart"/>
            <w:r w:rsidRPr="00F64070">
              <w:rPr>
                <w:rFonts w:ascii="Times New Roman" w:hAnsi="Times New Roman" w:cs="Times New Roman"/>
                <w:b/>
                <w:sz w:val="24"/>
              </w:rPr>
              <w:t>Totaal bedrag</w:t>
            </w:r>
            <w:proofErr w:type="gramEnd"/>
            <w:r w:rsidRPr="00F64070">
              <w:rPr>
                <w:rFonts w:ascii="Times New Roman" w:hAnsi="Times New Roman" w:cs="Times New Roman"/>
                <w:b/>
                <w:sz w:val="24"/>
              </w:rPr>
              <w:t xml:space="preserve"> van correctie tijdens het boekjaar als gevolg van impliciete correcties achteraf tijdens het boekjaar (d.w.z. veranderingen in de </w:t>
            </w:r>
            <w:r w:rsidRPr="00F64070">
              <w:rPr>
                <w:rFonts w:ascii="Times New Roman" w:hAnsi="Times New Roman" w:cs="Times New Roman"/>
                <w:b/>
                <w:sz w:val="24"/>
              </w:rPr>
              <w:lastRenderedPageBreak/>
              <w:t>waarde van uitgestelde beloning als gevolg van koerswijzigingen van instrumenten)</w:t>
            </w:r>
          </w:p>
          <w:p w14:paraId="6472C5F0"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 xml:space="preserve">Indien van toepassing, het bedrag van de verandering in de waarde tijdens het boekjaar als gevolg van impliciete correcties achteraf, zoals veranderingen in de waarde van uitgestelde beloning als gevolg van koerswijzigingen van instrumenten, geraamd naar beste vermogen. </w:t>
            </w:r>
          </w:p>
        </w:tc>
      </w:tr>
      <w:tr w:rsidR="00965CEB" w:rsidRPr="00F64070" w14:paraId="75104DD1"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F64070" w:rsidRDefault="00965CEB" w:rsidP="004F3087">
            <w:pPr>
              <w:pStyle w:val="Applicationdirecte"/>
              <w:spacing w:before="0" w:after="0"/>
              <w:jc w:val="center"/>
            </w:pPr>
            <w:r w:rsidRPr="00F64070">
              <w:lastRenderedPageBreak/>
              <w:t>EU - g</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Totaal bedrag van uitgestelde beloning toegekend vóór het boekjaar die daadwerkelijk in het boekjaar is uitbetaald</w:t>
            </w:r>
          </w:p>
          <w:p w14:paraId="711625D8"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Het bedrag van uitgestelde beloning, als bepaald overeenkomstig artikel 94 van Richtlijn 2013/36/EU, die in het boekjaar is uitbetaald.</w:t>
            </w:r>
          </w:p>
          <w:p w14:paraId="79B6CE2B"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Zodra de uitgestelde beloning verworven is, wordt deze als uitbetaald beschouwd.</w:t>
            </w:r>
          </w:p>
        </w:tc>
      </w:tr>
      <w:tr w:rsidR="00965CEB" w:rsidRPr="00F64070" w14:paraId="6F3ADEB8"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F64070" w:rsidRDefault="00965CEB" w:rsidP="004F3087">
            <w:pPr>
              <w:pStyle w:val="Applicationdirecte"/>
              <w:spacing w:before="0" w:after="0"/>
              <w:jc w:val="center"/>
            </w:pPr>
            <w:r w:rsidRPr="00F64070">
              <w:t>EU - h</w:t>
            </w:r>
          </w:p>
        </w:tc>
        <w:tc>
          <w:tcPr>
            <w:tcW w:w="7604"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F64070" w:rsidRDefault="00965CEB" w:rsidP="004F3087">
            <w:pPr>
              <w:spacing w:after="120"/>
              <w:jc w:val="both"/>
              <w:rPr>
                <w:rFonts w:ascii="Times New Roman" w:hAnsi="Times New Roman" w:cs="Times New Roman"/>
                <w:b/>
                <w:sz w:val="24"/>
              </w:rPr>
            </w:pPr>
            <w:r w:rsidRPr="00F64070">
              <w:rPr>
                <w:rFonts w:ascii="Times New Roman" w:hAnsi="Times New Roman" w:cs="Times New Roman"/>
                <w:b/>
                <w:sz w:val="24"/>
              </w:rPr>
              <w:t>Totaal bedrag van uitgestelde beloning toegekend voor voorgaande prestatieperioden die verworven is maar onderworpen is aan retentieperioden</w:t>
            </w:r>
          </w:p>
          <w:p w14:paraId="64A6D4B4" w14:textId="77777777" w:rsidR="00965CEB" w:rsidRPr="00F64070" w:rsidRDefault="00965CEB" w:rsidP="004F3087">
            <w:pPr>
              <w:spacing w:after="120"/>
              <w:jc w:val="both"/>
              <w:rPr>
                <w:rFonts w:ascii="Times New Roman" w:hAnsi="Times New Roman" w:cs="Times New Roman"/>
                <w:sz w:val="24"/>
              </w:rPr>
            </w:pPr>
            <w:r w:rsidRPr="00F64070">
              <w:rPr>
                <w:rFonts w:ascii="Times New Roman" w:hAnsi="Times New Roman" w:cs="Times New Roman"/>
                <w:sz w:val="24"/>
              </w:rPr>
              <w:t>Het bedrag van uitgestelde beloning toegekend voor voorgaande prestatieperioden, die verworven is maar onderworpen is aan retentieperioden, als bepaald overeenkomstig artikel 94 van Richtlijn 2013/36/EU.</w:t>
            </w:r>
          </w:p>
        </w:tc>
      </w:tr>
    </w:tbl>
    <w:p w14:paraId="407F372C" w14:textId="77777777" w:rsidR="00965CEB" w:rsidRPr="00F64070" w:rsidRDefault="00965CEB" w:rsidP="00965CEB">
      <w:pPr>
        <w:rPr>
          <w:rFonts w:ascii="Times New Roman" w:hAnsi="Times New Roman" w:cs="Times New Roman"/>
          <w:sz w:val="24"/>
        </w:rPr>
      </w:pPr>
    </w:p>
    <w:p w14:paraId="6B747669" w14:textId="77777777" w:rsidR="00965CEB" w:rsidRPr="00F64070" w:rsidRDefault="00965CEB" w:rsidP="00965CEB">
      <w:pPr>
        <w:pStyle w:val="Titlelevel2"/>
        <w:spacing w:before="120" w:after="120"/>
        <w:rPr>
          <w:rFonts w:ascii="Times New Roman" w:hAnsi="Times New Roman" w:cs="Times New Roman"/>
          <w:color w:val="auto"/>
          <w:sz w:val="24"/>
        </w:rPr>
      </w:pPr>
      <w:r w:rsidRPr="00F64070">
        <w:rPr>
          <w:rFonts w:ascii="Times New Roman" w:hAnsi="Times New Roman" w:cs="Times New Roman"/>
          <w:b/>
          <w:color w:val="auto"/>
          <w:sz w:val="24"/>
        </w:rPr>
        <w:t xml:space="preserve">Template EU REM4 - Beloning van 1 miljoen EUR of meer per jaar </w:t>
      </w:r>
      <w:r w:rsidRPr="00F64070">
        <w:rPr>
          <w:rFonts w:ascii="Times New Roman" w:hAnsi="Times New Roman" w:cs="Times New Roman"/>
          <w:color w:val="auto"/>
          <w:sz w:val="24"/>
        </w:rPr>
        <w:t>Vaste opmaak</w:t>
      </w:r>
    </w:p>
    <w:p w14:paraId="6DEF9BC5"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maken de in artikel 450, lid 1, punt i), van Verordening (EU) nr. 575/2013 bedoelde informatie openbaar volgens de onderstaande instructies in deze bijlage voor het invullen van de openbaarmakingstemplate EU REM4, die in bijlage XXXIII bij deze uitvoeringsverordening is opgenomen.</w:t>
      </w:r>
    </w:p>
    <w:p w14:paraId="1C37B7B3"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De gegevens worden ingediend op basis van de cijfers aan het einde van het boekjaar in EUR. Alle bedragen worden openbaar gemaakt als volledige bedragen, d.w.z. niet-afgeronde bedragen, in euro's (bv. 1 234 567 EUR in plaats van 1,2 miljoen EUR). Wanneer de beloning in een andere valuta dan de euro luidt, worden de openbaar te maken geconsolideerde cijfers omgerekend aan de hand van de wisselkoers die de Commissie voor de financiële programmering en de begroting voor december van het verslagjaar heeft gebruikt.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t>Verwijzingen naar wetgeving en instructies</w:t>
            </w:r>
          </w:p>
        </w:tc>
      </w:tr>
      <w:tr w:rsidR="00965CEB" w:rsidRPr="00F64070" w14:paraId="6BD60B0D" w14:textId="77777777" w:rsidTr="00AA1635">
        <w:trPr>
          <w:trHeight w:val="238"/>
        </w:trPr>
        <w:tc>
          <w:tcPr>
            <w:tcW w:w="1435" w:type="dxa"/>
            <w:shd w:val="clear" w:color="auto" w:fill="D9D9D9" w:themeFill="background1" w:themeFillShade="D9"/>
          </w:tcPr>
          <w:p w14:paraId="0A7A26AB"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0B2A2B91"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7A73EF6C"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1-8</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Beloning tussen 1 en 5 miljoen EUR per boekjaar, uitgesplitst naar bandbreedten van 500 000 EUR.</w:t>
            </w:r>
          </w:p>
        </w:tc>
      </w:tr>
      <w:tr w:rsidR="00965CEB" w:rsidRPr="00F64070" w14:paraId="1EAC8B5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9 tot en met x</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F64070" w:rsidRDefault="00965CEB" w:rsidP="004F3087">
            <w:pPr>
              <w:autoSpaceDE w:val="0"/>
              <w:autoSpaceDN w:val="0"/>
              <w:adjustRightInd w:val="0"/>
              <w:spacing w:after="120"/>
              <w:rPr>
                <w:rFonts w:ascii="Times New Roman" w:hAnsi="Times New Roman" w:cs="Times New Roman"/>
                <w:sz w:val="24"/>
              </w:rPr>
            </w:pPr>
            <w:r w:rsidRPr="00F64070">
              <w:rPr>
                <w:rFonts w:ascii="Times New Roman" w:hAnsi="Times New Roman" w:cs="Times New Roman"/>
                <w:sz w:val="24"/>
              </w:rPr>
              <w:t>Beloning van meer dan 5 miljoen EUR per boekjaar, uitgesplitst naar bandbreedten van 1 miljoen EUR.</w:t>
            </w:r>
          </w:p>
        </w:tc>
      </w:tr>
      <w:tr w:rsidR="00965CEB" w:rsidRPr="00F64070" w14:paraId="3B14BCA0"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F64070" w:rsidRDefault="00965CEB" w:rsidP="004F3087">
            <w:pPr>
              <w:pStyle w:val="Applicationdirecte"/>
              <w:spacing w:before="0"/>
              <w:jc w:val="center"/>
              <w:rPr>
                <w:b/>
              </w:rPr>
            </w:pPr>
            <w:r w:rsidRPr="00F64070">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F64070" w:rsidRDefault="00965CEB" w:rsidP="004F3087">
            <w:pPr>
              <w:pStyle w:val="TableMainHeading"/>
              <w:spacing w:before="60"/>
              <w:rPr>
                <w:rFonts w:ascii="Times New Roman" w:hAnsi="Times New Roman"/>
                <w:b/>
                <w:sz w:val="24"/>
                <w:szCs w:val="24"/>
              </w:rPr>
            </w:pPr>
            <w:r w:rsidRPr="00F64070">
              <w:rPr>
                <w:rFonts w:ascii="Times New Roman" w:hAnsi="Times New Roman"/>
                <w:b/>
                <w:sz w:val="24"/>
              </w:rPr>
              <w:t>Toelichting</w:t>
            </w:r>
          </w:p>
        </w:tc>
      </w:tr>
      <w:tr w:rsidR="00965CEB" w:rsidRPr="00F64070" w14:paraId="3F457083"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F64070" w:rsidRDefault="00965CEB" w:rsidP="004F3087">
            <w:pPr>
              <w:autoSpaceDE w:val="0"/>
              <w:autoSpaceDN w:val="0"/>
              <w:adjustRightInd w:val="0"/>
              <w:jc w:val="center"/>
              <w:rPr>
                <w:rFonts w:ascii="Times New Roman" w:hAnsi="Times New Roman" w:cs="Times New Roman"/>
                <w:sz w:val="24"/>
              </w:rPr>
            </w:pPr>
            <w:r w:rsidRPr="00F64070">
              <w:rPr>
                <w:rFonts w:ascii="Times New Roman" w:hAnsi="Times New Roman" w:cs="Times New Roman"/>
                <w:sz w:val="24"/>
              </w:rPr>
              <w:t>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Aantal aangewezen personeelsleden met een beloning van 1 miljoen EUR of meer per boekjaar.</w:t>
            </w:r>
          </w:p>
          <w:p w14:paraId="760880E3"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lastRenderedPageBreak/>
              <w:t>Instellingen maken informatie openbaar op basis van de personeelsbezetting.</w:t>
            </w:r>
          </w:p>
        </w:tc>
      </w:tr>
    </w:tbl>
    <w:p w14:paraId="65FA28BB" w14:textId="77777777" w:rsidR="00965CEB" w:rsidRPr="00F64070" w:rsidRDefault="00965CEB" w:rsidP="00965CEB">
      <w:pPr>
        <w:rPr>
          <w:rFonts w:ascii="Times New Roman" w:hAnsi="Times New Roman" w:cs="Times New Roman"/>
          <w:sz w:val="24"/>
        </w:rPr>
      </w:pPr>
    </w:p>
    <w:p w14:paraId="48F9714A" w14:textId="77777777" w:rsidR="00965CEB" w:rsidRPr="00F64070" w:rsidRDefault="00965CEB" w:rsidP="00965CEB">
      <w:pPr>
        <w:pStyle w:val="Titlelevel2"/>
        <w:spacing w:before="120" w:after="120"/>
        <w:rPr>
          <w:rFonts w:ascii="Times New Roman" w:hAnsi="Times New Roman" w:cs="Times New Roman"/>
          <w:color w:val="auto"/>
          <w:sz w:val="24"/>
        </w:rPr>
      </w:pPr>
      <w:r w:rsidRPr="00F64070">
        <w:rPr>
          <w:rFonts w:ascii="Times New Roman" w:hAnsi="Times New Roman" w:cs="Times New Roman"/>
          <w:b/>
          <w:color w:val="auto"/>
          <w:sz w:val="24"/>
        </w:rPr>
        <w:t xml:space="preserve">Template EU REM5 - Informatie over personeelsleden wier beroepswerkzaamheden het risicoprofiel van de instelling wezenlijk beïnvloeden (aangewezen personeelsleden): </w:t>
      </w:r>
      <w:r w:rsidRPr="00F64070">
        <w:rPr>
          <w:rFonts w:ascii="Times New Roman" w:hAnsi="Times New Roman" w:cs="Times New Roman"/>
          <w:color w:val="auto"/>
          <w:sz w:val="24"/>
        </w:rPr>
        <w:t>Vaste opmaak</w:t>
      </w:r>
    </w:p>
    <w:p w14:paraId="247BF82E"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Instellingen maken de in artikel 450, lid 1, punt g), van Verordening (EU) nr. 575/2013 bedoelde informatie openbaar volgens de onderstaande instructies in deze bijlage voor het invullen van de openbaarmakingstemplate EU REM5, die in bijlage XXXIII bij deze uitvoeringsverordening is opgenomen.</w:t>
      </w:r>
    </w:p>
    <w:p w14:paraId="42ECBD73" w14:textId="77777777" w:rsidR="00965CEB" w:rsidRPr="00F64070"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F64070">
        <w:rPr>
          <w:rFonts w:ascii="Times New Roman" w:hAnsi="Times New Roman" w:cs="Times New Roman"/>
          <w:color w:val="auto"/>
          <w:sz w:val="24"/>
        </w:rPr>
        <w:t>Wat de kolommen met de uitsplitsing naar bedrijfsonderdeel betreft, wordt alle kredietverlening, met inbegrip van wholesalekredietverlening, opgenomen in retailkredietverlening. Voor zakenbankdiensten omvat dit ondernemingsfinanciering en handel en verkoop. Verdere richtsnoeren voor de activiteiten in die bedrijfsonderdelen zijn te vinden in de tabel in artikel 317 met de bedrijfsonderdelen binnen de standaardbenadering voor operationeel risico.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65CEB" w:rsidRPr="00F64070"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F64070" w:rsidRDefault="00965CEB" w:rsidP="004F3087">
            <w:pPr>
              <w:rPr>
                <w:rFonts w:ascii="Times New Roman" w:hAnsi="Times New Roman" w:cs="Times New Roman"/>
                <w:b/>
                <w:sz w:val="24"/>
              </w:rPr>
            </w:pPr>
            <w:r w:rsidRPr="00F64070">
              <w:rPr>
                <w:rFonts w:ascii="Times New Roman" w:hAnsi="Times New Roman" w:cs="Times New Roman"/>
                <w:b/>
                <w:sz w:val="24"/>
              </w:rPr>
              <w:t>Verwijzingen naar wetgeving en instructies</w:t>
            </w:r>
          </w:p>
        </w:tc>
      </w:tr>
      <w:tr w:rsidR="00965CEB" w:rsidRPr="00F64070" w14:paraId="233293E2" w14:textId="77777777" w:rsidTr="00AA1635">
        <w:trPr>
          <w:trHeight w:val="687"/>
        </w:trPr>
        <w:tc>
          <w:tcPr>
            <w:tcW w:w="1435" w:type="dxa"/>
            <w:shd w:val="clear" w:color="auto" w:fill="D9D9D9" w:themeFill="background1" w:themeFillShade="D9"/>
          </w:tcPr>
          <w:p w14:paraId="4DC5A06D" w14:textId="77777777" w:rsidR="00965CEB" w:rsidRPr="00F64070" w:rsidRDefault="00965CEB" w:rsidP="004F3087">
            <w:pPr>
              <w:autoSpaceDE w:val="0"/>
              <w:autoSpaceDN w:val="0"/>
              <w:adjustRightInd w:val="0"/>
              <w:rPr>
                <w:rFonts w:ascii="Times New Roman" w:hAnsi="Times New Roman" w:cs="Times New Roman"/>
                <w:b/>
                <w:sz w:val="24"/>
              </w:rPr>
            </w:pPr>
            <w:r w:rsidRPr="00F64070">
              <w:rPr>
                <w:rFonts w:ascii="Times New Roman" w:hAnsi="Times New Roman" w:cs="Times New Roman"/>
                <w:b/>
                <w:sz w:val="24"/>
              </w:rPr>
              <w:t>Rijnummer</w:t>
            </w:r>
          </w:p>
        </w:tc>
        <w:tc>
          <w:tcPr>
            <w:tcW w:w="7604" w:type="dxa"/>
            <w:shd w:val="clear" w:color="auto" w:fill="D9D9D9" w:themeFill="background1" w:themeFillShade="D9"/>
          </w:tcPr>
          <w:p w14:paraId="31A85E33" w14:textId="77777777" w:rsidR="00965CEB" w:rsidRPr="00F64070" w:rsidRDefault="00965CEB" w:rsidP="004F3087">
            <w:pPr>
              <w:autoSpaceDE w:val="0"/>
              <w:autoSpaceDN w:val="0"/>
              <w:adjustRightInd w:val="0"/>
              <w:rPr>
                <w:rFonts w:ascii="Times New Roman" w:hAnsi="Times New Roman" w:cs="Times New Roman"/>
                <w:color w:val="000000"/>
                <w:sz w:val="24"/>
              </w:rPr>
            </w:pPr>
            <w:r w:rsidRPr="00F64070">
              <w:rPr>
                <w:rFonts w:ascii="Times New Roman" w:hAnsi="Times New Roman" w:cs="Times New Roman"/>
                <w:b/>
                <w:sz w:val="24"/>
              </w:rPr>
              <w:t>Toelichting</w:t>
            </w:r>
          </w:p>
        </w:tc>
      </w:tr>
      <w:tr w:rsidR="00965CEB" w:rsidRPr="00F64070" w14:paraId="01F5A89D"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 xml:space="preserve">1 </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b/>
                <w:sz w:val="24"/>
              </w:rPr>
              <w:t>Totaal aantal aangewezen personeelsleden</w:t>
            </w:r>
          </w:p>
          <w:p w14:paraId="2278F4D4"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Personeelsleden wier beroepswerkzaamheden het risicoprofiel van de instelling en haar dochterondernemingen wezenlijk beïnvloeden (aangewezen personeelsleden), met inbegrip van dochterondernemingen die niet onder Richtlijn 2013/36/EU vallen, en alle leden van hun respectieve leidinggevende organen.</w:t>
            </w:r>
          </w:p>
          <w:p w14:paraId="15553C44"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waarde wordt openbaar gemaakt op basis van VTE.</w:t>
            </w:r>
          </w:p>
        </w:tc>
      </w:tr>
      <w:tr w:rsidR="00965CEB" w:rsidRPr="00F64070" w14:paraId="66892647"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2</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b/>
                <w:sz w:val="24"/>
              </w:rPr>
              <w:t>waarvan: leden van het leidinggevend orgaan</w:t>
            </w:r>
          </w:p>
          <w:p w14:paraId="626C0F05"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Het aantal leden in het respectieve leidinggevend orgaan in zijn toezichthoudende functie en in zijn leidinggevende functie, en in het volledige leidinggevend orgaan.</w:t>
            </w:r>
          </w:p>
        </w:tc>
      </w:tr>
      <w:tr w:rsidR="00965CEB" w:rsidRPr="00F64070" w14:paraId="7E2EF40C"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3</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waarvan: andere directieleden</w:t>
            </w:r>
          </w:p>
          <w:p w14:paraId="1F28E03B"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Andere personeelsleden dan de leden van het leidinggevend orgaan, die directie zijn in de zin van artikel 3, lid 1, punt 9, van Richtlijn 2013/36/EU.</w:t>
            </w:r>
          </w:p>
        </w:tc>
      </w:tr>
      <w:tr w:rsidR="00965CEB" w:rsidRPr="00F64070" w14:paraId="576C78F0"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4</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waarvan: andere aangewezen personeelsleden</w:t>
            </w:r>
          </w:p>
          <w:p w14:paraId="110712E4"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highlight w:val="yellow"/>
              </w:rPr>
            </w:pPr>
            <w:r w:rsidRPr="00F64070">
              <w:rPr>
                <w:rFonts w:ascii="Times New Roman" w:hAnsi="Times New Roman" w:cs="Times New Roman"/>
                <w:sz w:val="24"/>
              </w:rPr>
              <w:t>Andere personeelsleden dan leden van het leidinggevend orgaan, en andere personeelsleden dan directieleden, wier beroepswerkzaamheden het risicoprofiel van de instelling wezenlijk beïnvloeden overeenkomstig de criteria van de gedelegeerde verordening die de Commissie in uitvoering van artikel 94, lid 2, van Richtlijn 2013/36/EU betreffende aangewezen personeelsleden heeft vastgesteld en daarnaast, in voorkomend geval, op basis van criteria van instellingen.</w:t>
            </w:r>
          </w:p>
        </w:tc>
      </w:tr>
      <w:tr w:rsidR="00965CEB" w:rsidRPr="00F64070" w14:paraId="5E0A7C3D"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5</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b/>
                <w:sz w:val="24"/>
              </w:rPr>
              <w:t>Totale beloning van aangewezen personeelsleden</w:t>
            </w:r>
          </w:p>
          <w:p w14:paraId="393FC237"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lastRenderedPageBreak/>
              <w:t>Onder het totale bedrag van de beloning wordt verstaan alle vormen van vaste en variabele beloning, met inbegrip van geldelijke of niet-geldelijke betalingen en voordelen, die door of namens instellingen rechtstreeks aan personeelsleden worden toegekend in ruil voor professionele diensten van personeelsleden, betalingen van “carried interest” in de zin van artikel 4, lid 1, punt d), van Richtlijn 2011/61/EU</w:t>
            </w:r>
            <w:r w:rsidRPr="00F64070">
              <w:rPr>
                <w:rStyle w:val="FootnoteReference"/>
                <w:rFonts w:ascii="Times New Roman" w:hAnsi="Times New Roman" w:cs="Times New Roman"/>
              </w:rPr>
              <w:footnoteReference w:id="4"/>
            </w:r>
            <w:r w:rsidRPr="00F64070">
              <w:rPr>
                <w:rFonts w:ascii="Times New Roman" w:hAnsi="Times New Roman" w:cs="Times New Roman"/>
                <w:sz w:val="24"/>
              </w:rPr>
              <w:t xml:space="preserve"> en andere betalingen via methoden en vehikels die, indien ze niet als beloning zouden worden beschouwd, tot omzeiling van de beloningsvereisten van Richtlijn 2013/36/EU zouden leiden.</w:t>
            </w:r>
          </w:p>
        </w:tc>
      </w:tr>
      <w:tr w:rsidR="00965CEB" w:rsidRPr="00F64070" w14:paraId="05EE8EE0"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lastRenderedPageBreak/>
              <w:t>6</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b/>
                <w:sz w:val="24"/>
              </w:rPr>
              <w:t>waarvan: variabele beloning</w:t>
            </w:r>
          </w:p>
          <w:p w14:paraId="4089EA4E"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De som van alle beloningscomponenten die geen vaste beloning zijn waarnaar in rij 7 van deze template wordt verwezen.</w:t>
            </w:r>
          </w:p>
        </w:tc>
      </w:tr>
      <w:tr w:rsidR="00965CEB" w:rsidRPr="00F64070" w14:paraId="141C01A8"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7</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F64070" w:rsidRDefault="00965CEB" w:rsidP="004F3087">
            <w:pPr>
              <w:autoSpaceDE w:val="0"/>
              <w:autoSpaceDN w:val="0"/>
              <w:adjustRightInd w:val="0"/>
              <w:spacing w:after="120"/>
              <w:jc w:val="both"/>
              <w:rPr>
                <w:rFonts w:ascii="Times New Roman" w:hAnsi="Times New Roman" w:cs="Times New Roman"/>
                <w:b/>
                <w:sz w:val="24"/>
              </w:rPr>
            </w:pPr>
            <w:r w:rsidRPr="00F64070">
              <w:rPr>
                <w:rFonts w:ascii="Times New Roman" w:hAnsi="Times New Roman" w:cs="Times New Roman"/>
                <w:b/>
                <w:sz w:val="24"/>
              </w:rPr>
              <w:t>waarvan: vaste beloning</w:t>
            </w:r>
          </w:p>
          <w:p w14:paraId="6D2B67C7" w14:textId="77777777" w:rsidR="00965CEB" w:rsidRPr="00F64070" w:rsidRDefault="00965CEB" w:rsidP="004F3087">
            <w:pPr>
              <w:autoSpaceDE w:val="0"/>
              <w:autoSpaceDN w:val="0"/>
              <w:adjustRightInd w:val="0"/>
              <w:spacing w:after="120"/>
              <w:jc w:val="both"/>
              <w:rPr>
                <w:rFonts w:ascii="Times New Roman" w:hAnsi="Times New Roman" w:cs="Times New Roman"/>
                <w:sz w:val="24"/>
              </w:rPr>
            </w:pPr>
            <w:r w:rsidRPr="00F64070">
              <w:rPr>
                <w:rFonts w:ascii="Times New Roman" w:hAnsi="Times New Roman" w:cs="Times New Roman"/>
                <w:sz w:val="24"/>
              </w:rPr>
              <w:t xml:space="preserve">Instellingen beschouwen beloning als vast indien de toekenningsvoorwaarden en het bedrag ervan: </w:t>
            </w:r>
          </w:p>
          <w:p w14:paraId="353923B9"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gebaseerd zijn op vooraf vastgestelde criteria;</w:t>
            </w:r>
          </w:p>
          <w:p w14:paraId="6C1C2F5F"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niet-discretionair zijn en het niveau van de beroepservaring en anciënniteit van personeelsleden weerspiegelen;</w:t>
            </w:r>
          </w:p>
          <w:p w14:paraId="10522E13"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transparant zijn met betrekking tot het individuele bedrag dat aan het individuele personeelslid wordt toegekend;</w:t>
            </w:r>
          </w:p>
          <w:p w14:paraId="3BBE4B5F"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permanent zijn, d.w.z. gehandhaafd worden gedurende een periode die gekoppeld is aan de specifieke rol en organisatorische verantwoordelijkheden;</w:t>
            </w:r>
          </w:p>
          <w:p w14:paraId="0E5E4565"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niet herroepbaar zijn. Het vaste bedrag wordt alleen veranderd via collectieve onderhandelingen of na heronderhandelingen in overeenstemming met nationale criteria betreffende de vaststelling van salarissen;</w:t>
            </w:r>
          </w:p>
          <w:p w14:paraId="5198EAEA"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niet door de instelling kunnen worden verminderd, opgeschort of geannuleerd;</w:t>
            </w:r>
          </w:p>
          <w:p w14:paraId="7278E7D3"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 xml:space="preserve">geen prikkels geven voor het aangaan van risico’s, en </w:t>
            </w:r>
          </w:p>
          <w:p w14:paraId="23627B2C" w14:textId="77777777" w:rsidR="00965CEB" w:rsidRPr="00F64070"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F64070">
              <w:rPr>
                <w:rFonts w:ascii="Times New Roman" w:hAnsi="Times New Roman"/>
                <w:sz w:val="24"/>
              </w:rPr>
              <w:t xml:space="preserve">niet afhankelijk zijn van prestaties. </w:t>
            </w:r>
          </w:p>
        </w:tc>
      </w:tr>
      <w:tr w:rsidR="00965CEB" w:rsidRPr="00F64070" w14:paraId="4A45635F" w14:textId="77777777" w:rsidTr="00AA1635">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F64070" w:rsidRDefault="00965CEB" w:rsidP="004F3087">
            <w:pPr>
              <w:pStyle w:val="Applicationdirecte"/>
              <w:spacing w:before="0"/>
              <w:jc w:val="left"/>
              <w:rPr>
                <w:b/>
              </w:rPr>
            </w:pPr>
            <w:r w:rsidRPr="00F64070">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F64070" w:rsidRDefault="00965CEB" w:rsidP="004F3087">
            <w:pPr>
              <w:pStyle w:val="TableMainHeading"/>
              <w:spacing w:before="60"/>
              <w:jc w:val="both"/>
              <w:rPr>
                <w:rFonts w:ascii="Times New Roman" w:hAnsi="Times New Roman"/>
                <w:b/>
                <w:sz w:val="24"/>
                <w:szCs w:val="24"/>
              </w:rPr>
            </w:pPr>
            <w:r w:rsidRPr="00F64070">
              <w:rPr>
                <w:rFonts w:ascii="Times New Roman" w:hAnsi="Times New Roman"/>
                <w:b/>
                <w:sz w:val="24"/>
              </w:rPr>
              <w:t>Toelichting</w:t>
            </w:r>
          </w:p>
        </w:tc>
      </w:tr>
      <w:tr w:rsidR="00965CEB" w:rsidRPr="00F64070" w14:paraId="2ED3053A"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a, b en c</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Leidinggevend orgaan</w:t>
            </w:r>
          </w:p>
          <w:p w14:paraId="2D246C99"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Het leidinggevend orgaan van de instelling, met de uitsplitsing naar toezichthoudende functie en leidinggevende functie.</w:t>
            </w:r>
          </w:p>
          <w:p w14:paraId="6966FBB4"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Instellingen maken informatie openbaar op basis van de personeelsbezetting.</w:t>
            </w:r>
          </w:p>
        </w:tc>
      </w:tr>
      <w:tr w:rsidR="00965CEB" w:rsidRPr="00F64070" w14:paraId="69B617A4"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t>d tot en met h</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Bedrijfsonderdelen</w:t>
            </w:r>
          </w:p>
          <w:p w14:paraId="3897E6F0"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lastRenderedPageBreak/>
              <w:t xml:space="preserve">De belangrijkste bedrijfsonderdelen van de instelling, zoals zakenbankactiviteiten, bankdiensten ten behoeve van particulieren en kleine partijen, vermogensbeheer, bedrijfsfuncties, onafhankelijke internecontrolefuncties. </w:t>
            </w:r>
          </w:p>
          <w:p w14:paraId="36836492"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Informatie wordt openbaar gemaakt op basis van VTE.</w:t>
            </w:r>
          </w:p>
        </w:tc>
      </w:tr>
      <w:tr w:rsidR="00965CEB" w:rsidRPr="00F64070" w14:paraId="427F8B5C" w14:textId="77777777" w:rsidTr="00AA1635">
        <w:trPr>
          <w:trHeight w:val="12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F64070" w:rsidRDefault="00965CEB" w:rsidP="004F3087">
            <w:pPr>
              <w:autoSpaceDE w:val="0"/>
              <w:autoSpaceDN w:val="0"/>
              <w:adjustRightInd w:val="0"/>
              <w:rPr>
                <w:rFonts w:ascii="Times New Roman" w:hAnsi="Times New Roman" w:cs="Times New Roman"/>
                <w:sz w:val="24"/>
              </w:rPr>
            </w:pPr>
            <w:r w:rsidRPr="00F64070">
              <w:rPr>
                <w:rFonts w:ascii="Times New Roman" w:hAnsi="Times New Roman" w:cs="Times New Roman"/>
                <w:sz w:val="24"/>
              </w:rPr>
              <w:lastRenderedPageBreak/>
              <w:t>i</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F64070" w:rsidRDefault="00965CEB" w:rsidP="004F3087">
            <w:pPr>
              <w:autoSpaceDE w:val="0"/>
              <w:autoSpaceDN w:val="0"/>
              <w:adjustRightInd w:val="0"/>
              <w:spacing w:before="60" w:after="120"/>
              <w:jc w:val="both"/>
              <w:rPr>
                <w:rFonts w:ascii="Times New Roman" w:hAnsi="Times New Roman" w:cs="Times New Roman"/>
                <w:b/>
                <w:sz w:val="24"/>
              </w:rPr>
            </w:pPr>
            <w:r w:rsidRPr="00F64070">
              <w:rPr>
                <w:rFonts w:ascii="Times New Roman" w:hAnsi="Times New Roman" w:cs="Times New Roman"/>
                <w:b/>
                <w:sz w:val="24"/>
              </w:rPr>
              <w:t>Alle andere</w:t>
            </w:r>
          </w:p>
          <w:p w14:paraId="73AEF5B7"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 xml:space="preserve">Alle andere bedrijfsonderdelen die niet afzonderlijk in de vorige kolommen werden vermeld. </w:t>
            </w:r>
          </w:p>
          <w:p w14:paraId="1A156990" w14:textId="77777777" w:rsidR="00965CEB" w:rsidRPr="00F64070" w:rsidRDefault="00965CEB" w:rsidP="004F3087">
            <w:pPr>
              <w:autoSpaceDE w:val="0"/>
              <w:autoSpaceDN w:val="0"/>
              <w:adjustRightInd w:val="0"/>
              <w:spacing w:before="60" w:after="120"/>
              <w:jc w:val="both"/>
              <w:rPr>
                <w:rFonts w:ascii="Times New Roman" w:hAnsi="Times New Roman" w:cs="Times New Roman"/>
                <w:sz w:val="24"/>
              </w:rPr>
            </w:pPr>
            <w:r w:rsidRPr="00F64070">
              <w:rPr>
                <w:rFonts w:ascii="Times New Roman" w:hAnsi="Times New Roman" w:cs="Times New Roman"/>
                <w:sz w:val="24"/>
              </w:rPr>
              <w:t>Informatie wordt openbaar gemaakt op basis van VTE.</w:t>
            </w:r>
          </w:p>
        </w:tc>
      </w:tr>
    </w:tbl>
    <w:p w14:paraId="32121E4A" w14:textId="77777777" w:rsidR="00993FC2" w:rsidRPr="00F64070" w:rsidRDefault="00993FC2">
      <w:pPr>
        <w:rPr>
          <w:rFonts w:ascii="Times New Roman" w:hAnsi="Times New Roman" w:cs="Times New Roman"/>
        </w:rPr>
      </w:pPr>
    </w:p>
    <w:sectPr w:rsidR="00993FC2" w:rsidRPr="00F6407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C323C" w14:textId="77777777" w:rsidR="00AA1635" w:rsidRDefault="00AA16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F3F0" w14:textId="77777777" w:rsidR="00AA1635" w:rsidRDefault="00AA1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t>Gedelegeerde Verordening (EU) 604/2014 van de Commissie van 4 maart 2014 houdende aanvulling van Richtlijn 2013/36/EU van het Europees Parlement en de Raad met betrekking tot technische reguleringsnormen met betrekking tot kwalitatieve en passende kwantitatieve criteria tot vaststelling van de categorieën van medewerkers wier beroepswerkzaamheden het risicoprofiel van een instelling materieel beïnvloeden (PB L 167 van 6.6.2014, blz. 30).</w:t>
      </w:r>
    </w:p>
  </w:footnote>
  <w:footnote w:id="4">
    <w:p w14:paraId="2890C799" w14:textId="77777777" w:rsidR="00965CEB" w:rsidRDefault="00965CEB" w:rsidP="00965CEB">
      <w:pPr>
        <w:pStyle w:val="FootnoteText"/>
      </w:pPr>
      <w:r>
        <w:rPr>
          <w:rStyle w:val="FootnoteReference"/>
        </w:rPr>
        <w:footnoteRef/>
      </w:r>
      <w:r>
        <w:tab/>
        <w:t>Richtlijn 2011/61/EU van het Europees Parlement en de Raad van 8 juni 2011 inzake beheerders van alternatieve beleggingsinstellingen en tot wijziging van de Richtlijnen 2003/41/EG en 2009/65/EG en van de Verordeningen (EG) nr. 1060/2009 en (EU) nr. 1095/2010 (PB L 174 van 1.7.2011,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53DEB2F4"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r w:rsidR="00AA1635">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53DEB2F4" w:rsidR="009E1CBE" w:rsidRPr="009E1CBE" w:rsidRDefault="009E1CBE" w:rsidP="009E1CBE">
                    <w:pPr>
                      <w:rPr>
                        <w:rFonts w:ascii="Calibri" w:eastAsia="Calibri" w:hAnsi="Calibri" w:cs="Calibri"/>
                        <w:noProof/>
                        <w:color w:val="000000"/>
                        <w:sz w:val="24"/>
                      </w:rPr>
                    </w:pPr>
                    <w:r>
                      <w:rPr>
                        <w:rFonts w:ascii="Calibri" w:hAnsi="Calibri"/>
                        <w:color w:val="000000"/>
                        <w:sz w:val="24"/>
                      </w:rPr>
                      <w:t xml:space="preserve">EBA </w:t>
                    </w:r>
                    <w:r w:rsidR="00AA1635">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fr-BE" w:vendorID="64" w:dllVersion="0" w:nlCheck="1" w:checkStyle="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5F1AA5"/>
    <w:rsid w:val="0088399E"/>
    <w:rsid w:val="00965CEB"/>
    <w:rsid w:val="00993FC2"/>
    <w:rsid w:val="009E1CBE"/>
    <w:rsid w:val="00A9359E"/>
    <w:rsid w:val="00AA1635"/>
    <w:rsid w:val="00F64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AF4DCB-A54A-4AEF-86E2-B84C553F605A}"/>
</file>

<file path=customXml/itemProps2.xml><?xml version="1.0" encoding="utf-8"?>
<ds:datastoreItem xmlns:ds="http://schemas.openxmlformats.org/officeDocument/2006/customXml" ds:itemID="{912EABCF-D81D-4D26-A159-916066723B5C}"/>
</file>

<file path=customXml/itemProps3.xml><?xml version="1.0" encoding="utf-8"?>
<ds:datastoreItem xmlns:ds="http://schemas.openxmlformats.org/officeDocument/2006/customXml" ds:itemID="{8C1B88B8-9947-4E4B-A421-5FF23E66EED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9</TotalTime>
  <Pages>15</Pages>
  <Words>4714</Words>
  <Characters>29039</Characters>
  <Application>Microsoft Office Word</Application>
  <DocSecurity>0</DocSecurity>
  <Lines>675</Lines>
  <Paragraphs>351</Paragraphs>
  <ScaleCrop>false</ScaleCrop>
  <Company>European Banking Authority</Company>
  <LinksUpToDate>false</LinksUpToDate>
  <CharactersWithSpaces>33402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7</cp:revision>
  <dcterms:created xsi:type="dcterms:W3CDTF">2021-03-11T13:58:00Z</dcterms:created>
  <dcterms:modified xsi:type="dcterms:W3CDTF">2024-10-08T14:09:00Z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