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6016A" w14:textId="376A87AC" w:rsidR="00A040D0" w:rsidRPr="00EC7FC4" w:rsidRDefault="00A040D0" w:rsidP="00A040D0">
      <w:pPr>
        <w:pStyle w:val="Annexetitre"/>
        <w:rPr>
          <w:b w:val="0"/>
        </w:rPr>
      </w:pPr>
      <w:r w:rsidRPr="00EC7FC4">
        <w:t>PRÍLOHA IV – Pokyny na zverejňovanie informácií</w:t>
      </w:r>
      <w:r w:rsidR="00EC7FC4">
        <w:t xml:space="preserve"> o </w:t>
      </w:r>
      <w:r w:rsidRPr="00EC7FC4">
        <w:t>cieľoch</w:t>
      </w:r>
      <w:r w:rsidR="00EC7FC4">
        <w:t xml:space="preserve"> a </w:t>
      </w:r>
      <w:r w:rsidRPr="00EC7FC4">
        <w:t>politikách riadenia rizík</w:t>
      </w:r>
    </w:p>
    <w:p w14:paraId="54412256" w14:textId="77777777" w:rsidR="00A040D0" w:rsidRPr="00EC7FC4" w:rsidRDefault="00A040D0" w:rsidP="00A040D0">
      <w:pPr>
        <w:rPr>
          <w:rFonts w:ascii="Times New Roman" w:hAnsi="Times New Roman" w:cs="Times New Roman"/>
          <w:sz w:val="24"/>
        </w:rPr>
      </w:pPr>
    </w:p>
    <w:p w14:paraId="61CF2D7C" w14:textId="46D29991" w:rsidR="00A040D0" w:rsidRPr="00EC7FC4" w:rsidRDefault="00A040D0" w:rsidP="00A040D0">
      <w:pPr>
        <w:rPr>
          <w:rFonts w:ascii="Times New Roman" w:hAnsi="Times New Roman" w:cs="Times New Roman"/>
          <w:sz w:val="24"/>
        </w:rPr>
      </w:pPr>
      <w:r w:rsidRPr="00EC7FC4">
        <w:rPr>
          <w:rFonts w:ascii="Times New Roman" w:hAnsi="Times New Roman"/>
          <w:b/>
          <w:sz w:val="24"/>
        </w:rPr>
        <w:t>Tabuľka EU OVA – Prístup inštitúcie</w:t>
      </w:r>
      <w:r w:rsidR="00EC7FC4">
        <w:rPr>
          <w:rFonts w:ascii="Times New Roman" w:hAnsi="Times New Roman"/>
          <w:b/>
          <w:sz w:val="24"/>
        </w:rPr>
        <w:t xml:space="preserve"> k </w:t>
      </w:r>
      <w:r w:rsidRPr="00EC7FC4">
        <w:rPr>
          <w:rFonts w:ascii="Times New Roman" w:hAnsi="Times New Roman"/>
          <w:b/>
          <w:sz w:val="24"/>
        </w:rPr>
        <w:t>riadeniu rizík:</w:t>
      </w:r>
      <w:r w:rsidRPr="00EC7FC4">
        <w:rPr>
          <w:rFonts w:ascii="Times New Roman" w:hAnsi="Times New Roman"/>
          <w:sz w:val="24"/>
        </w:rPr>
        <w:t xml:space="preserve"> Textové polia</w:t>
      </w:r>
      <w:r w:rsidR="00EC7FC4">
        <w:rPr>
          <w:rFonts w:ascii="Times New Roman" w:hAnsi="Times New Roman"/>
          <w:sz w:val="24"/>
        </w:rPr>
        <w:t xml:space="preserve"> s </w:t>
      </w:r>
      <w:r w:rsidRPr="00EC7FC4">
        <w:rPr>
          <w:rFonts w:ascii="Times New Roman" w:hAnsi="Times New Roman"/>
          <w:sz w:val="24"/>
        </w:rPr>
        <w:t>ľubovoľným formátom na zverejňovanie kvalitatívnych informácií.</w:t>
      </w:r>
    </w:p>
    <w:p w14:paraId="6410CBA1" w14:textId="396519B1" w:rsidR="00A040D0" w:rsidRPr="00EC7FC4" w:rsidRDefault="00A040D0" w:rsidP="00A040D0">
      <w:pPr>
        <w:pStyle w:val="ListParagraph"/>
        <w:numPr>
          <w:ilvl w:val="0"/>
          <w:numId w:val="2"/>
        </w:numPr>
        <w:spacing w:before="120" w:after="120"/>
        <w:ind w:left="426"/>
        <w:jc w:val="both"/>
        <w:rPr>
          <w:rFonts w:ascii="Times New Roman" w:hAnsi="Times New Roman"/>
          <w:sz w:val="24"/>
        </w:rPr>
      </w:pPr>
      <w:r w:rsidRPr="00EC7FC4">
        <w:rPr>
          <w:rFonts w:ascii="Times New Roman" w:hAnsi="Times New Roman"/>
          <w:sz w:val="24"/>
        </w:rPr>
        <w:t>Inštitúcie zverejňujú informácie uvedené</w:t>
      </w:r>
      <w:r w:rsidR="00EC7FC4">
        <w:rPr>
          <w:rFonts w:ascii="Times New Roman" w:hAnsi="Times New Roman"/>
          <w:sz w:val="24"/>
        </w:rPr>
        <w:t xml:space="preserve"> v </w:t>
      </w:r>
      <w:r w:rsidRPr="00EC7FC4">
        <w:rPr>
          <w:rFonts w:ascii="Times New Roman" w:hAnsi="Times New Roman"/>
          <w:sz w:val="24"/>
        </w:rPr>
        <w:t xml:space="preserve">článku 435 ods. 1 nariadenia (EÚ) </w:t>
      </w:r>
      <w:r w:rsidR="00EC7FC4">
        <w:rPr>
          <w:rFonts w:ascii="Times New Roman" w:hAnsi="Times New Roman"/>
          <w:sz w:val="24"/>
        </w:rPr>
        <w:t>č. </w:t>
      </w:r>
      <w:r w:rsidRPr="00EC7FC4">
        <w:rPr>
          <w:rFonts w:ascii="Times New Roman" w:hAnsi="Times New Roman"/>
          <w:sz w:val="24"/>
        </w:rPr>
        <w:t>575/2013</w:t>
      </w:r>
      <w:r w:rsidRPr="00EC7FC4">
        <w:rPr>
          <w:rStyle w:val="FootnoteReference"/>
        </w:rPr>
        <w:footnoteReference w:id="1"/>
      </w:r>
      <w:r w:rsidRPr="00EC7FC4">
        <w:rPr>
          <w:rFonts w:ascii="Times New Roman" w:hAnsi="Times New Roman"/>
          <w:sz w:val="24"/>
        </w:rPr>
        <w:t xml:space="preserve"> („CRR“) podľa pokynov uvedených nižšie</w:t>
      </w:r>
      <w:r w:rsidR="00EC7FC4">
        <w:rPr>
          <w:rFonts w:ascii="Times New Roman" w:hAnsi="Times New Roman"/>
          <w:sz w:val="24"/>
        </w:rPr>
        <w:t xml:space="preserve"> v </w:t>
      </w:r>
      <w:r w:rsidRPr="00EC7FC4">
        <w:rPr>
          <w:rFonts w:ascii="Times New Roman" w:hAnsi="Times New Roman"/>
          <w:sz w:val="24"/>
        </w:rPr>
        <w:t>tejto prílohe</w:t>
      </w:r>
      <w:r w:rsidR="00EC7FC4">
        <w:rPr>
          <w:rFonts w:ascii="Times New Roman" w:hAnsi="Times New Roman"/>
          <w:sz w:val="24"/>
        </w:rPr>
        <w:t xml:space="preserve"> s </w:t>
      </w:r>
      <w:r w:rsidRPr="00EC7FC4">
        <w:rPr>
          <w:rFonts w:ascii="Times New Roman" w:hAnsi="Times New Roman"/>
          <w:sz w:val="24"/>
        </w:rPr>
        <w:t>cieľom vyplniť tabuľku EU OVA, ktorá je uvedená</w:t>
      </w:r>
      <w:r w:rsidR="00EC7FC4">
        <w:rPr>
          <w:rFonts w:ascii="Times New Roman" w:hAnsi="Times New Roman"/>
          <w:sz w:val="24"/>
        </w:rPr>
        <w:t xml:space="preserve"> v </w:t>
      </w:r>
      <w:r w:rsidRPr="00EC7FC4">
        <w:rPr>
          <w:rFonts w:ascii="Times New Roman" w:hAnsi="Times New Roman"/>
          <w:sz w:val="24"/>
        </w:rPr>
        <w:t>prílohe III dokumentu</w:t>
      </w:r>
      <w:r w:rsidR="00EC7FC4">
        <w:rPr>
          <w:rFonts w:ascii="Times New Roman" w:hAnsi="Times New Roman"/>
          <w:sz w:val="24"/>
        </w:rPr>
        <w:t xml:space="preserve"> s </w:t>
      </w:r>
      <w:r w:rsidRPr="00EC7FC4">
        <w:rPr>
          <w:rFonts w:ascii="Times New Roman" w:hAnsi="Times New Roman"/>
          <w:sz w:val="24"/>
        </w:rPr>
        <w:t>IT riešeniami orgánu EBA.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A040D0" w:rsidRPr="00EC7FC4" w14:paraId="65B1C3A3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60DAAB" w14:textId="15CB99D8" w:rsidR="00A040D0" w:rsidRPr="00EC7FC4" w:rsidRDefault="00A040D0" w:rsidP="00D819D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C7FC4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EC7FC4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EC7FC4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A040D0" w:rsidRPr="00EC7FC4" w14:paraId="65393185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FAB253F" w14:textId="77777777" w:rsidR="00A040D0" w:rsidRPr="00EC7FC4" w:rsidRDefault="00A040D0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EC7FC4">
              <w:rPr>
                <w:rFonts w:ascii="Times New Roman" w:hAnsi="Times New Roman"/>
                <w:b/>
                <w:sz w:val="24"/>
              </w:rPr>
              <w:t>Číslo riadku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3C0C458" w14:textId="77777777" w:rsidR="00A040D0" w:rsidRPr="00EC7FC4" w:rsidRDefault="00A040D0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C7FC4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A040D0" w:rsidRPr="00EC7FC4" w14:paraId="1644152E" w14:textId="77777777" w:rsidTr="00D819DE">
        <w:trPr>
          <w:trHeight w:val="1803"/>
        </w:trPr>
        <w:tc>
          <w:tcPr>
            <w:tcW w:w="1384" w:type="dxa"/>
          </w:tcPr>
          <w:p w14:paraId="5E2D9514" w14:textId="77777777" w:rsidR="00A040D0" w:rsidRPr="00EC7FC4" w:rsidRDefault="00A040D0" w:rsidP="00D819DE">
            <w:pPr>
              <w:pStyle w:val="Applicationdirecte"/>
              <w:spacing w:before="120"/>
            </w:pPr>
            <w:r w:rsidRPr="00EC7FC4">
              <w:t>a)</w:t>
            </w:r>
          </w:p>
        </w:tc>
        <w:tc>
          <w:tcPr>
            <w:tcW w:w="7655" w:type="dxa"/>
          </w:tcPr>
          <w:p w14:paraId="15BD1156" w14:textId="744A6910" w:rsidR="00A040D0" w:rsidRPr="00EC7FC4" w:rsidRDefault="00A040D0" w:rsidP="00D819DE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EC7FC4">
              <w:rPr>
                <w:rFonts w:ascii="Times New Roman" w:hAnsi="Times New Roman"/>
                <w:sz w:val="24"/>
              </w:rPr>
              <w:t>V stručnom vyhlásení</w:t>
            </w:r>
            <w:r w:rsidR="00EC7FC4">
              <w:rPr>
                <w:rFonts w:ascii="Times New Roman" w:hAnsi="Times New Roman"/>
                <w:sz w:val="24"/>
              </w:rPr>
              <w:t xml:space="preserve"> o </w:t>
            </w:r>
            <w:r w:rsidRPr="00EC7FC4">
              <w:rPr>
                <w:rFonts w:ascii="Times New Roman" w:hAnsi="Times New Roman"/>
                <w:sz w:val="24"/>
              </w:rPr>
              <w:t>riziku, ktoré pri uplatňovaní článku 435 ods. 1 písm. f) CRR schvaľuje riadiaci orgán, sa opisuje, ako obchodný model určuje celkový rizikový profil</w:t>
            </w:r>
            <w:r w:rsidR="00EC7FC4">
              <w:rPr>
                <w:rFonts w:ascii="Times New Roman" w:hAnsi="Times New Roman"/>
                <w:sz w:val="24"/>
              </w:rPr>
              <w:t xml:space="preserve"> a </w:t>
            </w:r>
            <w:r w:rsidRPr="00EC7FC4">
              <w:rPr>
                <w:rFonts w:ascii="Times New Roman" w:hAnsi="Times New Roman"/>
                <w:sz w:val="24"/>
              </w:rPr>
              <w:t>ako sa</w:t>
            </w:r>
            <w:r w:rsidR="00EC7FC4">
              <w:rPr>
                <w:rFonts w:ascii="Times New Roman" w:hAnsi="Times New Roman"/>
                <w:sz w:val="24"/>
              </w:rPr>
              <w:t xml:space="preserve"> s </w:t>
            </w:r>
            <w:r w:rsidRPr="00EC7FC4">
              <w:rPr>
                <w:rFonts w:ascii="Times New Roman" w:hAnsi="Times New Roman"/>
                <w:sz w:val="24"/>
              </w:rPr>
              <w:t>ním vzájomne ovplyvňuje: napríklad kľúčové riziká súvisiace</w:t>
            </w:r>
            <w:r w:rsidR="00EC7FC4">
              <w:rPr>
                <w:rFonts w:ascii="Times New Roman" w:hAnsi="Times New Roman"/>
                <w:sz w:val="24"/>
              </w:rPr>
              <w:t xml:space="preserve"> s </w:t>
            </w:r>
            <w:r w:rsidRPr="00EC7FC4">
              <w:rPr>
                <w:rFonts w:ascii="Times New Roman" w:hAnsi="Times New Roman"/>
                <w:sz w:val="24"/>
              </w:rPr>
              <w:t>obchodným modelom</w:t>
            </w:r>
            <w:r w:rsidR="00EC7FC4">
              <w:rPr>
                <w:rFonts w:ascii="Times New Roman" w:hAnsi="Times New Roman"/>
                <w:sz w:val="24"/>
              </w:rPr>
              <w:t xml:space="preserve"> a </w:t>
            </w:r>
            <w:r w:rsidRPr="00EC7FC4">
              <w:rPr>
                <w:rFonts w:ascii="Times New Roman" w:hAnsi="Times New Roman"/>
                <w:sz w:val="24"/>
              </w:rPr>
              <w:t>spôsob, akým sa každé</w:t>
            </w:r>
            <w:r w:rsidR="00EC7FC4">
              <w:rPr>
                <w:rFonts w:ascii="Times New Roman" w:hAnsi="Times New Roman"/>
                <w:sz w:val="24"/>
              </w:rPr>
              <w:t xml:space="preserve"> z </w:t>
            </w:r>
            <w:r w:rsidRPr="00EC7FC4">
              <w:rPr>
                <w:rFonts w:ascii="Times New Roman" w:hAnsi="Times New Roman"/>
                <w:sz w:val="24"/>
              </w:rPr>
              <w:t>týchto rizík odráža</w:t>
            </w:r>
            <w:r w:rsidR="00EC7FC4">
              <w:rPr>
                <w:rFonts w:ascii="Times New Roman" w:hAnsi="Times New Roman"/>
                <w:sz w:val="24"/>
              </w:rPr>
              <w:t xml:space="preserve"> a </w:t>
            </w:r>
            <w:r w:rsidRPr="00EC7FC4">
              <w:rPr>
                <w:rFonts w:ascii="Times New Roman" w:hAnsi="Times New Roman"/>
                <w:sz w:val="24"/>
              </w:rPr>
              <w:t>opisuje</w:t>
            </w:r>
            <w:r w:rsidR="00EC7FC4">
              <w:rPr>
                <w:rFonts w:ascii="Times New Roman" w:hAnsi="Times New Roman"/>
                <w:sz w:val="24"/>
              </w:rPr>
              <w:t xml:space="preserve"> v </w:t>
            </w:r>
            <w:r w:rsidRPr="00EC7FC4">
              <w:rPr>
                <w:rFonts w:ascii="Times New Roman" w:hAnsi="Times New Roman"/>
                <w:sz w:val="24"/>
              </w:rPr>
              <w:t>zverejňovaných informáciách</w:t>
            </w:r>
            <w:r w:rsidR="00EC7FC4">
              <w:rPr>
                <w:rFonts w:ascii="Times New Roman" w:hAnsi="Times New Roman"/>
                <w:sz w:val="24"/>
              </w:rPr>
              <w:t xml:space="preserve"> o </w:t>
            </w:r>
            <w:r w:rsidRPr="00EC7FC4">
              <w:rPr>
                <w:rFonts w:ascii="Times New Roman" w:hAnsi="Times New Roman"/>
                <w:sz w:val="24"/>
              </w:rPr>
              <w:t>rizikách, alebo ako sa rizikový profil inštitúcie vzájomne ovplyvňuje</w:t>
            </w:r>
            <w:r w:rsidR="00EC7FC4">
              <w:rPr>
                <w:rFonts w:ascii="Times New Roman" w:hAnsi="Times New Roman"/>
                <w:sz w:val="24"/>
              </w:rPr>
              <w:t xml:space="preserve"> s </w:t>
            </w:r>
            <w:r w:rsidRPr="00EC7FC4">
              <w:rPr>
                <w:rFonts w:ascii="Times New Roman" w:hAnsi="Times New Roman"/>
                <w:sz w:val="24"/>
              </w:rPr>
              <w:t>toleranciou voči riziku, ktorú schválil riadiaci orgán.</w:t>
            </w:r>
          </w:p>
          <w:p w14:paraId="114EC765" w14:textId="0F21B835" w:rsidR="00A040D0" w:rsidRPr="00EC7FC4" w:rsidRDefault="00A040D0" w:rsidP="00D819DE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EC7FC4">
              <w:rPr>
                <w:rFonts w:ascii="Times New Roman" w:hAnsi="Times New Roman"/>
                <w:sz w:val="24"/>
              </w:rPr>
              <w:t>V rámci vyhlásenia</w:t>
            </w:r>
            <w:r w:rsidR="00EC7FC4">
              <w:rPr>
                <w:rFonts w:ascii="Times New Roman" w:hAnsi="Times New Roman"/>
                <w:sz w:val="24"/>
              </w:rPr>
              <w:t xml:space="preserve"> o </w:t>
            </w:r>
            <w:r w:rsidRPr="00EC7FC4">
              <w:rPr>
                <w:rFonts w:ascii="Times New Roman" w:hAnsi="Times New Roman"/>
                <w:sz w:val="24"/>
              </w:rPr>
              <w:t>riziku pri uplatňovaní článku 435 ods. 1 písm. f) CRR inštitúcie zároveň zverejňujú povahu, rozsah, účel</w:t>
            </w:r>
            <w:r w:rsidR="00EC7FC4">
              <w:rPr>
                <w:rFonts w:ascii="Times New Roman" w:hAnsi="Times New Roman"/>
                <w:sz w:val="24"/>
              </w:rPr>
              <w:t xml:space="preserve"> a </w:t>
            </w:r>
            <w:r w:rsidRPr="00EC7FC4">
              <w:rPr>
                <w:rFonts w:ascii="Times New Roman" w:hAnsi="Times New Roman"/>
                <w:sz w:val="24"/>
              </w:rPr>
              <w:t>ekonomickú podstatu významných transakcií</w:t>
            </w:r>
            <w:r w:rsidR="00EC7FC4">
              <w:rPr>
                <w:rFonts w:ascii="Times New Roman" w:hAnsi="Times New Roman"/>
                <w:sz w:val="24"/>
              </w:rPr>
              <w:t xml:space="preserve"> v </w:t>
            </w:r>
            <w:r w:rsidRPr="00EC7FC4">
              <w:rPr>
                <w:rFonts w:ascii="Times New Roman" w:hAnsi="Times New Roman"/>
                <w:sz w:val="24"/>
              </w:rPr>
              <w:t>rámci skupiny,</w:t>
            </w:r>
            <w:r w:rsidR="00EC7FC4">
              <w:rPr>
                <w:rFonts w:ascii="Times New Roman" w:hAnsi="Times New Roman"/>
                <w:sz w:val="24"/>
              </w:rPr>
              <w:t xml:space="preserve"> s </w:t>
            </w:r>
            <w:r w:rsidRPr="00EC7FC4">
              <w:rPr>
                <w:rFonts w:ascii="Times New Roman" w:hAnsi="Times New Roman"/>
                <w:sz w:val="24"/>
              </w:rPr>
              <w:t>pridruženým spoločnosťami</w:t>
            </w:r>
            <w:r w:rsidR="00EC7FC4">
              <w:rPr>
                <w:rFonts w:ascii="Times New Roman" w:hAnsi="Times New Roman"/>
                <w:sz w:val="24"/>
              </w:rPr>
              <w:t xml:space="preserve"> a </w:t>
            </w:r>
            <w:r w:rsidRPr="00EC7FC4">
              <w:rPr>
                <w:rFonts w:ascii="Times New Roman" w:hAnsi="Times New Roman"/>
                <w:sz w:val="24"/>
              </w:rPr>
              <w:t>spriaznenými stranami. Zverejnenie informácií je obmedzené na transakcie, ktoré majú významný vplyv na rizikový profil inštitúcie (vrátane rizika poškodenia dobrej povesti) alebo na rozdelenie rizík</w:t>
            </w:r>
            <w:r w:rsidR="00EC7FC4">
              <w:rPr>
                <w:rFonts w:ascii="Times New Roman" w:hAnsi="Times New Roman"/>
                <w:sz w:val="24"/>
              </w:rPr>
              <w:t xml:space="preserve"> v </w:t>
            </w:r>
            <w:r w:rsidRPr="00EC7FC4">
              <w:rPr>
                <w:rFonts w:ascii="Times New Roman" w:hAnsi="Times New Roman"/>
                <w:sz w:val="24"/>
              </w:rPr>
              <w:t>rámci skupiny. Inštitúcie zahrnú aj kľúčové ukazovatele</w:t>
            </w:r>
            <w:r w:rsidR="00EC7FC4">
              <w:rPr>
                <w:rFonts w:ascii="Times New Roman" w:hAnsi="Times New Roman"/>
                <w:sz w:val="24"/>
              </w:rPr>
              <w:t xml:space="preserve"> a </w:t>
            </w:r>
            <w:r w:rsidRPr="00EC7FC4">
              <w:rPr>
                <w:rFonts w:ascii="Times New Roman" w:hAnsi="Times New Roman"/>
                <w:sz w:val="24"/>
              </w:rPr>
              <w:t>číselné údaje, ktoré ukazujú, ako sa rizikový profil inštitúcie vzájomne ovplyvňuje</w:t>
            </w:r>
            <w:r w:rsidR="00EC7FC4">
              <w:rPr>
                <w:rFonts w:ascii="Times New Roman" w:hAnsi="Times New Roman"/>
                <w:sz w:val="24"/>
              </w:rPr>
              <w:t xml:space="preserve"> s </w:t>
            </w:r>
            <w:r w:rsidRPr="00EC7FC4">
              <w:rPr>
                <w:rFonts w:ascii="Times New Roman" w:hAnsi="Times New Roman"/>
                <w:sz w:val="24"/>
              </w:rPr>
              <w:t>toleranciou rizika stanovenou riadiacim orgánom.</w:t>
            </w:r>
          </w:p>
        </w:tc>
      </w:tr>
      <w:tr w:rsidR="00A040D0" w:rsidRPr="00EC7FC4" w14:paraId="6DC348D0" w14:textId="77777777" w:rsidTr="00D819DE">
        <w:trPr>
          <w:trHeight w:val="316"/>
        </w:trPr>
        <w:tc>
          <w:tcPr>
            <w:tcW w:w="1384" w:type="dxa"/>
          </w:tcPr>
          <w:p w14:paraId="4CED54FC" w14:textId="77777777" w:rsidR="00A040D0" w:rsidRPr="00EC7FC4" w:rsidRDefault="00A040D0" w:rsidP="00D819D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EC7FC4">
              <w:rPr>
                <w:rFonts w:ascii="Times New Roman" w:hAnsi="Times New Roman"/>
                <w:sz w:val="24"/>
              </w:rPr>
              <w:t>b)</w:t>
            </w:r>
          </w:p>
        </w:tc>
        <w:tc>
          <w:tcPr>
            <w:tcW w:w="7655" w:type="dxa"/>
          </w:tcPr>
          <w:p w14:paraId="1DBFA478" w14:textId="7BA846A6" w:rsidR="00EC7FC4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sz w:val="24"/>
              </w:rPr>
            </w:pPr>
            <w:r w:rsidRPr="00EC7FC4">
              <w:rPr>
                <w:rFonts w:ascii="Times New Roman" w:hAnsi="Times New Roman"/>
                <w:sz w:val="24"/>
              </w:rPr>
              <w:t>Informácie, ktoré sa majú zverejniť pri uplatňovaní článku 435 ods. 1 písm. b) CRR, zahŕňajú štruktúru riadenia rizík pre každý druh rizika: zodpovednosti pridelené</w:t>
            </w:r>
            <w:r w:rsidR="00EC7FC4">
              <w:rPr>
                <w:rFonts w:ascii="Times New Roman" w:hAnsi="Times New Roman"/>
                <w:sz w:val="24"/>
              </w:rPr>
              <w:t xml:space="preserve"> v </w:t>
            </w:r>
            <w:r w:rsidRPr="00EC7FC4">
              <w:rPr>
                <w:rFonts w:ascii="Times New Roman" w:hAnsi="Times New Roman"/>
                <w:sz w:val="24"/>
              </w:rPr>
              <w:t>rámci celej inštitúcie (v relevantných prípadoch vrátane dohľadu</w:t>
            </w:r>
            <w:r w:rsidR="00EC7FC4">
              <w:rPr>
                <w:rFonts w:ascii="Times New Roman" w:hAnsi="Times New Roman"/>
                <w:sz w:val="24"/>
              </w:rPr>
              <w:t xml:space="preserve"> a </w:t>
            </w:r>
            <w:r w:rsidRPr="00EC7FC4">
              <w:rPr>
                <w:rFonts w:ascii="Times New Roman" w:hAnsi="Times New Roman"/>
                <w:sz w:val="24"/>
              </w:rPr>
              <w:t>delegovania právomoci</w:t>
            </w:r>
            <w:r w:rsidR="00EC7FC4">
              <w:rPr>
                <w:rFonts w:ascii="Times New Roman" w:hAnsi="Times New Roman"/>
                <w:sz w:val="24"/>
              </w:rPr>
              <w:t xml:space="preserve"> a </w:t>
            </w:r>
            <w:r w:rsidRPr="00EC7FC4">
              <w:rPr>
                <w:rFonts w:ascii="Times New Roman" w:hAnsi="Times New Roman"/>
                <w:sz w:val="24"/>
              </w:rPr>
              <w:t>rozčlenenia zodpovedností medzi riadiacim orgánom, obchodnými líniami</w:t>
            </w:r>
            <w:r w:rsidR="00EC7FC4">
              <w:rPr>
                <w:rFonts w:ascii="Times New Roman" w:hAnsi="Times New Roman"/>
                <w:sz w:val="24"/>
              </w:rPr>
              <w:t xml:space="preserve"> a </w:t>
            </w:r>
            <w:r w:rsidRPr="00EC7FC4">
              <w:rPr>
                <w:rFonts w:ascii="Times New Roman" w:hAnsi="Times New Roman"/>
                <w:sz w:val="24"/>
              </w:rPr>
              <w:t>funkciou riadenia rizík podľa druhu rizika, obchodného útvaru</w:t>
            </w:r>
            <w:r w:rsidR="00EC7FC4">
              <w:rPr>
                <w:rFonts w:ascii="Times New Roman" w:hAnsi="Times New Roman"/>
                <w:sz w:val="24"/>
              </w:rPr>
              <w:t xml:space="preserve"> a </w:t>
            </w:r>
            <w:r w:rsidRPr="00EC7FC4">
              <w:rPr>
                <w:rFonts w:ascii="Times New Roman" w:hAnsi="Times New Roman"/>
                <w:sz w:val="24"/>
              </w:rPr>
              <w:t>iných relevantných informácií); vzťahy medzi orgánmi</w:t>
            </w:r>
            <w:r w:rsidR="00EC7FC4">
              <w:rPr>
                <w:rFonts w:ascii="Times New Roman" w:hAnsi="Times New Roman"/>
                <w:sz w:val="24"/>
              </w:rPr>
              <w:t xml:space="preserve"> a </w:t>
            </w:r>
            <w:r w:rsidRPr="00EC7FC4">
              <w:rPr>
                <w:rFonts w:ascii="Times New Roman" w:hAnsi="Times New Roman"/>
                <w:sz w:val="24"/>
              </w:rPr>
              <w:t>funkciami zapojenými do postupov riadenia rizík (podľa potreby vrátane riadiaceho orgánu, výboru pre riziká, funkcie riadenia rizík, funkcie dodržiavania súladu</w:t>
            </w:r>
            <w:r w:rsidR="00EC7FC4">
              <w:rPr>
                <w:rFonts w:ascii="Times New Roman" w:hAnsi="Times New Roman"/>
                <w:sz w:val="24"/>
              </w:rPr>
              <w:t xml:space="preserve"> s </w:t>
            </w:r>
            <w:r w:rsidRPr="00EC7FC4">
              <w:rPr>
                <w:rFonts w:ascii="Times New Roman" w:hAnsi="Times New Roman"/>
                <w:sz w:val="24"/>
              </w:rPr>
              <w:t>predpismi, funkcie interného auditu);</w:t>
            </w:r>
            <w:r w:rsidR="00EC7FC4">
              <w:rPr>
                <w:rFonts w:ascii="Times New Roman" w:hAnsi="Times New Roman"/>
                <w:sz w:val="24"/>
              </w:rPr>
              <w:t xml:space="preserve"> a </w:t>
            </w:r>
            <w:r w:rsidRPr="00EC7FC4">
              <w:rPr>
                <w:rFonts w:ascii="Times New Roman" w:hAnsi="Times New Roman"/>
                <w:sz w:val="24"/>
              </w:rPr>
              <w:t>organizačné postupy</w:t>
            </w:r>
            <w:r w:rsidR="00EC7FC4">
              <w:rPr>
                <w:rFonts w:ascii="Times New Roman" w:hAnsi="Times New Roman"/>
                <w:sz w:val="24"/>
              </w:rPr>
              <w:t xml:space="preserve"> a </w:t>
            </w:r>
            <w:r w:rsidRPr="00EC7FC4">
              <w:rPr>
                <w:rFonts w:ascii="Times New Roman" w:hAnsi="Times New Roman"/>
                <w:sz w:val="24"/>
              </w:rPr>
              <w:t>postupy vnútornej kontroly</w:t>
            </w:r>
            <w:r w:rsidR="00EC7FC4">
              <w:rPr>
                <w:rFonts w:ascii="Times New Roman" w:hAnsi="Times New Roman"/>
                <w:sz w:val="24"/>
              </w:rPr>
              <w:t>.</w:t>
            </w:r>
          </w:p>
          <w:p w14:paraId="06675D64" w14:textId="24571E52" w:rsidR="00EC7FC4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sz w:val="24"/>
              </w:rPr>
            </w:pPr>
            <w:r w:rsidRPr="00EC7FC4">
              <w:rPr>
                <w:rFonts w:ascii="Times New Roman" w:hAnsi="Times New Roman"/>
                <w:sz w:val="24"/>
              </w:rPr>
              <w:t>Pri zverejňovaní štruktúry</w:t>
            </w:r>
            <w:r w:rsidR="00EC7FC4">
              <w:rPr>
                <w:rFonts w:ascii="Times New Roman" w:hAnsi="Times New Roman"/>
                <w:sz w:val="24"/>
              </w:rPr>
              <w:t xml:space="preserve"> a </w:t>
            </w:r>
            <w:r w:rsidRPr="00EC7FC4">
              <w:rPr>
                <w:rFonts w:ascii="Times New Roman" w:hAnsi="Times New Roman"/>
                <w:sz w:val="24"/>
              </w:rPr>
              <w:t>organizácie príslušnej funkcie riadenia rizík inštitúcie dopĺňajú toto zverejnenie týmito informáciami</w:t>
            </w:r>
            <w:r w:rsidR="00EC7FC4">
              <w:rPr>
                <w:rFonts w:ascii="Times New Roman" w:hAnsi="Times New Roman"/>
                <w:sz w:val="24"/>
              </w:rPr>
              <w:t>:</w:t>
            </w:r>
          </w:p>
          <w:p w14:paraId="6CA924EE" w14:textId="77777777" w:rsidR="00EC7FC4" w:rsidRDefault="00A040D0" w:rsidP="00A040D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sz w:val="24"/>
              </w:rPr>
            </w:pPr>
            <w:r w:rsidRPr="00EC7FC4">
              <w:rPr>
                <w:rFonts w:ascii="Times New Roman" w:hAnsi="Times New Roman"/>
                <w:sz w:val="24"/>
              </w:rPr>
              <w:t>informácie</w:t>
            </w:r>
            <w:r w:rsidR="00EC7FC4">
              <w:rPr>
                <w:rFonts w:ascii="Times New Roman" w:hAnsi="Times New Roman"/>
                <w:sz w:val="24"/>
              </w:rPr>
              <w:t xml:space="preserve"> o </w:t>
            </w:r>
            <w:r w:rsidRPr="00EC7FC4">
              <w:rPr>
                <w:rFonts w:ascii="Times New Roman" w:hAnsi="Times New Roman"/>
                <w:sz w:val="24"/>
              </w:rPr>
              <w:t>celkovom rámci vnútornej kontroly</w:t>
            </w:r>
            <w:r w:rsidR="00EC7FC4">
              <w:rPr>
                <w:rFonts w:ascii="Times New Roman" w:hAnsi="Times New Roman"/>
                <w:sz w:val="24"/>
              </w:rPr>
              <w:t xml:space="preserve"> a o </w:t>
            </w:r>
            <w:r w:rsidRPr="00EC7FC4">
              <w:rPr>
                <w:rFonts w:ascii="Times New Roman" w:hAnsi="Times New Roman"/>
                <w:sz w:val="24"/>
              </w:rPr>
              <w:t xml:space="preserve">tom, ako sú organizované jej kontrolné funkcie (právomoc, zdroje, štatút, </w:t>
            </w:r>
            <w:r w:rsidRPr="00EC7FC4">
              <w:rPr>
                <w:rFonts w:ascii="Times New Roman" w:hAnsi="Times New Roman"/>
                <w:sz w:val="24"/>
              </w:rPr>
              <w:lastRenderedPageBreak/>
              <w:t>nezávislosť),</w:t>
            </w:r>
            <w:r w:rsidR="00EC7FC4">
              <w:rPr>
                <w:rFonts w:ascii="Times New Roman" w:hAnsi="Times New Roman"/>
                <w:sz w:val="24"/>
              </w:rPr>
              <w:t xml:space="preserve"> o </w:t>
            </w:r>
            <w:r w:rsidRPr="00EC7FC4">
              <w:rPr>
                <w:rFonts w:ascii="Times New Roman" w:hAnsi="Times New Roman"/>
                <w:sz w:val="24"/>
              </w:rPr>
              <w:t>hlavných úlohách, ktoré plnia,</w:t>
            </w:r>
            <w:r w:rsidR="00EC7FC4">
              <w:rPr>
                <w:rFonts w:ascii="Times New Roman" w:hAnsi="Times New Roman"/>
                <w:sz w:val="24"/>
              </w:rPr>
              <w:t xml:space="preserve"> a o </w:t>
            </w:r>
            <w:r w:rsidRPr="00EC7FC4">
              <w:rPr>
                <w:rFonts w:ascii="Times New Roman" w:hAnsi="Times New Roman"/>
                <w:sz w:val="24"/>
              </w:rPr>
              <w:t>akýchkoľvek existujúcich</w:t>
            </w:r>
            <w:r w:rsidR="00EC7FC4">
              <w:rPr>
                <w:rFonts w:ascii="Times New Roman" w:hAnsi="Times New Roman"/>
                <w:sz w:val="24"/>
              </w:rPr>
              <w:t xml:space="preserve"> a </w:t>
            </w:r>
            <w:r w:rsidRPr="00EC7FC4">
              <w:rPr>
                <w:rFonts w:ascii="Times New Roman" w:hAnsi="Times New Roman"/>
                <w:sz w:val="24"/>
              </w:rPr>
              <w:t>plánovaných významných zmenách týchto funkcií,</w:t>
            </w:r>
          </w:p>
          <w:p w14:paraId="3FD08455" w14:textId="77777777" w:rsidR="00EC7FC4" w:rsidRDefault="00A040D0" w:rsidP="00A040D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sz w:val="24"/>
              </w:rPr>
            </w:pPr>
            <w:r w:rsidRPr="00EC7FC4">
              <w:rPr>
                <w:rFonts w:ascii="Times New Roman" w:hAnsi="Times New Roman"/>
                <w:sz w:val="24"/>
              </w:rPr>
              <w:t>schválené limity rizík, ktorým je inštitúcia vystavená,</w:t>
            </w:r>
          </w:p>
          <w:p w14:paraId="45CC1CBB" w14:textId="2FFAB3CD" w:rsidR="00A040D0" w:rsidRPr="00EC7FC4" w:rsidRDefault="00A040D0" w:rsidP="00A040D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FC4">
              <w:rPr>
                <w:rFonts w:ascii="Times New Roman" w:hAnsi="Times New Roman"/>
                <w:sz w:val="24"/>
              </w:rPr>
              <w:t>zmeny vedúcich pracovníkov vnútornej kontroly, riadenia rizík, dodržiavania súladu</w:t>
            </w:r>
            <w:r w:rsidR="00EC7FC4">
              <w:rPr>
                <w:rFonts w:ascii="Times New Roman" w:hAnsi="Times New Roman"/>
                <w:sz w:val="24"/>
              </w:rPr>
              <w:t xml:space="preserve"> s </w:t>
            </w:r>
            <w:r w:rsidRPr="00EC7FC4">
              <w:rPr>
                <w:rFonts w:ascii="Times New Roman" w:hAnsi="Times New Roman"/>
                <w:sz w:val="24"/>
              </w:rPr>
              <w:t>predpismi</w:t>
            </w:r>
            <w:r w:rsidR="00EC7FC4">
              <w:rPr>
                <w:rFonts w:ascii="Times New Roman" w:hAnsi="Times New Roman"/>
                <w:sz w:val="24"/>
              </w:rPr>
              <w:t xml:space="preserve"> a </w:t>
            </w:r>
            <w:r w:rsidRPr="00EC7FC4">
              <w:rPr>
                <w:rFonts w:ascii="Times New Roman" w:hAnsi="Times New Roman"/>
                <w:sz w:val="24"/>
              </w:rPr>
              <w:t>interného auditu,</w:t>
            </w:r>
          </w:p>
          <w:p w14:paraId="4277173D" w14:textId="66FAA471" w:rsidR="00A040D0" w:rsidRPr="00EC7FC4" w:rsidRDefault="00A040D0" w:rsidP="00A040D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FC4">
              <w:rPr>
                <w:rFonts w:ascii="Times New Roman" w:hAnsi="Times New Roman"/>
                <w:sz w:val="24"/>
              </w:rPr>
              <w:t>kanály na komunikáciu, odmietnutie</w:t>
            </w:r>
            <w:r w:rsidR="00EC7FC4">
              <w:rPr>
                <w:rFonts w:ascii="Times New Roman" w:hAnsi="Times New Roman"/>
                <w:sz w:val="24"/>
              </w:rPr>
              <w:t xml:space="preserve"> a </w:t>
            </w:r>
            <w:r w:rsidRPr="00EC7FC4">
              <w:rPr>
                <w:rFonts w:ascii="Times New Roman" w:hAnsi="Times New Roman"/>
                <w:sz w:val="24"/>
              </w:rPr>
              <w:t>presadzovanie kultúry rizík</w:t>
            </w:r>
            <w:r w:rsidR="00EC7FC4">
              <w:rPr>
                <w:rFonts w:ascii="Times New Roman" w:hAnsi="Times New Roman"/>
                <w:sz w:val="24"/>
              </w:rPr>
              <w:t xml:space="preserve"> v </w:t>
            </w:r>
            <w:r w:rsidRPr="00EC7FC4">
              <w:rPr>
                <w:rFonts w:ascii="Times New Roman" w:hAnsi="Times New Roman"/>
                <w:sz w:val="24"/>
              </w:rPr>
              <w:t>rámci inštitúcie (napríklad či existujú kódexy správania, príručky obsahujúce prevádzkové obmedzenia alebo postupy na nápravu porušení alebo nedodržania rizikových prahových hodnôt alebo postupy na informovanie</w:t>
            </w:r>
            <w:r w:rsidR="00EC7FC4">
              <w:rPr>
                <w:rFonts w:ascii="Times New Roman" w:hAnsi="Times New Roman"/>
                <w:sz w:val="24"/>
              </w:rPr>
              <w:t xml:space="preserve"> o </w:t>
            </w:r>
            <w:r w:rsidRPr="00EC7FC4">
              <w:rPr>
                <w:rFonts w:ascii="Times New Roman" w:hAnsi="Times New Roman"/>
                <w:sz w:val="24"/>
              </w:rPr>
              <w:t>otázkach týkajúcich sa rizík medzi obchodnými líniami</w:t>
            </w:r>
            <w:r w:rsidR="00EC7FC4">
              <w:rPr>
                <w:rFonts w:ascii="Times New Roman" w:hAnsi="Times New Roman"/>
                <w:sz w:val="24"/>
              </w:rPr>
              <w:t xml:space="preserve"> a </w:t>
            </w:r>
            <w:r w:rsidRPr="00EC7FC4">
              <w:rPr>
                <w:rFonts w:ascii="Times New Roman" w:hAnsi="Times New Roman"/>
                <w:sz w:val="24"/>
              </w:rPr>
              <w:t>funkciami riadenia rizík</w:t>
            </w:r>
            <w:r w:rsidR="00EC7FC4">
              <w:rPr>
                <w:rFonts w:ascii="Times New Roman" w:hAnsi="Times New Roman"/>
                <w:sz w:val="24"/>
              </w:rPr>
              <w:t xml:space="preserve"> a </w:t>
            </w:r>
            <w:r w:rsidRPr="00EC7FC4">
              <w:rPr>
                <w:rFonts w:ascii="Times New Roman" w:hAnsi="Times New Roman"/>
                <w:sz w:val="24"/>
              </w:rPr>
              <w:t>na ich rozdelenie).</w:t>
            </w:r>
          </w:p>
        </w:tc>
      </w:tr>
      <w:tr w:rsidR="00A040D0" w:rsidRPr="00EC7FC4" w14:paraId="2B280C9F" w14:textId="77777777" w:rsidTr="00D819DE">
        <w:trPr>
          <w:trHeight w:val="316"/>
        </w:trPr>
        <w:tc>
          <w:tcPr>
            <w:tcW w:w="1384" w:type="dxa"/>
          </w:tcPr>
          <w:p w14:paraId="77CD429A" w14:textId="77777777" w:rsidR="00A040D0" w:rsidRPr="00EC7FC4" w:rsidRDefault="00A040D0" w:rsidP="00D819D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EC7FC4">
              <w:rPr>
                <w:rFonts w:ascii="Times New Roman" w:hAnsi="Times New Roman"/>
                <w:sz w:val="24"/>
              </w:rPr>
              <w:lastRenderedPageBreak/>
              <w:t>c)</w:t>
            </w:r>
          </w:p>
        </w:tc>
        <w:tc>
          <w:tcPr>
            <w:tcW w:w="7655" w:type="dxa"/>
          </w:tcPr>
          <w:p w14:paraId="188115A5" w14:textId="77644601" w:rsidR="00A040D0" w:rsidRPr="00EC7FC4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C7FC4">
              <w:rPr>
                <w:rFonts w:ascii="Times New Roman" w:hAnsi="Times New Roman"/>
                <w:sz w:val="24"/>
              </w:rPr>
              <w:t>Vyhlásenie</w:t>
            </w:r>
            <w:r w:rsidR="00EC7FC4">
              <w:rPr>
                <w:rFonts w:ascii="Times New Roman" w:hAnsi="Times New Roman"/>
                <w:sz w:val="24"/>
              </w:rPr>
              <w:t xml:space="preserve"> o </w:t>
            </w:r>
            <w:r w:rsidRPr="00EC7FC4">
              <w:rPr>
                <w:rFonts w:ascii="Times New Roman" w:hAnsi="Times New Roman"/>
                <w:sz w:val="24"/>
              </w:rPr>
              <w:t>primeranosti opatrení riadenia rizík, ktoré inštitúcie zverejňujú</w:t>
            </w:r>
            <w:r w:rsidR="00EC7FC4">
              <w:rPr>
                <w:rFonts w:ascii="Times New Roman" w:hAnsi="Times New Roman"/>
                <w:sz w:val="24"/>
              </w:rPr>
              <w:t xml:space="preserve"> v </w:t>
            </w:r>
            <w:r w:rsidRPr="00EC7FC4">
              <w:rPr>
                <w:rFonts w:ascii="Times New Roman" w:hAnsi="Times New Roman"/>
                <w:sz w:val="24"/>
              </w:rPr>
              <w:t>súlade</w:t>
            </w:r>
            <w:r w:rsidR="00EC7FC4">
              <w:rPr>
                <w:rFonts w:ascii="Times New Roman" w:hAnsi="Times New Roman"/>
                <w:sz w:val="24"/>
              </w:rPr>
              <w:t xml:space="preserve"> s </w:t>
            </w:r>
            <w:r w:rsidRPr="00EC7FC4">
              <w:rPr>
                <w:rFonts w:ascii="Times New Roman" w:hAnsi="Times New Roman"/>
                <w:sz w:val="24"/>
              </w:rPr>
              <w:t>článkom 435 ods. 1 písm. e) CRR, musí byť schválené riadiacim orgánom</w:t>
            </w:r>
            <w:r w:rsidR="00EC7FC4">
              <w:rPr>
                <w:rFonts w:ascii="Times New Roman" w:hAnsi="Times New Roman"/>
                <w:sz w:val="24"/>
              </w:rPr>
              <w:t xml:space="preserve"> a </w:t>
            </w:r>
            <w:r w:rsidRPr="00EC7FC4">
              <w:rPr>
                <w:rFonts w:ascii="Times New Roman" w:hAnsi="Times New Roman"/>
                <w:sz w:val="24"/>
              </w:rPr>
              <w:t>musí poskytovať ubezpečenie, že zavedené systémy riadenia rizík sú primerané vzhľadom na rizikový profil inštitúcie</w:t>
            </w:r>
            <w:r w:rsidR="00EC7FC4">
              <w:rPr>
                <w:rFonts w:ascii="Times New Roman" w:hAnsi="Times New Roman"/>
                <w:sz w:val="24"/>
              </w:rPr>
              <w:t xml:space="preserve"> a </w:t>
            </w:r>
            <w:r w:rsidRPr="00EC7FC4">
              <w:rPr>
                <w:rFonts w:ascii="Times New Roman" w:hAnsi="Times New Roman"/>
                <w:sz w:val="24"/>
              </w:rPr>
              <w:t>jej stratégiu.</w:t>
            </w:r>
          </w:p>
        </w:tc>
      </w:tr>
      <w:tr w:rsidR="00A040D0" w:rsidRPr="00EC7FC4" w14:paraId="104296D4" w14:textId="77777777" w:rsidTr="00D819DE">
        <w:trPr>
          <w:trHeight w:val="316"/>
        </w:trPr>
        <w:tc>
          <w:tcPr>
            <w:tcW w:w="1384" w:type="dxa"/>
          </w:tcPr>
          <w:p w14:paraId="3A78F3A6" w14:textId="77777777" w:rsidR="00A040D0" w:rsidRPr="00EC7FC4" w:rsidRDefault="00A040D0" w:rsidP="00D819D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EC7FC4">
              <w:rPr>
                <w:rFonts w:ascii="Times New Roman" w:hAnsi="Times New Roman"/>
                <w:sz w:val="24"/>
              </w:rPr>
              <w:t>d)</w:t>
            </w:r>
          </w:p>
        </w:tc>
        <w:tc>
          <w:tcPr>
            <w:tcW w:w="7655" w:type="dxa"/>
          </w:tcPr>
          <w:p w14:paraId="4D27F082" w14:textId="26BD243A" w:rsidR="00A040D0" w:rsidRPr="00EC7FC4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C7FC4">
              <w:rPr>
                <w:rFonts w:ascii="Times New Roman" w:hAnsi="Times New Roman"/>
                <w:sz w:val="24"/>
              </w:rPr>
              <w:t>V rámci zverejňovania informácií požadovaných</w:t>
            </w:r>
            <w:r w:rsidR="00EC7FC4">
              <w:rPr>
                <w:rFonts w:ascii="Times New Roman" w:hAnsi="Times New Roman"/>
                <w:sz w:val="24"/>
              </w:rPr>
              <w:t xml:space="preserve"> v </w:t>
            </w:r>
            <w:r w:rsidRPr="00EC7FC4">
              <w:rPr>
                <w:rFonts w:ascii="Times New Roman" w:hAnsi="Times New Roman"/>
                <w:sz w:val="24"/>
              </w:rPr>
              <w:t>článku 435 ods. 1 písm. c) CRR inštitúcie zverejňujú rozsah</w:t>
            </w:r>
            <w:r w:rsidR="00EC7FC4">
              <w:rPr>
                <w:rFonts w:ascii="Times New Roman" w:hAnsi="Times New Roman"/>
                <w:sz w:val="24"/>
              </w:rPr>
              <w:t xml:space="preserve"> a </w:t>
            </w:r>
            <w:r w:rsidRPr="00EC7FC4">
              <w:rPr>
                <w:rFonts w:ascii="Times New Roman" w:hAnsi="Times New Roman"/>
                <w:sz w:val="24"/>
              </w:rPr>
              <w:t>charakter systémov vykazovania a/alebo merania rizík</w:t>
            </w:r>
            <w:r w:rsidR="00EC7FC4">
              <w:rPr>
                <w:rFonts w:ascii="Times New Roman" w:hAnsi="Times New Roman"/>
                <w:sz w:val="24"/>
              </w:rPr>
              <w:t xml:space="preserve"> a </w:t>
            </w:r>
            <w:r w:rsidRPr="00EC7FC4">
              <w:rPr>
                <w:rFonts w:ascii="Times New Roman" w:hAnsi="Times New Roman"/>
                <w:sz w:val="24"/>
              </w:rPr>
              <w:t>opis toku informácií</w:t>
            </w:r>
            <w:r w:rsidR="00EC7FC4">
              <w:rPr>
                <w:rFonts w:ascii="Times New Roman" w:hAnsi="Times New Roman"/>
                <w:sz w:val="24"/>
              </w:rPr>
              <w:t xml:space="preserve"> o </w:t>
            </w:r>
            <w:r w:rsidRPr="00EC7FC4">
              <w:rPr>
                <w:rFonts w:ascii="Times New Roman" w:hAnsi="Times New Roman"/>
                <w:sz w:val="24"/>
              </w:rPr>
              <w:t>riziku pre riadiaci orgán</w:t>
            </w:r>
            <w:r w:rsidR="00EC7FC4">
              <w:rPr>
                <w:rFonts w:ascii="Times New Roman" w:hAnsi="Times New Roman"/>
                <w:sz w:val="24"/>
              </w:rPr>
              <w:t xml:space="preserve"> a </w:t>
            </w:r>
            <w:r w:rsidRPr="00EC7FC4">
              <w:rPr>
                <w:rFonts w:ascii="Times New Roman" w:hAnsi="Times New Roman"/>
                <w:sz w:val="24"/>
              </w:rPr>
              <w:t xml:space="preserve">vrcholový manažment. </w:t>
            </w:r>
          </w:p>
        </w:tc>
      </w:tr>
      <w:tr w:rsidR="00A040D0" w:rsidRPr="00EC7FC4" w14:paraId="26185CFD" w14:textId="77777777" w:rsidTr="00D819DE">
        <w:trPr>
          <w:trHeight w:val="316"/>
        </w:trPr>
        <w:tc>
          <w:tcPr>
            <w:tcW w:w="1384" w:type="dxa"/>
          </w:tcPr>
          <w:p w14:paraId="65A0F032" w14:textId="77777777" w:rsidR="00A040D0" w:rsidRPr="00EC7FC4" w:rsidRDefault="00A040D0" w:rsidP="00D819D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EC7FC4">
              <w:rPr>
                <w:rFonts w:ascii="Times New Roman" w:hAnsi="Times New Roman"/>
                <w:sz w:val="24"/>
              </w:rPr>
              <w:t>e)</w:t>
            </w:r>
          </w:p>
        </w:tc>
        <w:tc>
          <w:tcPr>
            <w:tcW w:w="7655" w:type="dxa"/>
          </w:tcPr>
          <w:p w14:paraId="6A2B9C4E" w14:textId="7D7E2938" w:rsidR="00A040D0" w:rsidRPr="00EC7FC4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C7FC4">
              <w:rPr>
                <w:rFonts w:ascii="Times New Roman" w:hAnsi="Times New Roman"/>
                <w:sz w:val="24"/>
              </w:rPr>
              <w:t>Pri poskytovaní informácií</w:t>
            </w:r>
            <w:r w:rsidR="00EC7FC4">
              <w:rPr>
                <w:rFonts w:ascii="Times New Roman" w:hAnsi="Times New Roman"/>
                <w:sz w:val="24"/>
              </w:rPr>
              <w:t xml:space="preserve"> o </w:t>
            </w:r>
            <w:r w:rsidRPr="00EC7FC4">
              <w:rPr>
                <w:rFonts w:ascii="Times New Roman" w:hAnsi="Times New Roman"/>
                <w:sz w:val="24"/>
              </w:rPr>
              <w:t>hlavných vlastnostiach systémov zverejňovania</w:t>
            </w:r>
            <w:r w:rsidR="00EC7FC4">
              <w:rPr>
                <w:rFonts w:ascii="Times New Roman" w:hAnsi="Times New Roman"/>
                <w:sz w:val="24"/>
              </w:rPr>
              <w:t xml:space="preserve"> a </w:t>
            </w:r>
            <w:r w:rsidRPr="00EC7FC4">
              <w:rPr>
                <w:rFonts w:ascii="Times New Roman" w:hAnsi="Times New Roman"/>
                <w:sz w:val="24"/>
              </w:rPr>
              <w:t>merania rizík pri uplatňovaní článku 435 ods. 1 písm. c) CRR inštitúcie zverejňujú svoje politiky týkajúce sa systematických</w:t>
            </w:r>
            <w:r w:rsidR="00EC7FC4">
              <w:rPr>
                <w:rFonts w:ascii="Times New Roman" w:hAnsi="Times New Roman"/>
                <w:sz w:val="24"/>
              </w:rPr>
              <w:t xml:space="preserve"> a </w:t>
            </w:r>
            <w:r w:rsidRPr="00EC7FC4">
              <w:rPr>
                <w:rFonts w:ascii="Times New Roman" w:hAnsi="Times New Roman"/>
                <w:sz w:val="24"/>
              </w:rPr>
              <w:t>pravidelných preskúmaní stratégií riadenia rizík</w:t>
            </w:r>
            <w:r w:rsidR="00EC7FC4">
              <w:rPr>
                <w:rFonts w:ascii="Times New Roman" w:hAnsi="Times New Roman"/>
                <w:sz w:val="24"/>
              </w:rPr>
              <w:t xml:space="preserve"> a </w:t>
            </w:r>
            <w:r w:rsidRPr="00EC7FC4">
              <w:rPr>
                <w:rFonts w:ascii="Times New Roman" w:hAnsi="Times New Roman"/>
                <w:sz w:val="24"/>
              </w:rPr>
              <w:t xml:space="preserve">pravidelného posudzovania ich účinnosti. </w:t>
            </w:r>
          </w:p>
        </w:tc>
      </w:tr>
      <w:tr w:rsidR="00A040D0" w:rsidRPr="00EC7FC4" w14:paraId="6E7ABB82" w14:textId="77777777" w:rsidTr="00D819DE">
        <w:trPr>
          <w:trHeight w:val="316"/>
        </w:trPr>
        <w:tc>
          <w:tcPr>
            <w:tcW w:w="1384" w:type="dxa"/>
          </w:tcPr>
          <w:p w14:paraId="0FB42B08" w14:textId="77777777" w:rsidR="00A040D0" w:rsidRPr="00EC7FC4" w:rsidRDefault="00A040D0" w:rsidP="00D819D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EC7FC4">
              <w:rPr>
                <w:rFonts w:ascii="Times New Roman" w:hAnsi="Times New Roman"/>
                <w:sz w:val="24"/>
              </w:rPr>
              <w:t>f)</w:t>
            </w:r>
          </w:p>
        </w:tc>
        <w:tc>
          <w:tcPr>
            <w:tcW w:w="7655" w:type="dxa"/>
          </w:tcPr>
          <w:p w14:paraId="0DE39293" w14:textId="62B84170" w:rsidR="00A040D0" w:rsidRPr="00EC7FC4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C7FC4">
              <w:rPr>
                <w:rFonts w:ascii="Times New Roman" w:hAnsi="Times New Roman"/>
                <w:sz w:val="24"/>
              </w:rPr>
              <w:t>Zverejňovanie stratégii</w:t>
            </w:r>
            <w:r w:rsidR="00EC7FC4">
              <w:rPr>
                <w:rFonts w:ascii="Times New Roman" w:hAnsi="Times New Roman"/>
                <w:sz w:val="24"/>
              </w:rPr>
              <w:t xml:space="preserve"> a </w:t>
            </w:r>
            <w:r w:rsidRPr="00EC7FC4">
              <w:rPr>
                <w:rFonts w:ascii="Times New Roman" w:hAnsi="Times New Roman"/>
                <w:sz w:val="24"/>
              </w:rPr>
              <w:t>postupov riadenia rizík pri uplatňovaní článku 435 ods. 1 písm. a) CRR musí zahŕňať kvalitatívne informácie</w:t>
            </w:r>
            <w:r w:rsidR="00EC7FC4">
              <w:rPr>
                <w:rFonts w:ascii="Times New Roman" w:hAnsi="Times New Roman"/>
                <w:sz w:val="24"/>
              </w:rPr>
              <w:t xml:space="preserve"> o </w:t>
            </w:r>
            <w:r w:rsidRPr="00EC7FC4">
              <w:rPr>
                <w:rFonts w:ascii="Times New Roman" w:hAnsi="Times New Roman"/>
                <w:sz w:val="24"/>
              </w:rPr>
              <w:t>stresovom testovaní, ako napríklad</w:t>
            </w:r>
            <w:r w:rsidR="00EC7FC4">
              <w:rPr>
                <w:rFonts w:ascii="Times New Roman" w:hAnsi="Times New Roman"/>
                <w:sz w:val="24"/>
              </w:rPr>
              <w:t xml:space="preserve"> o </w:t>
            </w:r>
            <w:r w:rsidRPr="00EC7FC4">
              <w:rPr>
                <w:rFonts w:ascii="Times New Roman" w:hAnsi="Times New Roman"/>
                <w:sz w:val="24"/>
              </w:rPr>
              <w:t>portfóliách podrobených stresovému testovaniu,</w:t>
            </w:r>
            <w:r w:rsidR="00EC7FC4">
              <w:rPr>
                <w:rFonts w:ascii="Times New Roman" w:hAnsi="Times New Roman"/>
                <w:sz w:val="24"/>
              </w:rPr>
              <w:t xml:space="preserve"> o </w:t>
            </w:r>
            <w:r w:rsidRPr="00EC7FC4">
              <w:rPr>
                <w:rFonts w:ascii="Times New Roman" w:hAnsi="Times New Roman"/>
                <w:sz w:val="24"/>
              </w:rPr>
              <w:t>prijatých scenároch</w:t>
            </w:r>
            <w:r w:rsidR="00EC7FC4">
              <w:rPr>
                <w:rFonts w:ascii="Times New Roman" w:hAnsi="Times New Roman"/>
                <w:sz w:val="24"/>
              </w:rPr>
              <w:t xml:space="preserve"> a </w:t>
            </w:r>
            <w:r w:rsidRPr="00EC7FC4">
              <w:rPr>
                <w:rFonts w:ascii="Times New Roman" w:hAnsi="Times New Roman"/>
                <w:sz w:val="24"/>
              </w:rPr>
              <w:t>používaných metodikách, ako aj</w:t>
            </w:r>
            <w:r w:rsidR="00EC7FC4">
              <w:rPr>
                <w:rFonts w:ascii="Times New Roman" w:hAnsi="Times New Roman"/>
                <w:sz w:val="24"/>
              </w:rPr>
              <w:t xml:space="preserve"> o </w:t>
            </w:r>
            <w:r w:rsidRPr="00EC7FC4">
              <w:rPr>
                <w:rFonts w:ascii="Times New Roman" w:hAnsi="Times New Roman"/>
                <w:sz w:val="24"/>
              </w:rPr>
              <w:t xml:space="preserve">využívaní stresového testovania pri riadení rizík. </w:t>
            </w:r>
          </w:p>
        </w:tc>
      </w:tr>
      <w:tr w:rsidR="00A040D0" w:rsidRPr="00EC7FC4" w14:paraId="1D959299" w14:textId="77777777" w:rsidTr="00D819DE">
        <w:trPr>
          <w:trHeight w:val="316"/>
        </w:trPr>
        <w:tc>
          <w:tcPr>
            <w:tcW w:w="1384" w:type="dxa"/>
          </w:tcPr>
          <w:p w14:paraId="75786D93" w14:textId="77777777" w:rsidR="00A040D0" w:rsidRPr="00EC7FC4" w:rsidRDefault="00A040D0" w:rsidP="00D819D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EC7FC4">
              <w:rPr>
                <w:rFonts w:ascii="Times New Roman" w:hAnsi="Times New Roman"/>
                <w:sz w:val="24"/>
              </w:rPr>
              <w:t>g)</w:t>
            </w:r>
          </w:p>
        </w:tc>
        <w:tc>
          <w:tcPr>
            <w:tcW w:w="7655" w:type="dxa"/>
          </w:tcPr>
          <w:p w14:paraId="28108A47" w14:textId="6B05A8D5" w:rsidR="00A040D0" w:rsidRPr="00EC7FC4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C7FC4">
              <w:rPr>
                <w:rFonts w:ascii="Times New Roman" w:hAnsi="Times New Roman"/>
                <w:sz w:val="24"/>
              </w:rPr>
              <w:t>Inštitúcie poskytujú informácie</w:t>
            </w:r>
            <w:r w:rsidR="00EC7FC4">
              <w:rPr>
                <w:rFonts w:ascii="Times New Roman" w:hAnsi="Times New Roman"/>
                <w:sz w:val="24"/>
              </w:rPr>
              <w:t xml:space="preserve"> o </w:t>
            </w:r>
            <w:r w:rsidRPr="00EC7FC4">
              <w:rPr>
                <w:rFonts w:ascii="Times New Roman" w:hAnsi="Times New Roman"/>
                <w:sz w:val="24"/>
              </w:rPr>
              <w:t>stratégiách</w:t>
            </w:r>
            <w:r w:rsidR="00EC7FC4">
              <w:rPr>
                <w:rFonts w:ascii="Times New Roman" w:hAnsi="Times New Roman"/>
                <w:sz w:val="24"/>
              </w:rPr>
              <w:t xml:space="preserve"> a </w:t>
            </w:r>
            <w:r w:rsidRPr="00EC7FC4">
              <w:rPr>
                <w:rFonts w:ascii="Times New Roman" w:hAnsi="Times New Roman"/>
                <w:sz w:val="24"/>
              </w:rPr>
              <w:t xml:space="preserve">postupoch riadenia, </w:t>
            </w:r>
            <w:proofErr w:type="spellStart"/>
            <w:r w:rsidRPr="00EC7FC4">
              <w:rPr>
                <w:rFonts w:ascii="Times New Roman" w:hAnsi="Times New Roman"/>
                <w:sz w:val="24"/>
              </w:rPr>
              <w:t>hedžingu</w:t>
            </w:r>
            <w:proofErr w:type="spellEnd"/>
            <w:r w:rsidR="00EC7FC4">
              <w:rPr>
                <w:rFonts w:ascii="Times New Roman" w:hAnsi="Times New Roman"/>
                <w:sz w:val="24"/>
              </w:rPr>
              <w:t xml:space="preserve"> a </w:t>
            </w:r>
            <w:r w:rsidRPr="00EC7FC4">
              <w:rPr>
                <w:rFonts w:ascii="Times New Roman" w:hAnsi="Times New Roman"/>
                <w:sz w:val="24"/>
              </w:rPr>
              <w:t>zmierňovania rizík, ako aj</w:t>
            </w:r>
            <w:r w:rsidR="00EC7FC4">
              <w:rPr>
                <w:rFonts w:ascii="Times New Roman" w:hAnsi="Times New Roman"/>
                <w:sz w:val="24"/>
              </w:rPr>
              <w:t xml:space="preserve"> o </w:t>
            </w:r>
            <w:r w:rsidRPr="00EC7FC4">
              <w:rPr>
                <w:rFonts w:ascii="Times New Roman" w:hAnsi="Times New Roman"/>
                <w:sz w:val="24"/>
              </w:rPr>
              <w:t xml:space="preserve">monitorovaní účinnosti </w:t>
            </w:r>
            <w:proofErr w:type="spellStart"/>
            <w:r w:rsidRPr="00EC7FC4">
              <w:rPr>
                <w:rFonts w:ascii="Times New Roman" w:hAnsi="Times New Roman"/>
                <w:sz w:val="24"/>
              </w:rPr>
              <w:t>hedžingu</w:t>
            </w:r>
            <w:proofErr w:type="spellEnd"/>
            <w:r w:rsidR="00EC7FC4">
              <w:rPr>
                <w:rFonts w:ascii="Times New Roman" w:hAnsi="Times New Roman"/>
                <w:sz w:val="24"/>
              </w:rPr>
              <w:t xml:space="preserve"> a </w:t>
            </w:r>
            <w:r w:rsidRPr="00EC7FC4">
              <w:rPr>
                <w:rFonts w:ascii="Times New Roman" w:hAnsi="Times New Roman"/>
                <w:sz w:val="24"/>
              </w:rPr>
              <w:t>zmierňovania rizika</w:t>
            </w:r>
            <w:r w:rsidR="00EC7FC4">
              <w:rPr>
                <w:rFonts w:ascii="Times New Roman" w:hAnsi="Times New Roman"/>
                <w:sz w:val="24"/>
              </w:rPr>
              <w:t xml:space="preserve"> v </w:t>
            </w:r>
            <w:r w:rsidRPr="00EC7FC4">
              <w:rPr>
                <w:rFonts w:ascii="Times New Roman" w:hAnsi="Times New Roman"/>
                <w:sz w:val="24"/>
              </w:rPr>
              <w:t>súlade</w:t>
            </w:r>
            <w:r w:rsidR="00EC7FC4">
              <w:rPr>
                <w:rFonts w:ascii="Times New Roman" w:hAnsi="Times New Roman"/>
                <w:sz w:val="24"/>
              </w:rPr>
              <w:t xml:space="preserve"> s </w:t>
            </w:r>
            <w:r w:rsidRPr="00EC7FC4">
              <w:rPr>
                <w:rFonts w:ascii="Times New Roman" w:hAnsi="Times New Roman"/>
                <w:sz w:val="24"/>
              </w:rPr>
              <w:t>článkom 435 ods. 1 písm. a)</w:t>
            </w:r>
            <w:r w:rsidR="00EC7FC4">
              <w:rPr>
                <w:rFonts w:ascii="Times New Roman" w:hAnsi="Times New Roman"/>
                <w:sz w:val="24"/>
              </w:rPr>
              <w:t xml:space="preserve"> a </w:t>
            </w:r>
            <w:r w:rsidRPr="00EC7FC4">
              <w:rPr>
                <w:rFonts w:ascii="Times New Roman" w:hAnsi="Times New Roman"/>
                <w:sz w:val="24"/>
              </w:rPr>
              <w:t>d) CRR</w:t>
            </w:r>
            <w:r w:rsidR="00EC7FC4">
              <w:rPr>
                <w:rFonts w:ascii="Times New Roman" w:hAnsi="Times New Roman"/>
                <w:sz w:val="24"/>
              </w:rPr>
              <w:t xml:space="preserve"> v </w:t>
            </w:r>
            <w:r w:rsidRPr="00EC7FC4">
              <w:rPr>
                <w:rFonts w:ascii="Times New Roman" w:hAnsi="Times New Roman"/>
                <w:sz w:val="24"/>
              </w:rPr>
              <w:t>prípade rizík, ktoré vyplývajú</w:t>
            </w:r>
            <w:r w:rsidR="00EC7FC4">
              <w:rPr>
                <w:rFonts w:ascii="Times New Roman" w:hAnsi="Times New Roman"/>
                <w:sz w:val="24"/>
              </w:rPr>
              <w:t xml:space="preserve"> z </w:t>
            </w:r>
            <w:r w:rsidRPr="00EC7FC4">
              <w:rPr>
                <w:rFonts w:ascii="Times New Roman" w:hAnsi="Times New Roman"/>
                <w:sz w:val="24"/>
              </w:rPr>
              <w:t xml:space="preserve">obchodného modelu inštitúcií. </w:t>
            </w:r>
          </w:p>
        </w:tc>
      </w:tr>
    </w:tbl>
    <w:p w14:paraId="0E25B208" w14:textId="77777777" w:rsidR="00A040D0" w:rsidRPr="00EC7FC4" w:rsidRDefault="00A040D0" w:rsidP="00A040D0">
      <w:pPr>
        <w:rPr>
          <w:rFonts w:ascii="Times New Roman" w:hAnsi="Times New Roman" w:cs="Times New Roman"/>
          <w:b/>
          <w:sz w:val="24"/>
        </w:rPr>
      </w:pPr>
    </w:p>
    <w:p w14:paraId="572B8418" w14:textId="155BFA19" w:rsidR="00A040D0" w:rsidRPr="00EC7FC4" w:rsidRDefault="00A040D0" w:rsidP="00A040D0">
      <w:pPr>
        <w:rPr>
          <w:rFonts w:ascii="Times New Roman" w:hAnsi="Times New Roman" w:cs="Times New Roman"/>
          <w:sz w:val="24"/>
        </w:rPr>
      </w:pPr>
      <w:r w:rsidRPr="00EC7FC4">
        <w:rPr>
          <w:rFonts w:ascii="Times New Roman" w:hAnsi="Times New Roman"/>
          <w:b/>
          <w:sz w:val="24"/>
        </w:rPr>
        <w:t xml:space="preserve">Tabuľka EU OVB – Zverejňovanie mechanizmov riadenia: </w:t>
      </w:r>
      <w:r w:rsidRPr="00EC7FC4">
        <w:rPr>
          <w:rFonts w:ascii="Times New Roman" w:hAnsi="Times New Roman"/>
          <w:sz w:val="24"/>
        </w:rPr>
        <w:t>Textové polia</w:t>
      </w:r>
      <w:r w:rsidR="00EC7FC4">
        <w:rPr>
          <w:rFonts w:ascii="Times New Roman" w:hAnsi="Times New Roman"/>
          <w:sz w:val="24"/>
        </w:rPr>
        <w:t xml:space="preserve"> s </w:t>
      </w:r>
      <w:r w:rsidRPr="00EC7FC4">
        <w:rPr>
          <w:rFonts w:ascii="Times New Roman" w:hAnsi="Times New Roman"/>
          <w:sz w:val="24"/>
        </w:rPr>
        <w:t>ľubovoľným formátom na zverejňovanie kvalitatívnych informácií.</w:t>
      </w:r>
    </w:p>
    <w:p w14:paraId="3B77667C" w14:textId="6F926702" w:rsidR="00A040D0" w:rsidRPr="00EC7FC4" w:rsidRDefault="00A040D0" w:rsidP="00A040D0">
      <w:pPr>
        <w:pStyle w:val="ListParagraph"/>
        <w:numPr>
          <w:ilvl w:val="0"/>
          <w:numId w:val="2"/>
        </w:numPr>
        <w:spacing w:before="120" w:after="120"/>
        <w:ind w:left="426"/>
        <w:jc w:val="both"/>
        <w:rPr>
          <w:rFonts w:ascii="Times New Roman" w:hAnsi="Times New Roman"/>
          <w:sz w:val="24"/>
        </w:rPr>
      </w:pPr>
      <w:r w:rsidRPr="00EC7FC4">
        <w:rPr>
          <w:rFonts w:ascii="Times New Roman" w:hAnsi="Times New Roman"/>
          <w:sz w:val="24"/>
        </w:rPr>
        <w:t>Inštitúcie zverejňujú informácie uvedené</w:t>
      </w:r>
      <w:r w:rsidR="00EC7FC4">
        <w:rPr>
          <w:rFonts w:ascii="Times New Roman" w:hAnsi="Times New Roman"/>
          <w:sz w:val="24"/>
        </w:rPr>
        <w:t xml:space="preserve"> v </w:t>
      </w:r>
      <w:r w:rsidRPr="00EC7FC4">
        <w:rPr>
          <w:rFonts w:ascii="Times New Roman" w:hAnsi="Times New Roman"/>
          <w:sz w:val="24"/>
        </w:rPr>
        <w:t>článku 435 ods. 2 CRR podľa pokynov uvedených nižšie</w:t>
      </w:r>
      <w:r w:rsidR="00EC7FC4">
        <w:rPr>
          <w:rFonts w:ascii="Times New Roman" w:hAnsi="Times New Roman"/>
          <w:sz w:val="24"/>
        </w:rPr>
        <w:t xml:space="preserve"> v </w:t>
      </w:r>
      <w:r w:rsidRPr="00EC7FC4">
        <w:rPr>
          <w:rFonts w:ascii="Times New Roman" w:hAnsi="Times New Roman"/>
          <w:sz w:val="24"/>
        </w:rPr>
        <w:t>tejto prílohe</w:t>
      </w:r>
      <w:r w:rsidR="00EC7FC4">
        <w:rPr>
          <w:rFonts w:ascii="Times New Roman" w:hAnsi="Times New Roman"/>
          <w:sz w:val="24"/>
        </w:rPr>
        <w:t xml:space="preserve"> s </w:t>
      </w:r>
      <w:r w:rsidRPr="00EC7FC4">
        <w:rPr>
          <w:rFonts w:ascii="Times New Roman" w:hAnsi="Times New Roman"/>
          <w:sz w:val="24"/>
        </w:rPr>
        <w:t>cieľom vyplniť tabuľku EU OVB, ktorá je uvedená</w:t>
      </w:r>
      <w:r w:rsidR="00EC7FC4">
        <w:rPr>
          <w:rFonts w:ascii="Times New Roman" w:hAnsi="Times New Roman"/>
          <w:sz w:val="24"/>
        </w:rPr>
        <w:t xml:space="preserve"> v </w:t>
      </w:r>
      <w:r w:rsidRPr="00EC7FC4">
        <w:rPr>
          <w:rFonts w:ascii="Times New Roman" w:hAnsi="Times New Roman"/>
          <w:sz w:val="24"/>
        </w:rPr>
        <w:t>prílohe III</w:t>
      </w:r>
      <w:r w:rsidR="00EC7FC4">
        <w:rPr>
          <w:rFonts w:ascii="Times New Roman" w:hAnsi="Times New Roman"/>
          <w:sz w:val="24"/>
        </w:rPr>
        <w:t xml:space="preserve"> k </w:t>
      </w:r>
      <w:r w:rsidRPr="00EC7FC4">
        <w:rPr>
          <w:rFonts w:ascii="Times New Roman" w:hAnsi="Times New Roman"/>
          <w:sz w:val="24"/>
        </w:rPr>
        <w:t>tomuto vykonávaciemu nariadeniu.</w:t>
      </w:r>
    </w:p>
    <w:p w14:paraId="6EA36DBF" w14:textId="77777777" w:rsidR="00A040D0" w:rsidRPr="00EC7FC4" w:rsidRDefault="00A040D0" w:rsidP="00A040D0">
      <w:pPr>
        <w:rPr>
          <w:rFonts w:ascii="Times New Roman" w:hAnsi="Times New Roman" w:cs="Times New Roman"/>
          <w:sz w:val="24"/>
        </w:rPr>
      </w:pPr>
    </w:p>
    <w:p w14:paraId="0EB63C44" w14:textId="77777777" w:rsidR="00A040D0" w:rsidRPr="00EC7FC4" w:rsidRDefault="00A040D0" w:rsidP="00A040D0">
      <w:pPr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A040D0" w:rsidRPr="00EC7FC4" w14:paraId="31D1BB13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32A432" w14:textId="30317F80" w:rsidR="00A040D0" w:rsidRPr="00EC7FC4" w:rsidRDefault="00A040D0" w:rsidP="00EC7FC4">
            <w:pPr>
              <w:keepNext/>
              <w:keepLines/>
              <w:rPr>
                <w:rFonts w:ascii="Times New Roman" w:hAnsi="Times New Roman" w:cs="Times New Roman"/>
                <w:b/>
                <w:sz w:val="24"/>
              </w:rPr>
            </w:pPr>
            <w:r w:rsidRPr="00EC7FC4">
              <w:rPr>
                <w:rFonts w:ascii="Times New Roman" w:hAnsi="Times New Roman"/>
                <w:b/>
                <w:sz w:val="24"/>
              </w:rPr>
              <w:lastRenderedPageBreak/>
              <w:t>Odkazy na právne predpisy</w:t>
            </w:r>
            <w:r w:rsidR="00EC7FC4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EC7FC4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A040D0" w:rsidRPr="00EC7FC4" w14:paraId="78F9F261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5602A87C" w14:textId="77777777" w:rsidR="00A040D0" w:rsidRPr="00EC7FC4" w:rsidRDefault="00A040D0" w:rsidP="00EC7FC4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EC7FC4">
              <w:rPr>
                <w:rFonts w:ascii="Times New Roman" w:hAnsi="Times New Roman"/>
                <w:b/>
                <w:sz w:val="24"/>
              </w:rPr>
              <w:t>Číslo riadku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F068A71" w14:textId="77777777" w:rsidR="00A040D0" w:rsidRPr="00EC7FC4" w:rsidRDefault="00A040D0" w:rsidP="00EC7FC4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C7FC4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A040D0" w:rsidRPr="00EC7FC4" w14:paraId="64E4F6B1" w14:textId="77777777" w:rsidTr="00D819DE">
        <w:trPr>
          <w:trHeight w:val="316"/>
        </w:trPr>
        <w:tc>
          <w:tcPr>
            <w:tcW w:w="1384" w:type="dxa"/>
          </w:tcPr>
          <w:p w14:paraId="27D47192" w14:textId="77777777" w:rsidR="00A040D0" w:rsidRPr="00EC7FC4" w:rsidRDefault="00A040D0" w:rsidP="00EC7FC4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C7FC4">
              <w:rPr>
                <w:rFonts w:ascii="Times New Roman" w:hAnsi="Times New Roman"/>
                <w:sz w:val="24"/>
              </w:rPr>
              <w:t>a)</w:t>
            </w:r>
          </w:p>
        </w:tc>
        <w:tc>
          <w:tcPr>
            <w:tcW w:w="7655" w:type="dxa"/>
          </w:tcPr>
          <w:p w14:paraId="1C15AB1C" w14:textId="6DD2BF3E" w:rsidR="00A040D0" w:rsidRPr="00EC7FC4" w:rsidRDefault="00A040D0" w:rsidP="00EC7FC4">
            <w:pPr>
              <w:keepNext/>
              <w:keepLines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C7FC4">
              <w:rPr>
                <w:rFonts w:ascii="Times New Roman" w:hAnsi="Times New Roman"/>
                <w:sz w:val="24"/>
              </w:rPr>
              <w:t>Inštitúcie zverejňujú počet riadiacich funkcií zastávaných členmi riadiaceho orgánu</w:t>
            </w:r>
            <w:r w:rsidR="00EC7FC4">
              <w:rPr>
                <w:rFonts w:ascii="Times New Roman" w:hAnsi="Times New Roman"/>
                <w:sz w:val="24"/>
              </w:rPr>
              <w:t xml:space="preserve"> v </w:t>
            </w:r>
            <w:r w:rsidRPr="00EC7FC4">
              <w:rPr>
                <w:rFonts w:ascii="Times New Roman" w:hAnsi="Times New Roman"/>
                <w:sz w:val="24"/>
              </w:rPr>
              <w:t>súlade</w:t>
            </w:r>
            <w:r w:rsidR="00EC7FC4">
              <w:rPr>
                <w:rFonts w:ascii="Times New Roman" w:hAnsi="Times New Roman"/>
                <w:sz w:val="24"/>
              </w:rPr>
              <w:t xml:space="preserve"> s </w:t>
            </w:r>
            <w:r w:rsidRPr="00EC7FC4">
              <w:rPr>
                <w:rFonts w:ascii="Times New Roman" w:hAnsi="Times New Roman"/>
                <w:sz w:val="24"/>
              </w:rPr>
              <w:t>článkom 435 ods. 2 písm. a) CRR. Pri zverejňovaní týchto informácií sa uplatňujú tieto špecifikácie:</w:t>
            </w:r>
          </w:p>
          <w:p w14:paraId="06520613" w14:textId="5778B234" w:rsidR="00A040D0" w:rsidRPr="00EC7FC4" w:rsidRDefault="00A040D0" w:rsidP="00EC7FC4">
            <w:pPr>
              <w:pStyle w:val="ListParagraph"/>
              <w:keepNext/>
              <w:keepLines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FC4">
              <w:rPr>
                <w:rFonts w:ascii="Times New Roman" w:hAnsi="Times New Roman"/>
                <w:sz w:val="24"/>
              </w:rPr>
              <w:t>Inštitúcie, na ktoré sa vzťahuje článok 91 ods. 3</w:t>
            </w:r>
            <w:r w:rsidR="00EC7FC4">
              <w:rPr>
                <w:rFonts w:ascii="Times New Roman" w:hAnsi="Times New Roman"/>
                <w:sz w:val="24"/>
              </w:rPr>
              <w:t xml:space="preserve"> a </w:t>
            </w:r>
            <w:r w:rsidRPr="00EC7FC4">
              <w:rPr>
                <w:rFonts w:ascii="Times New Roman" w:hAnsi="Times New Roman"/>
                <w:sz w:val="24"/>
              </w:rPr>
              <w:t>4 smernice (EÚ) 2013/36</w:t>
            </w:r>
            <w:r w:rsidRPr="00EC7FC4">
              <w:rPr>
                <w:rStyle w:val="FootnoteReference"/>
                <w:rFonts w:eastAsia="Times New Roman"/>
              </w:rPr>
              <w:footnoteReference w:id="2"/>
            </w:r>
            <w:r w:rsidRPr="00EC7FC4">
              <w:rPr>
                <w:rFonts w:ascii="Times New Roman" w:hAnsi="Times New Roman"/>
                <w:sz w:val="24"/>
              </w:rPr>
              <w:t xml:space="preserve"> (CRD), zverejňujú počet riadiacich funkcií podľa tohto článku;</w:t>
            </w:r>
          </w:p>
          <w:p w14:paraId="13BFC386" w14:textId="1864F6A9" w:rsidR="00A040D0" w:rsidRPr="00EC7FC4" w:rsidRDefault="00A040D0" w:rsidP="00EC7FC4">
            <w:pPr>
              <w:pStyle w:val="ListParagraph"/>
              <w:keepNext/>
              <w:keepLines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FC4">
              <w:rPr>
                <w:rFonts w:ascii="Times New Roman" w:hAnsi="Times New Roman"/>
                <w:sz w:val="24"/>
              </w:rPr>
              <w:t>Inštitúcie zverejňujú počet riadiacich funkcií skutočne zastávaných každým členom riadiaceho orgánu (či už ide</w:t>
            </w:r>
            <w:r w:rsidR="00EC7FC4">
              <w:rPr>
                <w:rFonts w:ascii="Times New Roman" w:hAnsi="Times New Roman"/>
                <w:sz w:val="24"/>
              </w:rPr>
              <w:t xml:space="preserve"> o </w:t>
            </w:r>
            <w:r w:rsidRPr="00EC7FC4">
              <w:rPr>
                <w:rFonts w:ascii="Times New Roman" w:hAnsi="Times New Roman"/>
                <w:sz w:val="24"/>
              </w:rPr>
              <w:t>spoločnosť skupiny alebo nie, kvalifikovanú účasť alebo inštitúciu</w:t>
            </w:r>
            <w:r w:rsidR="00EC7FC4">
              <w:rPr>
                <w:rFonts w:ascii="Times New Roman" w:hAnsi="Times New Roman"/>
                <w:sz w:val="24"/>
              </w:rPr>
              <w:t xml:space="preserve"> v </w:t>
            </w:r>
            <w:r w:rsidRPr="00EC7FC4">
              <w:rPr>
                <w:rFonts w:ascii="Times New Roman" w:hAnsi="Times New Roman"/>
                <w:sz w:val="24"/>
              </w:rPr>
              <w:t>rámci tej istej schémy inštitucionálneho zabezpečenia</w:t>
            </w:r>
            <w:r w:rsidR="00EC7FC4">
              <w:rPr>
                <w:rFonts w:ascii="Times New Roman" w:hAnsi="Times New Roman"/>
                <w:sz w:val="24"/>
              </w:rPr>
              <w:t xml:space="preserve"> a </w:t>
            </w:r>
            <w:r w:rsidRPr="00EC7FC4">
              <w:rPr>
                <w:rFonts w:ascii="Times New Roman" w:hAnsi="Times New Roman"/>
                <w:sz w:val="24"/>
              </w:rPr>
              <w:t>či ide</w:t>
            </w:r>
            <w:r w:rsidR="00EC7FC4">
              <w:rPr>
                <w:rFonts w:ascii="Times New Roman" w:hAnsi="Times New Roman"/>
                <w:sz w:val="24"/>
              </w:rPr>
              <w:t xml:space="preserve"> o </w:t>
            </w:r>
            <w:r w:rsidRPr="00EC7FC4">
              <w:rPr>
                <w:rFonts w:ascii="Times New Roman" w:hAnsi="Times New Roman"/>
                <w:sz w:val="24"/>
              </w:rPr>
              <w:t>riadiacu funkciu</w:t>
            </w:r>
            <w:r w:rsidR="00EC7FC4">
              <w:rPr>
                <w:rFonts w:ascii="Times New Roman" w:hAnsi="Times New Roman"/>
                <w:sz w:val="24"/>
              </w:rPr>
              <w:t xml:space="preserve"> s </w:t>
            </w:r>
            <w:r w:rsidRPr="00EC7FC4">
              <w:rPr>
                <w:rFonts w:ascii="Times New Roman" w:hAnsi="Times New Roman"/>
                <w:sz w:val="24"/>
              </w:rPr>
              <w:t>výkonnou právomocou alebo bez nej) bez ohľadu na to, či sa riadiaca funkcia týka subjektu, ktorý sleduje alebo nesleduje obchodný cieľ;</w:t>
            </w:r>
          </w:p>
          <w:p w14:paraId="3EBC9D22" w14:textId="474AC4C5" w:rsidR="00A040D0" w:rsidRPr="00EC7FC4" w:rsidRDefault="00A040D0" w:rsidP="00EC7FC4">
            <w:pPr>
              <w:pStyle w:val="ListParagraph"/>
              <w:keepNext/>
              <w:keepLines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FC4">
              <w:rPr>
                <w:rFonts w:ascii="Times New Roman" w:hAnsi="Times New Roman"/>
                <w:sz w:val="24"/>
              </w:rPr>
              <w:t>Ak príslušný orgán schválil dodatočnú riadiacu funkciu, všetky inštitúcie,</w:t>
            </w:r>
            <w:r w:rsidR="00EC7FC4">
              <w:rPr>
                <w:rFonts w:ascii="Times New Roman" w:hAnsi="Times New Roman"/>
                <w:sz w:val="24"/>
              </w:rPr>
              <w:t xml:space="preserve"> v </w:t>
            </w:r>
            <w:r w:rsidRPr="00EC7FC4">
              <w:rPr>
                <w:rFonts w:ascii="Times New Roman" w:hAnsi="Times New Roman"/>
                <w:sz w:val="24"/>
              </w:rPr>
              <w:t>ktorých tento člen zastáva riadiacu funkciu, túto skutočnosť zverejňujú spolu</w:t>
            </w:r>
            <w:r w:rsidR="00EC7FC4">
              <w:rPr>
                <w:rFonts w:ascii="Times New Roman" w:hAnsi="Times New Roman"/>
                <w:sz w:val="24"/>
              </w:rPr>
              <w:t xml:space="preserve"> s </w:t>
            </w:r>
            <w:r w:rsidRPr="00EC7FC4">
              <w:rPr>
                <w:rFonts w:ascii="Times New Roman" w:hAnsi="Times New Roman"/>
                <w:sz w:val="24"/>
              </w:rPr>
              <w:t>názvom príslušného orgánu, ktorý schválil dodatočnú riadiacu funkciu.</w:t>
            </w:r>
          </w:p>
        </w:tc>
      </w:tr>
      <w:tr w:rsidR="00A040D0" w:rsidRPr="00EC7FC4" w14:paraId="42649F64" w14:textId="77777777" w:rsidTr="00D819DE">
        <w:trPr>
          <w:trHeight w:val="316"/>
        </w:trPr>
        <w:tc>
          <w:tcPr>
            <w:tcW w:w="1384" w:type="dxa"/>
          </w:tcPr>
          <w:p w14:paraId="3ED8E03C" w14:textId="77777777" w:rsidR="00A040D0" w:rsidRPr="00EC7FC4" w:rsidRDefault="00A040D0" w:rsidP="00D819D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EC7FC4">
              <w:rPr>
                <w:rFonts w:ascii="Times New Roman" w:hAnsi="Times New Roman"/>
                <w:sz w:val="24"/>
              </w:rPr>
              <w:t>b)</w:t>
            </w:r>
          </w:p>
        </w:tc>
        <w:tc>
          <w:tcPr>
            <w:tcW w:w="7655" w:type="dxa"/>
          </w:tcPr>
          <w:p w14:paraId="211F21E9" w14:textId="5404A06A" w:rsidR="00A040D0" w:rsidRPr="00EC7FC4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C7FC4">
              <w:rPr>
                <w:rFonts w:ascii="Times New Roman" w:hAnsi="Times New Roman"/>
                <w:sz w:val="24"/>
              </w:rPr>
              <w:t>Inštitúcie pri zverejňovaní informácií týkajúcich sa politiky prijímania pracovníkov, pokiaľ ide</w:t>
            </w:r>
            <w:r w:rsidR="00EC7FC4">
              <w:rPr>
                <w:rFonts w:ascii="Times New Roman" w:hAnsi="Times New Roman"/>
                <w:sz w:val="24"/>
              </w:rPr>
              <w:t xml:space="preserve"> o </w:t>
            </w:r>
            <w:r w:rsidRPr="00EC7FC4">
              <w:rPr>
                <w:rFonts w:ascii="Times New Roman" w:hAnsi="Times New Roman"/>
                <w:sz w:val="24"/>
              </w:rPr>
              <w:t>výber členov riadiaceho orgánu</w:t>
            </w:r>
            <w:r w:rsidR="00EC7FC4">
              <w:rPr>
                <w:rFonts w:ascii="Times New Roman" w:hAnsi="Times New Roman"/>
                <w:sz w:val="24"/>
              </w:rPr>
              <w:t xml:space="preserve"> v </w:t>
            </w:r>
            <w:r w:rsidRPr="00EC7FC4">
              <w:rPr>
                <w:rFonts w:ascii="Times New Roman" w:hAnsi="Times New Roman"/>
                <w:sz w:val="24"/>
              </w:rPr>
              <w:t>súlade</w:t>
            </w:r>
            <w:r w:rsidR="00EC7FC4">
              <w:rPr>
                <w:rFonts w:ascii="Times New Roman" w:hAnsi="Times New Roman"/>
                <w:sz w:val="24"/>
              </w:rPr>
              <w:t xml:space="preserve"> s </w:t>
            </w:r>
            <w:r w:rsidRPr="00EC7FC4">
              <w:rPr>
                <w:rFonts w:ascii="Times New Roman" w:hAnsi="Times New Roman"/>
                <w:sz w:val="24"/>
              </w:rPr>
              <w:t>článkom 435 ods. 2 písm. b) CRR, zahŕňajú informácie</w:t>
            </w:r>
            <w:r w:rsidR="00EC7FC4">
              <w:rPr>
                <w:rFonts w:ascii="Times New Roman" w:hAnsi="Times New Roman"/>
                <w:sz w:val="24"/>
              </w:rPr>
              <w:t xml:space="preserve"> o </w:t>
            </w:r>
            <w:r w:rsidRPr="00EC7FC4">
              <w:rPr>
                <w:rFonts w:ascii="Times New Roman" w:hAnsi="Times New Roman"/>
                <w:sz w:val="24"/>
              </w:rPr>
              <w:t>skutočných vedomostiach, zručnostiach</w:t>
            </w:r>
            <w:r w:rsidR="00EC7FC4">
              <w:rPr>
                <w:rFonts w:ascii="Times New Roman" w:hAnsi="Times New Roman"/>
                <w:sz w:val="24"/>
              </w:rPr>
              <w:t xml:space="preserve"> a </w:t>
            </w:r>
            <w:r w:rsidRPr="00EC7FC4">
              <w:rPr>
                <w:rFonts w:ascii="Times New Roman" w:hAnsi="Times New Roman"/>
                <w:sz w:val="24"/>
              </w:rPr>
              <w:t>odborných znalostiach členov. Inštitúcie zahŕňajú informácie</w:t>
            </w:r>
            <w:r w:rsidR="00EC7FC4">
              <w:rPr>
                <w:rFonts w:ascii="Times New Roman" w:hAnsi="Times New Roman"/>
                <w:sz w:val="24"/>
              </w:rPr>
              <w:t xml:space="preserve"> o </w:t>
            </w:r>
            <w:r w:rsidRPr="00EC7FC4">
              <w:rPr>
                <w:rFonts w:ascii="Times New Roman" w:hAnsi="Times New Roman"/>
                <w:sz w:val="24"/>
              </w:rPr>
              <w:t>politike, ktorá môže vyplynúť</w:t>
            </w:r>
            <w:r w:rsidR="00EC7FC4">
              <w:rPr>
                <w:rFonts w:ascii="Times New Roman" w:hAnsi="Times New Roman"/>
                <w:sz w:val="24"/>
              </w:rPr>
              <w:t xml:space="preserve"> z </w:t>
            </w:r>
            <w:r w:rsidRPr="00EC7FC4">
              <w:rPr>
                <w:rFonts w:ascii="Times New Roman" w:hAnsi="Times New Roman"/>
                <w:sz w:val="24"/>
              </w:rPr>
              <w:t>plánovania nástupníctva,</w:t>
            </w:r>
            <w:r w:rsidR="00EC7FC4">
              <w:rPr>
                <w:rFonts w:ascii="Times New Roman" w:hAnsi="Times New Roman"/>
                <w:sz w:val="24"/>
              </w:rPr>
              <w:t xml:space="preserve"> a o </w:t>
            </w:r>
            <w:r w:rsidRPr="00EC7FC4">
              <w:rPr>
                <w:rFonts w:ascii="Times New Roman" w:hAnsi="Times New Roman"/>
                <w:sz w:val="24"/>
              </w:rPr>
              <w:t>akýchkoľvek predvídateľných zmenách</w:t>
            </w:r>
            <w:r w:rsidR="00EC7FC4">
              <w:rPr>
                <w:rFonts w:ascii="Times New Roman" w:hAnsi="Times New Roman"/>
                <w:sz w:val="24"/>
              </w:rPr>
              <w:t xml:space="preserve"> v </w:t>
            </w:r>
            <w:r w:rsidRPr="00EC7FC4">
              <w:rPr>
                <w:rFonts w:ascii="Times New Roman" w:hAnsi="Times New Roman"/>
                <w:sz w:val="24"/>
              </w:rPr>
              <w:t>rámci celkového zloženia riadiaceho orgánu.</w:t>
            </w:r>
          </w:p>
        </w:tc>
      </w:tr>
      <w:tr w:rsidR="00A040D0" w:rsidRPr="00EC7FC4" w14:paraId="18692714" w14:textId="77777777" w:rsidTr="00D819DE">
        <w:trPr>
          <w:trHeight w:val="316"/>
        </w:trPr>
        <w:tc>
          <w:tcPr>
            <w:tcW w:w="1384" w:type="dxa"/>
          </w:tcPr>
          <w:p w14:paraId="29439E90" w14:textId="77777777" w:rsidR="00A040D0" w:rsidRPr="00EC7FC4" w:rsidRDefault="00A040D0" w:rsidP="00D819D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EC7FC4">
              <w:rPr>
                <w:rFonts w:ascii="Times New Roman" w:hAnsi="Times New Roman"/>
                <w:sz w:val="24"/>
              </w:rPr>
              <w:t>c)</w:t>
            </w:r>
          </w:p>
        </w:tc>
        <w:tc>
          <w:tcPr>
            <w:tcW w:w="7655" w:type="dxa"/>
          </w:tcPr>
          <w:p w14:paraId="36DD59A9" w14:textId="74256CE7" w:rsidR="00EC7FC4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sz w:val="24"/>
              </w:rPr>
            </w:pPr>
            <w:r w:rsidRPr="00EC7FC4">
              <w:rPr>
                <w:rFonts w:ascii="Times New Roman" w:hAnsi="Times New Roman"/>
                <w:sz w:val="24"/>
              </w:rPr>
              <w:t>Inštitúcie pri zverejňovaní svojej politiky rôznorodosti</w:t>
            </w:r>
            <w:r w:rsidR="00EC7FC4">
              <w:rPr>
                <w:rFonts w:ascii="Times New Roman" w:hAnsi="Times New Roman"/>
                <w:sz w:val="24"/>
              </w:rPr>
              <w:t xml:space="preserve"> v </w:t>
            </w:r>
            <w:r w:rsidRPr="00EC7FC4">
              <w:rPr>
                <w:rFonts w:ascii="Times New Roman" w:hAnsi="Times New Roman"/>
                <w:sz w:val="24"/>
              </w:rPr>
              <w:t>súlade</w:t>
            </w:r>
            <w:r w:rsidR="00EC7FC4">
              <w:rPr>
                <w:rFonts w:ascii="Times New Roman" w:hAnsi="Times New Roman"/>
                <w:sz w:val="24"/>
              </w:rPr>
              <w:t xml:space="preserve"> s </w:t>
            </w:r>
            <w:r w:rsidRPr="00EC7FC4">
              <w:rPr>
                <w:rFonts w:ascii="Times New Roman" w:hAnsi="Times New Roman"/>
                <w:sz w:val="24"/>
              </w:rPr>
              <w:t>článkom 435 ods. 2 písm. c) CRR zverejňujú informácie</w:t>
            </w:r>
            <w:r w:rsidR="00EC7FC4">
              <w:rPr>
                <w:rFonts w:ascii="Times New Roman" w:hAnsi="Times New Roman"/>
                <w:sz w:val="24"/>
              </w:rPr>
              <w:t xml:space="preserve"> o </w:t>
            </w:r>
            <w:r w:rsidRPr="00EC7FC4">
              <w:rPr>
                <w:rFonts w:ascii="Times New Roman" w:hAnsi="Times New Roman"/>
                <w:sz w:val="24"/>
              </w:rPr>
              <w:t>zámeroch</w:t>
            </w:r>
            <w:r w:rsidR="00EC7FC4">
              <w:rPr>
                <w:rFonts w:ascii="Times New Roman" w:hAnsi="Times New Roman"/>
                <w:sz w:val="24"/>
              </w:rPr>
              <w:t xml:space="preserve"> a </w:t>
            </w:r>
            <w:r w:rsidRPr="00EC7FC4">
              <w:rPr>
                <w:rFonts w:ascii="Times New Roman" w:hAnsi="Times New Roman"/>
                <w:sz w:val="24"/>
              </w:rPr>
              <w:t>všetkých relevantných cieľoch stanovených</w:t>
            </w:r>
            <w:r w:rsidR="00EC7FC4">
              <w:rPr>
                <w:rFonts w:ascii="Times New Roman" w:hAnsi="Times New Roman"/>
                <w:sz w:val="24"/>
              </w:rPr>
              <w:t xml:space="preserve"> v </w:t>
            </w:r>
            <w:r w:rsidRPr="00EC7FC4">
              <w:rPr>
                <w:rFonts w:ascii="Times New Roman" w:hAnsi="Times New Roman"/>
                <w:sz w:val="24"/>
              </w:rPr>
              <w:t>tejto politike</w:t>
            </w:r>
            <w:r w:rsidR="00EC7FC4">
              <w:rPr>
                <w:rFonts w:ascii="Times New Roman" w:hAnsi="Times New Roman"/>
                <w:sz w:val="24"/>
              </w:rPr>
              <w:t xml:space="preserve"> a o </w:t>
            </w:r>
            <w:r w:rsidRPr="00EC7FC4">
              <w:rPr>
                <w:rFonts w:ascii="Times New Roman" w:hAnsi="Times New Roman"/>
                <w:sz w:val="24"/>
              </w:rPr>
              <w:t>rozsahu,</w:t>
            </w:r>
            <w:r w:rsidR="00EC7FC4">
              <w:rPr>
                <w:rFonts w:ascii="Times New Roman" w:hAnsi="Times New Roman"/>
                <w:sz w:val="24"/>
              </w:rPr>
              <w:t xml:space="preserve"> v </w:t>
            </w:r>
            <w:r w:rsidRPr="00EC7FC4">
              <w:rPr>
                <w:rFonts w:ascii="Times New Roman" w:hAnsi="Times New Roman"/>
                <w:sz w:val="24"/>
              </w:rPr>
              <w:t>akom boli tieto zámery</w:t>
            </w:r>
            <w:r w:rsidR="00EC7FC4">
              <w:rPr>
                <w:rFonts w:ascii="Times New Roman" w:hAnsi="Times New Roman"/>
                <w:sz w:val="24"/>
              </w:rPr>
              <w:t xml:space="preserve"> a </w:t>
            </w:r>
            <w:r w:rsidRPr="00EC7FC4">
              <w:rPr>
                <w:rFonts w:ascii="Times New Roman" w:hAnsi="Times New Roman"/>
                <w:sz w:val="24"/>
              </w:rPr>
              <w:t>ciele dosiahnuté</w:t>
            </w:r>
            <w:r w:rsidR="00EC7FC4">
              <w:rPr>
                <w:rFonts w:ascii="Times New Roman" w:hAnsi="Times New Roman"/>
                <w:sz w:val="24"/>
              </w:rPr>
              <w:t>.</w:t>
            </w:r>
          </w:p>
          <w:p w14:paraId="4753678C" w14:textId="77777777" w:rsidR="00EC7FC4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sz w:val="24"/>
              </w:rPr>
            </w:pPr>
            <w:r w:rsidRPr="00EC7FC4">
              <w:rPr>
                <w:rFonts w:ascii="Times New Roman" w:hAnsi="Times New Roman"/>
                <w:sz w:val="24"/>
              </w:rPr>
              <w:t>Inštitúcie zverejňujú najmä politiku rodovej rozmanitosti, čo zahŕňa</w:t>
            </w:r>
            <w:r w:rsidR="00EC7FC4">
              <w:rPr>
                <w:rFonts w:ascii="Times New Roman" w:hAnsi="Times New Roman"/>
                <w:sz w:val="24"/>
              </w:rPr>
              <w:t>:</w:t>
            </w:r>
          </w:p>
          <w:p w14:paraId="47792B4D" w14:textId="77777777" w:rsidR="00EC7FC4" w:rsidRDefault="00A040D0" w:rsidP="00A040D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sz w:val="24"/>
              </w:rPr>
            </w:pPr>
            <w:r w:rsidRPr="00EC7FC4">
              <w:rPr>
                <w:rFonts w:ascii="Times New Roman" w:hAnsi="Times New Roman"/>
                <w:sz w:val="24"/>
              </w:rPr>
              <w:t>ak bol stanovený cieľ pre nedostatočne zastúpený rod</w:t>
            </w:r>
            <w:r w:rsidR="00EC7FC4">
              <w:rPr>
                <w:rFonts w:ascii="Times New Roman" w:hAnsi="Times New Roman"/>
                <w:sz w:val="24"/>
              </w:rPr>
              <w:t xml:space="preserve"> a </w:t>
            </w:r>
            <w:r w:rsidRPr="00EC7FC4">
              <w:rPr>
                <w:rFonts w:ascii="Times New Roman" w:hAnsi="Times New Roman"/>
                <w:sz w:val="24"/>
              </w:rPr>
              <w:t>pre politiky týkajúce sa rozmanitosti</w:t>
            </w:r>
            <w:r w:rsidR="00EC7FC4">
              <w:rPr>
                <w:rFonts w:ascii="Times New Roman" w:hAnsi="Times New Roman"/>
                <w:sz w:val="24"/>
              </w:rPr>
              <w:t xml:space="preserve"> z </w:t>
            </w:r>
            <w:r w:rsidRPr="00EC7FC4">
              <w:rPr>
                <w:rFonts w:ascii="Times New Roman" w:hAnsi="Times New Roman"/>
                <w:sz w:val="24"/>
              </w:rPr>
              <w:t>hľadiska veku, dosiahnutého vzdelania, odborných skúseností</w:t>
            </w:r>
            <w:r w:rsidR="00EC7FC4">
              <w:rPr>
                <w:rFonts w:ascii="Times New Roman" w:hAnsi="Times New Roman"/>
                <w:sz w:val="24"/>
              </w:rPr>
              <w:t xml:space="preserve"> a </w:t>
            </w:r>
            <w:r w:rsidRPr="00EC7FC4">
              <w:rPr>
                <w:rFonts w:ascii="Times New Roman" w:hAnsi="Times New Roman"/>
                <w:sz w:val="24"/>
              </w:rPr>
              <w:t>geografického pôvodu, tento stanovený cieľ</w:t>
            </w:r>
            <w:r w:rsidR="00EC7FC4">
              <w:rPr>
                <w:rFonts w:ascii="Times New Roman" w:hAnsi="Times New Roman"/>
                <w:sz w:val="24"/>
              </w:rPr>
              <w:t xml:space="preserve"> a </w:t>
            </w:r>
            <w:r w:rsidRPr="00EC7FC4">
              <w:rPr>
                <w:rFonts w:ascii="Times New Roman" w:hAnsi="Times New Roman"/>
                <w:sz w:val="24"/>
              </w:rPr>
              <w:t>do akej miery boli ciele splnené,</w:t>
            </w:r>
          </w:p>
          <w:p w14:paraId="23413A60" w14:textId="3D7187F2" w:rsidR="00A040D0" w:rsidRPr="00EC7FC4" w:rsidRDefault="00A040D0" w:rsidP="00A040D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7FC4">
              <w:rPr>
                <w:rFonts w:ascii="Times New Roman" w:hAnsi="Times New Roman"/>
                <w:sz w:val="24"/>
              </w:rPr>
              <w:t>v prípade nesplnenia cieľa inštitúcie zverejňujú príčiny a, ak je to relevantné, opatrenia prijaté na splnenie cieľa</w:t>
            </w:r>
            <w:r w:rsidR="00EC7FC4">
              <w:rPr>
                <w:rFonts w:ascii="Times New Roman" w:hAnsi="Times New Roman"/>
                <w:sz w:val="24"/>
              </w:rPr>
              <w:t xml:space="preserve"> v </w:t>
            </w:r>
            <w:r w:rsidRPr="00EC7FC4">
              <w:rPr>
                <w:rFonts w:ascii="Times New Roman" w:hAnsi="Times New Roman"/>
                <w:sz w:val="24"/>
              </w:rPr>
              <w:t>rámci určitej lehoty.</w:t>
            </w:r>
          </w:p>
        </w:tc>
      </w:tr>
      <w:tr w:rsidR="00A040D0" w:rsidRPr="00EC7FC4" w14:paraId="39DE01E9" w14:textId="77777777" w:rsidTr="00D819DE">
        <w:trPr>
          <w:trHeight w:val="316"/>
        </w:trPr>
        <w:tc>
          <w:tcPr>
            <w:tcW w:w="1384" w:type="dxa"/>
          </w:tcPr>
          <w:p w14:paraId="150CF892" w14:textId="77777777" w:rsidR="00A040D0" w:rsidRPr="00EC7FC4" w:rsidRDefault="00A040D0" w:rsidP="00D819D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EC7FC4">
              <w:rPr>
                <w:rFonts w:ascii="Times New Roman" w:hAnsi="Times New Roman"/>
                <w:sz w:val="24"/>
              </w:rPr>
              <w:t>d)</w:t>
            </w:r>
          </w:p>
        </w:tc>
        <w:tc>
          <w:tcPr>
            <w:tcW w:w="7655" w:type="dxa"/>
          </w:tcPr>
          <w:p w14:paraId="2DA8A566" w14:textId="4F714FEE" w:rsidR="00A040D0" w:rsidRPr="00EC7FC4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C7FC4">
              <w:rPr>
                <w:rFonts w:ascii="Times New Roman" w:hAnsi="Times New Roman"/>
                <w:sz w:val="24"/>
              </w:rPr>
              <w:t>Inštitúcie zverejňujú, či zriadili samostatný výbor pre riziká</w:t>
            </w:r>
            <w:r w:rsidR="00EC7FC4">
              <w:rPr>
                <w:rFonts w:ascii="Times New Roman" w:hAnsi="Times New Roman"/>
                <w:sz w:val="24"/>
              </w:rPr>
              <w:t xml:space="preserve"> a </w:t>
            </w:r>
            <w:r w:rsidRPr="00EC7FC4">
              <w:rPr>
                <w:rFonts w:ascii="Times New Roman" w:hAnsi="Times New Roman"/>
                <w:sz w:val="24"/>
              </w:rPr>
              <w:t>koľkokrát sa výbor pre riziká zišiel</w:t>
            </w:r>
            <w:r w:rsidR="00EC7FC4">
              <w:rPr>
                <w:rFonts w:ascii="Times New Roman" w:hAnsi="Times New Roman"/>
                <w:sz w:val="24"/>
              </w:rPr>
              <w:t xml:space="preserve"> v </w:t>
            </w:r>
            <w:r w:rsidRPr="00EC7FC4">
              <w:rPr>
                <w:rFonts w:ascii="Times New Roman" w:hAnsi="Times New Roman"/>
                <w:sz w:val="24"/>
              </w:rPr>
              <w:t>súlade</w:t>
            </w:r>
            <w:r w:rsidR="00EC7FC4">
              <w:rPr>
                <w:rFonts w:ascii="Times New Roman" w:hAnsi="Times New Roman"/>
                <w:sz w:val="24"/>
              </w:rPr>
              <w:t xml:space="preserve"> s </w:t>
            </w:r>
            <w:r w:rsidRPr="00EC7FC4">
              <w:rPr>
                <w:rFonts w:ascii="Times New Roman" w:hAnsi="Times New Roman"/>
                <w:sz w:val="24"/>
              </w:rPr>
              <w:t>článkom 435 ods. 2 písm. d) CRR.</w:t>
            </w:r>
          </w:p>
        </w:tc>
      </w:tr>
      <w:tr w:rsidR="00A040D0" w:rsidRPr="00EC7FC4" w14:paraId="0142566A" w14:textId="77777777" w:rsidTr="00D819DE">
        <w:trPr>
          <w:trHeight w:val="316"/>
        </w:trPr>
        <w:tc>
          <w:tcPr>
            <w:tcW w:w="1384" w:type="dxa"/>
          </w:tcPr>
          <w:p w14:paraId="14FC28E8" w14:textId="77777777" w:rsidR="00A040D0" w:rsidRPr="00EC7FC4" w:rsidRDefault="00A040D0" w:rsidP="00EC7FC4">
            <w:pPr>
              <w:keepNext/>
              <w:keepLine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EC7FC4">
              <w:rPr>
                <w:rFonts w:ascii="Times New Roman" w:hAnsi="Times New Roman"/>
                <w:sz w:val="24"/>
              </w:rPr>
              <w:lastRenderedPageBreak/>
              <w:t>e)</w:t>
            </w:r>
          </w:p>
        </w:tc>
        <w:tc>
          <w:tcPr>
            <w:tcW w:w="7655" w:type="dxa"/>
          </w:tcPr>
          <w:p w14:paraId="28B9F6EB" w14:textId="551339B5" w:rsidR="00A040D0" w:rsidRPr="00EC7FC4" w:rsidRDefault="00A040D0" w:rsidP="00EC7FC4">
            <w:pPr>
              <w:keepNext/>
              <w:keepLines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C7FC4">
              <w:rPr>
                <w:rFonts w:ascii="Times New Roman" w:hAnsi="Times New Roman"/>
                <w:sz w:val="24"/>
              </w:rPr>
              <w:t>V rámci údajov</w:t>
            </w:r>
            <w:r w:rsidR="00EC7FC4">
              <w:rPr>
                <w:rFonts w:ascii="Times New Roman" w:hAnsi="Times New Roman"/>
                <w:sz w:val="24"/>
              </w:rPr>
              <w:t xml:space="preserve"> o </w:t>
            </w:r>
            <w:r w:rsidRPr="00EC7FC4">
              <w:rPr>
                <w:rFonts w:ascii="Times New Roman" w:hAnsi="Times New Roman"/>
                <w:sz w:val="24"/>
              </w:rPr>
              <w:t>toku informácií týkajúcich sa rizika pre riadiaci orgán pri uplatňovaní článku 435 ods. 2 písm. e) CRR inštitúcie opíšu postup zverejňovania rizika poskytovaného riadiacemu orgánu, najmä frekvenciu, rozsah</w:t>
            </w:r>
            <w:r w:rsidR="00EC7FC4">
              <w:rPr>
                <w:rFonts w:ascii="Times New Roman" w:hAnsi="Times New Roman"/>
                <w:sz w:val="24"/>
              </w:rPr>
              <w:t xml:space="preserve"> a </w:t>
            </w:r>
            <w:r w:rsidRPr="00EC7FC4">
              <w:rPr>
                <w:rFonts w:ascii="Times New Roman" w:hAnsi="Times New Roman"/>
                <w:sz w:val="24"/>
              </w:rPr>
              <w:t>hlavný obsah expozícií voči riziku</w:t>
            </w:r>
            <w:r w:rsidR="00EC7FC4">
              <w:rPr>
                <w:rFonts w:ascii="Times New Roman" w:hAnsi="Times New Roman"/>
                <w:sz w:val="24"/>
              </w:rPr>
              <w:t xml:space="preserve"> a </w:t>
            </w:r>
            <w:r w:rsidRPr="00EC7FC4">
              <w:rPr>
                <w:rFonts w:ascii="Times New Roman" w:hAnsi="Times New Roman"/>
                <w:sz w:val="24"/>
              </w:rPr>
              <w:t xml:space="preserve">ako bol riadiaci orgán zapojený do vymedzenia obsahu, ktorý sa má zverejňovať. </w:t>
            </w:r>
          </w:p>
        </w:tc>
      </w:tr>
    </w:tbl>
    <w:p w14:paraId="68F9C718" w14:textId="77777777" w:rsidR="00A040D0" w:rsidRPr="00EC7FC4" w:rsidRDefault="00A040D0" w:rsidP="00A040D0">
      <w:pPr>
        <w:rPr>
          <w:rFonts w:ascii="Times New Roman" w:hAnsi="Times New Roman" w:cs="Times New Roman"/>
          <w:sz w:val="24"/>
        </w:rPr>
      </w:pPr>
    </w:p>
    <w:p w14:paraId="5157D277" w14:textId="77777777" w:rsidR="00A040D0" w:rsidRPr="00EC7FC4" w:rsidRDefault="00A040D0" w:rsidP="00A040D0">
      <w:pPr>
        <w:rPr>
          <w:rFonts w:ascii="Times New Roman" w:hAnsi="Times New Roman" w:cs="Times New Roman"/>
          <w:sz w:val="24"/>
        </w:rPr>
      </w:pPr>
    </w:p>
    <w:p w14:paraId="3131F001" w14:textId="77777777" w:rsidR="00A040D0" w:rsidRPr="00EC7FC4" w:rsidRDefault="00A040D0" w:rsidP="00A040D0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</w:p>
    <w:p w14:paraId="63D128DC" w14:textId="77777777" w:rsidR="004E3F4D" w:rsidRPr="00EC7FC4" w:rsidRDefault="004E3F4D"/>
    <w:sectPr w:rsidR="004E3F4D" w:rsidRPr="00EC7FC4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DE77C" w14:textId="77777777" w:rsidR="008F0732" w:rsidRDefault="008F0732" w:rsidP="00A040D0">
      <w:r>
        <w:separator/>
      </w:r>
    </w:p>
  </w:endnote>
  <w:endnote w:type="continuationSeparator" w:id="0">
    <w:p w14:paraId="1E5B484C" w14:textId="77777777" w:rsidR="008F0732" w:rsidRDefault="008F0732" w:rsidP="00A04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23917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695991" w14:textId="77777777" w:rsidR="00A040D0" w:rsidRDefault="00A040D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0F9DC5C7" w14:textId="77777777" w:rsidR="00A040D0" w:rsidRDefault="00A040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F4A20" w14:textId="77777777" w:rsidR="008F0732" w:rsidRDefault="008F0732" w:rsidP="00A040D0">
      <w:r>
        <w:separator/>
      </w:r>
    </w:p>
  </w:footnote>
  <w:footnote w:type="continuationSeparator" w:id="0">
    <w:p w14:paraId="4AB17D06" w14:textId="77777777" w:rsidR="008F0732" w:rsidRDefault="008F0732" w:rsidP="00A040D0">
      <w:r>
        <w:continuationSeparator/>
      </w:r>
    </w:p>
  </w:footnote>
  <w:footnote w:id="1">
    <w:p w14:paraId="054C7A76" w14:textId="5B8B06D2" w:rsidR="00A040D0" w:rsidRPr="00EC7FC4" w:rsidRDefault="00A040D0" w:rsidP="00A040D0">
      <w:pPr>
        <w:pStyle w:val="FootnoteText"/>
        <w:rPr>
          <w:rFonts w:eastAsia="Calibri" w:cstheme="minorHAnsi"/>
        </w:rPr>
      </w:pPr>
      <w:r w:rsidRPr="00EC7FC4">
        <w:rPr>
          <w:rStyle w:val="FootnoteReference"/>
          <w:rFonts w:cstheme="minorHAnsi"/>
        </w:rPr>
        <w:footnoteRef/>
      </w:r>
      <w:r w:rsidRPr="00EC7FC4">
        <w:tab/>
        <w:t>Nariadenie Európskeho parlamentu</w:t>
      </w:r>
      <w:r w:rsidR="00EC7FC4">
        <w:t xml:space="preserve"> a </w:t>
      </w:r>
      <w:r w:rsidRPr="00EC7FC4">
        <w:t xml:space="preserve">Rady (EÚ) </w:t>
      </w:r>
      <w:r w:rsidR="00EC7FC4">
        <w:t>č. </w:t>
      </w:r>
      <w:r w:rsidRPr="00EC7FC4">
        <w:t>575/2013</w:t>
      </w:r>
      <w:r w:rsidR="00EC7FC4">
        <w:t xml:space="preserve"> z </w:t>
      </w:r>
      <w:r w:rsidRPr="00EC7FC4">
        <w:t>26</w:t>
      </w:r>
      <w:r w:rsidR="00EC7FC4">
        <w:t>. júna</w:t>
      </w:r>
      <w:r w:rsidRPr="00EC7FC4">
        <w:t xml:space="preserve"> 2013</w:t>
      </w:r>
      <w:r w:rsidR="00EC7FC4">
        <w:t xml:space="preserve"> o </w:t>
      </w:r>
      <w:proofErr w:type="spellStart"/>
      <w:r w:rsidRPr="00EC7FC4">
        <w:t>prudenciálnych</w:t>
      </w:r>
      <w:proofErr w:type="spellEnd"/>
      <w:r w:rsidRPr="00EC7FC4">
        <w:t xml:space="preserve"> požiadavkách na úverové inštitúcie</w:t>
      </w:r>
      <w:r w:rsidR="00EC7FC4">
        <w:t xml:space="preserve"> a o </w:t>
      </w:r>
      <w:r w:rsidRPr="00EC7FC4">
        <w:t xml:space="preserve">zmene nariadenia (EÚ) </w:t>
      </w:r>
      <w:r w:rsidR="00EC7FC4">
        <w:t>č. </w:t>
      </w:r>
      <w:r w:rsidRPr="00EC7FC4">
        <w:t xml:space="preserve">648/2012, zmenené nariadením (EÚ) 2024/1623 </w:t>
      </w:r>
      <w:r w:rsidRPr="00EC7FC4">
        <w:rPr>
          <w:color w:val="444444"/>
        </w:rPr>
        <w:t>[</w:t>
      </w:r>
      <w:hyperlink r:id="rId1" w:history="1">
        <w:r w:rsidRPr="00EC7FC4">
          <w:rPr>
            <w:rStyle w:val="Hyperlink"/>
            <w:color w:val="800080"/>
          </w:rPr>
          <w:t>Ú. v. EÚ L 176, 27.6.2013, s. 1</w:t>
        </w:r>
      </w:hyperlink>
      <w:r w:rsidRPr="00EC7FC4">
        <w:rPr>
          <w:color w:val="800080"/>
          <w:u w:val="single"/>
        </w:rPr>
        <w:t xml:space="preserve">; </w:t>
      </w:r>
      <w:hyperlink r:id="rId2" w:history="1">
        <w:r w:rsidRPr="00EC7FC4">
          <w:rPr>
            <w:rStyle w:val="Hyperlink"/>
          </w:rPr>
          <w:t>Nariadenie (EÚ) 2024/1623 – SK – EUR-Lex (europa.eu)</w:t>
        </w:r>
      </w:hyperlink>
      <w:r w:rsidRPr="00EC7FC4">
        <w:rPr>
          <w:color w:val="444444"/>
        </w:rPr>
        <w:t>]</w:t>
      </w:r>
      <w:r w:rsidRPr="00EC7FC4">
        <w:t>.</w:t>
      </w:r>
    </w:p>
  </w:footnote>
  <w:footnote w:id="2">
    <w:p w14:paraId="6202C474" w14:textId="1A5B0B7D" w:rsidR="00A040D0" w:rsidRPr="00EC7FC4" w:rsidRDefault="00A040D0" w:rsidP="00A040D0">
      <w:pPr>
        <w:pStyle w:val="FootnoteText"/>
        <w:rPr>
          <w:rFonts w:cstheme="minorHAnsi"/>
        </w:rPr>
      </w:pPr>
      <w:r w:rsidRPr="00EC7FC4">
        <w:rPr>
          <w:rStyle w:val="FootnoteReference"/>
          <w:rFonts w:cstheme="minorHAnsi"/>
        </w:rPr>
        <w:footnoteRef/>
      </w:r>
      <w:r w:rsidRPr="00EC7FC4">
        <w:t xml:space="preserve"> </w:t>
      </w:r>
      <w:r w:rsidRPr="00EC7FC4">
        <w:tab/>
      </w:r>
      <w:r w:rsidRPr="00EC7FC4">
        <w:t>SMERNICA EURÓPSKEHO PARLAMENTU A RADY 2013/36/EÚ</w:t>
      </w:r>
      <w:r w:rsidR="00EC7FC4">
        <w:t xml:space="preserve"> z </w:t>
      </w:r>
      <w:r w:rsidRPr="00EC7FC4">
        <w:t>26</w:t>
      </w:r>
      <w:r w:rsidR="00EC7FC4">
        <w:t>. júna</w:t>
      </w:r>
      <w:r w:rsidRPr="00EC7FC4">
        <w:t xml:space="preserve"> 2013</w:t>
      </w:r>
      <w:r w:rsidR="00EC7FC4">
        <w:t xml:space="preserve"> o </w:t>
      </w:r>
      <w:r w:rsidRPr="00EC7FC4">
        <w:t>prístupe</w:t>
      </w:r>
      <w:r w:rsidR="00EC7FC4">
        <w:t xml:space="preserve"> k </w:t>
      </w:r>
      <w:r w:rsidRPr="00EC7FC4">
        <w:t>činnosti úverových inštitúcií</w:t>
      </w:r>
      <w:r w:rsidR="00EC7FC4">
        <w:t xml:space="preserve"> a </w:t>
      </w:r>
      <w:proofErr w:type="spellStart"/>
      <w:r w:rsidRPr="00EC7FC4">
        <w:t>prudenciálnom</w:t>
      </w:r>
      <w:proofErr w:type="spellEnd"/>
      <w:r w:rsidRPr="00EC7FC4">
        <w:t xml:space="preserve"> dohľade nad úverovými inštitúciami</w:t>
      </w:r>
      <w:r w:rsidR="00EC7FC4">
        <w:t xml:space="preserve"> a </w:t>
      </w:r>
      <w:r w:rsidRPr="00EC7FC4">
        <w:t>investičnými spoločnosťami,</w:t>
      </w:r>
      <w:r w:rsidR="00EC7FC4">
        <w:t xml:space="preserve"> o </w:t>
      </w:r>
      <w:r w:rsidRPr="00EC7FC4">
        <w:t>zmene smernice 2002/87/ES</w:t>
      </w:r>
      <w:r w:rsidR="00EC7FC4">
        <w:t xml:space="preserve"> a o </w:t>
      </w:r>
      <w:r w:rsidRPr="00EC7FC4">
        <w:t>zrušení smerníc 2006/48/ES</w:t>
      </w:r>
      <w:r w:rsidR="00EC7FC4">
        <w:t xml:space="preserve"> a </w:t>
      </w:r>
      <w:r w:rsidRPr="00EC7FC4">
        <w:t>2006/49/ES (Ú. v. EÚ L 176, 27.6.2013, s. 338).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712EE" w14:textId="1EBA7605" w:rsidR="00777266" w:rsidRDefault="0077726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24E678B" wp14:editId="1FCA4A8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497291729" name="Text Box 2" descr="EBA Bežné použit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945629" w14:textId="6ABA208F" w:rsidR="00777266" w:rsidRPr="00777266" w:rsidRDefault="00777266" w:rsidP="0077726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Bežné použitie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4E678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EBA Bežné použitie" style="position:absolute;margin-left:0;margin-top:0;width:100.25pt;height:29.6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" filled="f" stroked="f">
              <v:textbox style="mso-fit-shape-to-text:t" inset="20pt,15pt,0,0">
                <w:txbxContent>
                  <w:p w14:paraId="19945629" w14:textId="6ABA208F" w:rsidR="00777266" w:rsidRPr="00777266" w:rsidRDefault="00777266" w:rsidP="00777266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Bežné použitie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ED209" w14:textId="07B7AE20" w:rsidR="00777266" w:rsidRDefault="0077726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C9FAAE9" wp14:editId="1A76A668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104282059" name="Text Box 3" descr="EBA Bežné použit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AB7988" w14:textId="6B6234BD" w:rsidR="00777266" w:rsidRPr="00777266" w:rsidRDefault="00777266" w:rsidP="0077726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Bežné použitie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9FAAE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EBA Bežné použitie" style="position:absolute;margin-left:0;margin-top:0;width:100.25pt;height:29.6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" filled="f" stroked="f">
              <v:textbox style="mso-fit-shape-to-text:t" inset="20pt,15pt,0,0">
                <w:txbxContent>
                  <w:p w14:paraId="36AB7988" w14:textId="6B6234BD" w:rsidR="00777266" w:rsidRPr="00777266" w:rsidRDefault="00777266" w:rsidP="00777266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Bežné použitie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E42D1" w14:textId="693C7074" w:rsidR="00777266" w:rsidRDefault="0077726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EB2F592" wp14:editId="210626C7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354450415" name="Text Box 1" descr="EBA Bežné použit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110976" w14:textId="32A4A2D9" w:rsidR="00777266" w:rsidRPr="00777266" w:rsidRDefault="00777266" w:rsidP="0077726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Bežné použitie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B2F5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EBA Bežné použitie" style="position:absolute;margin-left:0;margin-top:0;width:100.25pt;height:29.6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" filled="f" stroked="f">
              <v:textbox style="mso-fit-shape-to-text:t" inset="20pt,15pt,0,0">
                <w:txbxContent>
                  <w:p w14:paraId="12110976" w14:textId="32A4A2D9" w:rsidR="00777266" w:rsidRPr="00777266" w:rsidRDefault="00777266" w:rsidP="00777266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Bežné použitie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E4204C"/>
    <w:multiLevelType w:val="hybridMultilevel"/>
    <w:tmpl w:val="68141C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79739D"/>
    <w:multiLevelType w:val="hybridMultilevel"/>
    <w:tmpl w:val="6ED8BC8C"/>
    <w:lvl w:ilvl="0" w:tplc="176833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0438491">
    <w:abstractNumId w:val="1"/>
  </w:num>
  <w:num w:numId="2" w16cid:durableId="825900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94BEF"/>
    <w:rsid w:val="00094BEF"/>
    <w:rsid w:val="001533DB"/>
    <w:rsid w:val="0016520C"/>
    <w:rsid w:val="004E3F4D"/>
    <w:rsid w:val="00777266"/>
    <w:rsid w:val="008F0732"/>
    <w:rsid w:val="009B3B08"/>
    <w:rsid w:val="00A040D0"/>
    <w:rsid w:val="00EC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5F82A"/>
  <w15:chartTrackingRefBased/>
  <w15:docId w15:val="{1BB72DD4-38E2-4CBF-94CD-13DC8222D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40D0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qFormat/>
    <w:rsid w:val="00A040D0"/>
    <w:pPr>
      <w:spacing w:before="80" w:line="200" w:lineRule="exact"/>
      <w:ind w:left="567" w:hanging="567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A040D0"/>
    <w:rPr>
      <w:rFonts w:eastAsiaTheme="minorEastAsia"/>
      <w:sz w:val="18"/>
      <w:szCs w:val="18"/>
      <w:lang w:val="sk-SK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A040D0"/>
    <w:rPr>
      <w:rFonts w:asciiTheme="minorHAnsi" w:hAnsiTheme="minorHAnsi"/>
      <w:sz w:val="22"/>
      <w:szCs w:val="18"/>
      <w:vertAlign w:val="superscript"/>
    </w:rPr>
  </w:style>
  <w:style w:type="paragraph" w:customStyle="1" w:styleId="Annexetitre">
    <w:name w:val="Annexe titre"/>
    <w:basedOn w:val="Normal"/>
    <w:next w:val="Normal"/>
    <w:rsid w:val="00A040D0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Normal"/>
    <w:rsid w:val="00A040D0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A040D0"/>
    <w:pPr>
      <w:ind w:left="720"/>
    </w:pPr>
    <w:rPr>
      <w:rFonts w:ascii="Calibri" w:eastAsia="Calibri" w:hAnsi="Calibri" w:cs="Times New Roman"/>
      <w:szCs w:val="22"/>
    </w:rPr>
  </w:style>
  <w:style w:type="paragraph" w:styleId="Header">
    <w:name w:val="header"/>
    <w:basedOn w:val="Normal"/>
    <w:link w:val="HeaderChar"/>
    <w:uiPriority w:val="99"/>
    <w:unhideWhenUsed/>
    <w:rsid w:val="00A040D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40D0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A040D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40D0"/>
    <w:rPr>
      <w:rFonts w:eastAsiaTheme="minorEastAsia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772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SK/TXT/?uri=OJ:L_202401623" TargetMode="External"/><Relationship Id="rId1" Type="http://schemas.openxmlformats.org/officeDocument/2006/relationships/hyperlink" Target="https://eur-lex.europa.eu/legal-content/SK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004DD3-5E1E-4689-9670-448F2C7272E2}"/>
</file>

<file path=customXml/itemProps2.xml><?xml version="1.0" encoding="utf-8"?>
<ds:datastoreItem xmlns:ds="http://schemas.openxmlformats.org/officeDocument/2006/customXml" ds:itemID="{DBEFE44A-C0A3-48F4-98F7-68FAF8972552}"/>
</file>

<file path=customXml/itemProps3.xml><?xml version="1.0" encoding="utf-8"?>
<ds:datastoreItem xmlns:ds="http://schemas.openxmlformats.org/officeDocument/2006/customXml" ds:itemID="{FF26E968-EA89-4775-A908-344C4BDE3501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1102</Words>
  <Characters>6647</Characters>
  <Application>Microsoft Office Word</Application>
  <DocSecurity>0</DocSecurity>
  <Lines>141</Lines>
  <Paragraphs>54</Paragraphs>
  <ScaleCrop>false</ScaleCrop>
  <Company>European Banking Authority</Company>
  <LinksUpToDate>false</LinksUpToDate>
  <CharactersWithSpaces>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SKYPALA Vlastimil (DGT)</cp:lastModifiedBy>
  <cp:revision>5</cp:revision>
  <dcterms:created xsi:type="dcterms:W3CDTF">2021-03-11T11:48:00Z</dcterms:created>
  <dcterms:modified xsi:type="dcterms:W3CDTF">2024-10-14T05:55:00Z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15207bef,593edbd1,41d201cb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2024-09-26T14:40:00Z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0d4717ba-70de-450a-967c-f26c87c45c25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