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XL PRIEDAS. ASV rizikos atskleidimo nurodymai</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0638E575"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 xml:space="preserve">Įstaigos Reglamento (ES) Nr. 575/2013 449a straipsnyje nurodytą informaciją atskleidžia laikydamosi šiame priede pateiktų nurodymų. Nurodymais turi būti vadovaujamasi pildant EBI IT sprendimų XXXIX priede pateiktas lenteles ir </w:t>
      </w:r>
      <w:r w:rsidR="00AA1437">
        <w:rPr>
          <w:rFonts w:ascii="Times New Roman" w:hAnsi="Times New Roman"/>
          <w:sz w:val="24"/>
        </w:rPr>
        <w:t>formas</w:t>
      </w:r>
      <w:r>
        <w:rPr>
          <w:rFonts w:ascii="Times New Roman" w:hAnsi="Times New Roman"/>
          <w:sz w:val="24"/>
        </w:rPr>
        <w:t>.</w:t>
      </w:r>
    </w:p>
    <w:p w14:paraId="4A061912" w14:textId="77777777" w:rsidR="00183989" w:rsidRPr="00E50FA4" w:rsidRDefault="00183989" w:rsidP="00183989">
      <w:pPr>
        <w:pStyle w:val="NumPar2"/>
        <w:numPr>
          <w:ilvl w:val="0"/>
          <w:numId w:val="11"/>
        </w:numPr>
        <w:ind w:left="567" w:hanging="567"/>
        <w:rPr>
          <w:noProof/>
        </w:rPr>
      </w:pPr>
      <w:r>
        <w:t>Šiuose nurodymuose vartojamų terminų apibrėžtys:</w:t>
      </w:r>
    </w:p>
    <w:p w14:paraId="66FCA2A6" w14:textId="77777777" w:rsidR="00183989" w:rsidRPr="00E50FA4" w:rsidRDefault="00183989" w:rsidP="00183989">
      <w:pPr>
        <w:pStyle w:val="Point1letter"/>
        <w:tabs>
          <w:tab w:val="clear" w:pos="1417"/>
        </w:tabs>
        <w:ind w:left="1134" w:right="-8"/>
        <w:rPr>
          <w:noProof/>
          <w:szCs w:val="24"/>
        </w:rPr>
      </w:pPr>
      <w:r>
        <w:t>aplinkosauginė, socialinė ar valdymo (ASV) rizika – nuostolių rizika, kylanti dėl neigiamo finansinio poveikio įstaigai dėl esamo ar galimo aplinkosauginių, socialinių ar valdymo (ASV) veiksnių poveikio įstaigos sandorio šalims arba investuotam turtui;</w:t>
      </w:r>
    </w:p>
    <w:p w14:paraId="04F8B5B7" w14:textId="77777777" w:rsidR="00183989" w:rsidRPr="00E50FA4" w:rsidRDefault="00183989" w:rsidP="00183989">
      <w:pPr>
        <w:pStyle w:val="Point1letter"/>
        <w:tabs>
          <w:tab w:val="clear" w:pos="1417"/>
        </w:tabs>
        <w:ind w:left="1134" w:right="-8"/>
        <w:rPr>
          <w:noProof/>
          <w:szCs w:val="24"/>
        </w:rPr>
      </w:pPr>
      <w:r>
        <w:t>aplinkosauginė rizika – nuostolių rizika, kylanti dėl neigiamo finansinio poveikio įstaigai dėl esamo ar galimo aplinkosauginių veiksnių poveikio įstaigos sandorio šalims arba investuotam turtui, įskaitant veiksnius, susijusius su pertvarka siekiant šių aplinkos tikslų:</w:t>
      </w:r>
    </w:p>
    <w:p w14:paraId="545FE72D" w14:textId="77777777" w:rsidR="00183989" w:rsidRPr="00E50FA4" w:rsidRDefault="00183989" w:rsidP="00183989">
      <w:pPr>
        <w:pStyle w:val="Point2number"/>
        <w:numPr>
          <w:ilvl w:val="4"/>
          <w:numId w:val="18"/>
        </w:numPr>
        <w:tabs>
          <w:tab w:val="clear" w:pos="1984"/>
        </w:tabs>
        <w:ind w:left="1701" w:right="-8"/>
        <w:rPr>
          <w:noProof/>
        </w:rPr>
      </w:pPr>
      <w:r>
        <w:t>klimato kaitos švelninimo;</w:t>
      </w:r>
    </w:p>
    <w:p w14:paraId="7E347DF0" w14:textId="77777777" w:rsidR="00183989" w:rsidRPr="00E50FA4" w:rsidRDefault="00183989" w:rsidP="00183989">
      <w:pPr>
        <w:pStyle w:val="Point2number"/>
        <w:numPr>
          <w:ilvl w:val="4"/>
          <w:numId w:val="18"/>
        </w:numPr>
        <w:tabs>
          <w:tab w:val="clear" w:pos="1984"/>
        </w:tabs>
        <w:ind w:left="1701" w:right="-8"/>
        <w:rPr>
          <w:noProof/>
        </w:rPr>
      </w:pPr>
      <w:r>
        <w:t>prisitaikymo prie klimato kaitos;</w:t>
      </w:r>
    </w:p>
    <w:p w14:paraId="3ED0632A" w14:textId="77777777" w:rsidR="00183989" w:rsidRPr="00E50FA4" w:rsidRDefault="00183989" w:rsidP="00183989">
      <w:pPr>
        <w:pStyle w:val="Point2number"/>
        <w:numPr>
          <w:ilvl w:val="4"/>
          <w:numId w:val="18"/>
        </w:numPr>
        <w:tabs>
          <w:tab w:val="clear" w:pos="1984"/>
        </w:tabs>
        <w:ind w:left="1701" w:right="-8"/>
        <w:rPr>
          <w:noProof/>
        </w:rPr>
      </w:pPr>
      <w:r>
        <w:t>tausaus vandens ir jūrų išteklių naudojimo ir apsaugos;</w:t>
      </w:r>
    </w:p>
    <w:p w14:paraId="5B790937" w14:textId="77777777" w:rsidR="00183989" w:rsidRPr="00E50FA4" w:rsidRDefault="00183989" w:rsidP="00183989">
      <w:pPr>
        <w:pStyle w:val="Point2number"/>
        <w:numPr>
          <w:ilvl w:val="4"/>
          <w:numId w:val="18"/>
        </w:numPr>
        <w:tabs>
          <w:tab w:val="clear" w:pos="1984"/>
        </w:tabs>
        <w:ind w:left="1701" w:right="-8"/>
        <w:rPr>
          <w:noProof/>
        </w:rPr>
      </w:pPr>
      <w:r>
        <w:t>perėjimo prie žiedinės ekonomikos;</w:t>
      </w:r>
    </w:p>
    <w:p w14:paraId="4D635D58" w14:textId="77777777" w:rsidR="00183989" w:rsidRPr="00E50FA4" w:rsidRDefault="00183989" w:rsidP="00183989">
      <w:pPr>
        <w:pStyle w:val="Point2number"/>
        <w:numPr>
          <w:ilvl w:val="4"/>
          <w:numId w:val="18"/>
        </w:numPr>
        <w:tabs>
          <w:tab w:val="clear" w:pos="1984"/>
        </w:tabs>
        <w:ind w:left="1701" w:right="-8"/>
        <w:rPr>
          <w:noProof/>
        </w:rPr>
      </w:pPr>
      <w:r>
        <w:t>taršos prevencijos ir kontrolės;</w:t>
      </w:r>
    </w:p>
    <w:p w14:paraId="7800D50D" w14:textId="77777777" w:rsidR="00183989" w:rsidRPr="00E50FA4" w:rsidRDefault="00183989" w:rsidP="00183989">
      <w:pPr>
        <w:pStyle w:val="Point2number"/>
        <w:numPr>
          <w:ilvl w:val="4"/>
          <w:numId w:val="18"/>
        </w:numPr>
        <w:tabs>
          <w:tab w:val="clear" w:pos="1984"/>
        </w:tabs>
        <w:ind w:left="1701" w:right="-8"/>
        <w:rPr>
          <w:noProof/>
        </w:rPr>
      </w:pPr>
      <w:r>
        <w:t>biologinės įvairovės ir ekosistemų apsaugos ir atkūrimo.</w:t>
      </w:r>
    </w:p>
    <w:p w14:paraId="52FA5CFE" w14:textId="77777777" w:rsidR="00183989" w:rsidRPr="00E50FA4" w:rsidRDefault="00183989" w:rsidP="00183989">
      <w:pPr>
        <w:pStyle w:val="Point2"/>
        <w:ind w:left="1134" w:right="568" w:firstLine="0"/>
        <w:rPr>
          <w:noProof/>
          <w:szCs w:val="24"/>
        </w:rPr>
      </w:pPr>
      <w:r>
        <w:t>Aplinkosauginė rizika apima ir fizinę riziką, ir pertvarkos riziką;</w:t>
      </w:r>
    </w:p>
    <w:p w14:paraId="69CE4D1E" w14:textId="77777777" w:rsidR="00183989" w:rsidRPr="00E50FA4" w:rsidRDefault="00183989" w:rsidP="00183989">
      <w:pPr>
        <w:pStyle w:val="Point1letter"/>
        <w:tabs>
          <w:tab w:val="clear" w:pos="1417"/>
        </w:tabs>
        <w:ind w:left="1134" w:right="-8"/>
        <w:rPr>
          <w:noProof/>
          <w:szCs w:val="24"/>
        </w:rPr>
      </w:pPr>
      <w:r>
        <w:t>fizinė rizika – nuostolių rizika, kuri yra bendros aplinkosauginės rizikos dalis ir kyla dėl neigiamo finansinio poveikio įstaigai dėl esamo ar galimo fizinio aplinkosauginių veiksnių poveikio įstaigos sandorio šalims arba investuotam turtui;</w:t>
      </w:r>
    </w:p>
    <w:p w14:paraId="2A7177BA" w14:textId="77777777" w:rsidR="00183989" w:rsidRPr="00E50FA4" w:rsidRDefault="00183989" w:rsidP="00183989">
      <w:pPr>
        <w:pStyle w:val="Point1letter"/>
        <w:tabs>
          <w:tab w:val="clear" w:pos="1417"/>
        </w:tabs>
        <w:ind w:left="1134" w:right="-8"/>
        <w:rPr>
          <w:noProof/>
          <w:szCs w:val="24"/>
        </w:rPr>
      </w:pPr>
      <w:r>
        <w:t>pertvarkos rizika – nuostolių rizika, kuri yra bendros aplinkosauginės rizikos dalis ir kyla dėl neigiamo finansinio poveikio įstaigai dėl esamo ar galimo pertvarkymo pereinant prie aplinkos atžvilgiu tvarios ekonomikos poveikio įstaigos sandorio šalims arba investuotam turtui;</w:t>
      </w:r>
    </w:p>
    <w:p w14:paraId="5E0AEFC3" w14:textId="77777777" w:rsidR="00183989" w:rsidRPr="00E50FA4" w:rsidRDefault="00183989" w:rsidP="00183989">
      <w:pPr>
        <w:pStyle w:val="Point1letter"/>
        <w:tabs>
          <w:tab w:val="clear" w:pos="1417"/>
        </w:tabs>
        <w:ind w:left="1134" w:right="-8"/>
        <w:rPr>
          <w:noProof/>
          <w:szCs w:val="24"/>
        </w:rPr>
      </w:pPr>
      <w:r>
        <w:t>socialinė rizika – nuostolių rizika, kylanti dėl neigiamo finansinio poveikio įstaigai dėl esamo ar galimo socialinių veiksnių poveikio įstaigos sandorio šalims arba investuotam turtui;</w:t>
      </w:r>
    </w:p>
    <w:p w14:paraId="649CF9D5" w14:textId="77777777" w:rsidR="00183989" w:rsidRPr="00E50FA4" w:rsidRDefault="00183989" w:rsidP="00183989">
      <w:pPr>
        <w:pStyle w:val="Point1letter"/>
        <w:tabs>
          <w:tab w:val="clear" w:pos="1417"/>
        </w:tabs>
        <w:ind w:left="1134" w:right="-8"/>
        <w:rPr>
          <w:noProof/>
        </w:rPr>
      </w:pPr>
      <w:r>
        <w:t>valdymo rizika – nuostolių rizika, kylanti dėl neigiamo finansinio poveikio įstaigai dėl esamo ar galimo valdymo veiksnių poveikio įstaigos sandorio šalims arba investuotam turtui.</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Visuose šiuose nurodymuose daromos nuorodos į tarptautines ir Sąjungos politikos sistemas ir esamus lyginamuosius indeksus apima: Paryžiaus susitarimą, priimtą pagal Jungtinių Tautų bendrąją klimato kaitos konvenciją</w:t>
      </w:r>
      <w:r>
        <w:rPr>
          <w:rFonts w:ascii="Times New Roman" w:hAnsi="Times New Roman"/>
          <w:sz w:val="24"/>
          <w:vertAlign w:val="superscript"/>
        </w:rPr>
        <w:t>*</w:t>
      </w:r>
      <w:r>
        <w:rPr>
          <w:rFonts w:ascii="Times New Roman" w:hAnsi="Times New Roman"/>
          <w:sz w:val="20"/>
          <w:vertAlign w:val="superscript"/>
        </w:rPr>
        <w:t xml:space="preserve">1 </w:t>
      </w:r>
      <w:r>
        <w:rPr>
          <w:rFonts w:ascii="Times New Roman" w:hAnsi="Times New Roman"/>
          <w:sz w:val="20"/>
        </w:rPr>
        <w:t>(</w:t>
      </w:r>
      <w:r>
        <w:rPr>
          <w:rFonts w:ascii="Times New Roman" w:hAnsi="Times New Roman"/>
          <w:sz w:val="24"/>
        </w:rPr>
        <w:t>toliau – Paryžiaus susitarimas), Komisijos komunikatą dėl Europos žaliojo kurso</w:t>
      </w:r>
      <w:r>
        <w:rPr>
          <w:rFonts w:ascii="Times New Roman" w:hAnsi="Times New Roman"/>
          <w:sz w:val="24"/>
          <w:vertAlign w:val="superscript"/>
        </w:rPr>
        <w:t>*2</w:t>
      </w:r>
      <w:r>
        <w:rPr>
          <w:rFonts w:ascii="Times New Roman" w:hAnsi="Times New Roman"/>
          <w:sz w:val="24"/>
        </w:rPr>
        <w:t>, Europos Parlamento ir Tarybos direktyvą 2013/34/ES</w:t>
      </w:r>
      <w:r>
        <w:rPr>
          <w:rFonts w:ascii="Times New Roman" w:hAnsi="Times New Roman"/>
          <w:sz w:val="24"/>
          <w:vertAlign w:val="superscript"/>
        </w:rPr>
        <w:t>*3</w:t>
      </w:r>
      <w:r>
        <w:rPr>
          <w:rFonts w:ascii="Times New Roman" w:hAnsi="Times New Roman"/>
          <w:sz w:val="24"/>
        </w:rPr>
        <w:t>,</w:t>
      </w:r>
      <w:r>
        <w:rPr>
          <w:rFonts w:ascii="Times New Roman" w:hAnsi="Times New Roman"/>
          <w:sz w:val="24"/>
          <w:vertAlign w:val="superscript"/>
        </w:rPr>
        <w:t xml:space="preserve"> </w:t>
      </w:r>
      <w:r>
        <w:rPr>
          <w:rFonts w:ascii="Times New Roman" w:hAnsi="Times New Roman"/>
          <w:sz w:val="24"/>
        </w:rPr>
        <w:t xml:space="preserve"> Europos Parlamento ir Tarybos direktyvą 2014/95/ES</w:t>
      </w:r>
      <w:r>
        <w:rPr>
          <w:rFonts w:ascii="Times New Roman" w:hAnsi="Times New Roman"/>
          <w:sz w:val="24"/>
          <w:vertAlign w:val="superscript"/>
        </w:rPr>
        <w:t>*4</w:t>
      </w:r>
      <w:r>
        <w:rPr>
          <w:rFonts w:ascii="Times New Roman" w:hAnsi="Times New Roman"/>
          <w:sz w:val="24"/>
        </w:rPr>
        <w:t>, Komisijos komunikatą „Nefinansinių ataskaitų teikimo gairės: Papildomas dokumentas dėl su klimatu susijusios informacijos teikimo“</w:t>
      </w:r>
      <w:r>
        <w:rPr>
          <w:rFonts w:ascii="Times New Roman" w:hAnsi="Times New Roman"/>
          <w:sz w:val="24"/>
          <w:vertAlign w:val="superscript"/>
        </w:rPr>
        <w:t>*5</w:t>
      </w:r>
      <w:r>
        <w:rPr>
          <w:rFonts w:ascii="Times New Roman" w:hAnsi="Times New Roman"/>
          <w:sz w:val="24"/>
        </w:rPr>
        <w:t xml:space="preserve">, Su klimatu susijusios finansinės informacijos atskleidimo darbo grupės (TCFD) </w:t>
      </w:r>
      <w:r>
        <w:rPr>
          <w:rFonts w:ascii="Times New Roman" w:hAnsi="Times New Roman"/>
          <w:sz w:val="24"/>
        </w:rPr>
        <w:lastRenderedPageBreak/>
        <w:t>rekomendacijose pateiktas gaires</w:t>
      </w:r>
      <w:r>
        <w:rPr>
          <w:rFonts w:ascii="Times New Roman" w:hAnsi="Times New Roman"/>
          <w:sz w:val="24"/>
          <w:vertAlign w:val="superscript"/>
        </w:rPr>
        <w:t>*6</w:t>
      </w:r>
      <w:r>
        <w:rPr>
          <w:rFonts w:ascii="Times New Roman" w:hAnsi="Times New Roman"/>
          <w:sz w:val="24"/>
        </w:rPr>
        <w:t>, Jungtinių Tautų aplinkos programos finansų iniciatyvą (angl. UNEP FI)</w:t>
      </w:r>
      <w:r>
        <w:rPr>
          <w:rFonts w:ascii="Times New Roman" w:hAnsi="Times New Roman"/>
          <w:sz w:val="24"/>
          <w:vertAlign w:val="superscript"/>
        </w:rPr>
        <w:t>*7</w:t>
      </w:r>
      <w:r>
        <w:rPr>
          <w:rFonts w:ascii="Times New Roman" w:hAnsi="Times New Roman"/>
          <w:sz w:val="24"/>
        </w:rPr>
        <w:t>, Pasaulinės atsiskaitymo iniciatyvos informacijos apie tvarumą teikimo standartus</w:t>
      </w:r>
      <w:r>
        <w:rPr>
          <w:rFonts w:ascii="Times New Roman" w:hAnsi="Times New Roman"/>
          <w:sz w:val="24"/>
          <w:vertAlign w:val="superscript"/>
        </w:rPr>
        <w:t>*8</w:t>
      </w:r>
      <w:r>
        <w:rPr>
          <w:rFonts w:ascii="Times New Roman" w:hAnsi="Times New Roman"/>
          <w:sz w:val="24"/>
        </w:rPr>
        <w:t xml:space="preserve"> ir Jungtinių Tautų atsakingo investavimo principus (angl. UNPRI)</w:t>
      </w:r>
      <w:r>
        <w:rPr>
          <w:rFonts w:ascii="Times New Roman" w:hAnsi="Times New Roman"/>
          <w:sz w:val="24"/>
          <w:vertAlign w:val="superscript"/>
        </w:rPr>
        <w:t>*9</w:t>
      </w:r>
      <w:r>
        <w:rPr>
          <w:rFonts w:ascii="Times New Roman" w:hAnsi="Times New Roman"/>
          <w:sz w:val="24"/>
        </w:rPr>
        <w:t>.</w:t>
      </w:r>
    </w:p>
    <w:p w14:paraId="4D659D14" w14:textId="77777777" w:rsidR="00183989" w:rsidRPr="00E50FA4" w:rsidRDefault="00183989" w:rsidP="00183989">
      <w:pPr>
        <w:jc w:val="both"/>
        <w:rPr>
          <w:rFonts w:ascii="Times New Roman" w:hAnsi="Times New Roman" w:cs="Times New Roman"/>
          <w:b/>
          <w:noProof/>
          <w:sz w:val="24"/>
          <w:lang w:val="en-GB"/>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1 lentelė. Kokybinė informacija apie aplinkosauginę riziką:</w:t>
      </w:r>
      <w:r>
        <w:rPr>
          <w:rFonts w:ascii="Times New Roman" w:hAnsi="Times New Roman"/>
          <w:sz w:val="24"/>
        </w:rPr>
        <w:t xml:space="preserve"> laisvos formos teksto laukeliai, skirti XXXIX priede nurodytai kokybinei informacijai atskleisti</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Pildydamos šio reglamento XXXIX priede pateiktą 1 lentelę „Kokybinė informacija apie aplinkosauginę riziką“, įstaigos naudojasi toliau pateiktais nurodymais, kad apibūdintų, kaip jos į savo verslo strategiją ir procesus, valdymą ir rizikos valdymą integruoja aplinkosauginę riziką, įskaitant konkrečią informaciją apie klimato kaitos riziką ir kitą aplinkosauginę riziką. Tai daroma siekiant laikytis Reglamento (ES) Nr. 575/2013 449a straipsnio kartu su to reglamento 435 straipsniu.</w:t>
      </w:r>
    </w:p>
    <w:p w14:paraId="758D80B4" w14:textId="77777777" w:rsidR="00183989" w:rsidRPr="00340D55" w:rsidRDefault="00183989" w:rsidP="00183989">
      <w:pPr>
        <w:spacing w:before="120" w:after="120"/>
        <w:jc w:val="both"/>
        <w:rPr>
          <w:noProof/>
          <w:lang w:val="es-E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Nuorodos į teisės aktus ir nurodymai</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Eilutės numeris</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Paaiškinimas</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Verslo strategija ir procesai</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1 dalies a ir e punktais, įstaigos turi paaiškinti, kaip į jų verslo modelį, strategiją ir procesus bei jų finansinį planavimą integruota su aplinkos veiksniais susijusi rizika (t. y. aplinkosauginė rizika) ir kaip ta rizika ilgainiui gali kisti dėl kintančių technologijų, politikos sistemos, verslo aplinkos, suinteresuotųjų subjektų pageidavimų ir pačios fizinės aplinkos pokyčių.</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Pagal Reglamento (ES) Nr. 575/2013 449a straipsnį kartu su to reglamento 435 straipsnio 1 dalies a punktu ir c–f punktais, įstaigos nustato aplinkosauginės rizikos vertinimo ir valdymo tikslus, uždavinius ir ribas. Įstaigos paaiškina, kokius procesus jos naudoja tiems tikslams, uždaviniams ir riboms nustatyti.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Įstaigos paaiškina, kaip tie tikslai, uždaviniai ir ribos yra susiję su dabartine tarptautine ir Sąjungos politikos sistema ir esamais lyginamaisiais indeksais.</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įstaigos teikia informaciją apie savo dabartines ir būsimas (planuojamas) investicijas į aplinkos atžvilgiu tvarią veiklą ir į veiklą bei sektorius, atitinkančius Reglamento (ES) 2020/852 9 straipsnyje nustatytus aplinkos tikslus, įskaitant susijusius su klimatu.</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Jei ta informacija priklauso nuo pačios įstaigos politikos arba yra pagrįsta įstaigos vidaus technine užduotimi, įstaigos į savo atskleidžiamą informaciją įtraukia tos politikos ir vidaus techninės užduoties aprašymą.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1 dalies d punktu, įstaigos teikia informaciją apie priemones, kurių jos ėmėsi su aplinkos veiksniais siejamai rizikai sumažinti. Įstaigos turi atsižvelgti į sandorio šalies gebėjimą valdyti aplinkosauginę riziką.</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340D55"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Valdymas</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1 dalies b punktu ir 2 dalies a, b ir c punktais, įstaigos teikia informaciją apie tai, kaip jų valdymo organas dalyvauja prižiūrint ir valdant aplinkosauginę riziką. Įstaigos turi atsižvelgti į galimus tokios aplinkosauginės rizikos (įskaitant fizinę, pertvarkos ir civilinės atsakomybės riziką) perdavimo kanalus.</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2 dalies d punktu, įstaigos teikia informaciją apie tai, kaip jų valdymo organas, siekdamas valdyti riziką, į įstaigos organizacinę struktūrą integruoja trumpalaikį, vidutinės trukmės ir ilgalaikį aplinkosauginės rizikos poveikį. Įstaigos turi paaiškinti, kaip tokie veiksmai valdymo organo lygmeniu atsispindi jų verslo linijose ir vidaus kontrolės funkcijose.</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2 dalies a, b ir c punktais, įstaigos teikia informaciją apie savo rizikos komitetų organizavimą ir apie užduočių bei pareigų paskirstymą rizikos valdymo sistemoje siekiant stebėti ir valdyti aplinkosauginę riziką, atsižvelgiant į fizinius, pertvarkos ir atsakomybės rizikos perdavimo kanalus.</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2 dalies e punktu, įstaigos teikia informaciją apie tai, kokiais būdais jos į savo vidinę pranešimų teikimo sistemą ir struktūrą įtraukia aplinkosauginę riziką, taip pat informaciją apie tai, kaip dažnai teikiami jų vidaus pranešimai ir keičiamasi informacija apie tokią riziką.</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2 dalies e punktu, įstaigos teikia informaciją apie tai, ar aplinkosauginė rizika yra įtraukta į jų atlygio politiką, ir apie kriterijus bei parametrus, naudojamus nustatant aplinkosauginės rizikos veiksnių poveikį kintamajam atlygiui.</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340D55"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Rizikos valdymas</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Pagal Reglamento (ES) Nr. 575/2013 449a straipsnį kartu su to reglamento 435 straipsnio 1 dalies f punktu, įstaigos teikia informaciją apie tai, kaip jos į priimtinos rizikos sistemą integruoja trumpalaikį, vidutinės trukmės ir ilgalaikį aplinkos veiksnių poveikį ir aplinkosauginę riziką. Dėl tinkamo laikotarpio įstaigos sprendžia pačios atsižvelgdamos į savo rizikos profilį ir pozicijas.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Pagal Reglamento (ES) Nr. 575/2013 449a straipsnį kartu su to reglamento 435 straipsnio 1 dalies a punktu, įstaigos teikia informaciją apie metodus, apibrėžtis ir standartus, naudojamus aplinkos veiksniams ir aplinkosauginei rizikai nustatyti ir valdyti, taip pat apie tai, kokia sistema grindžiami tie standartai, apibrėžtys ir metodai.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paaiškina, kaip tokie metodai, apibrėžtys ir standartai susiję su taikytina tarptautine ir Sąjungos politikos sistema ir esamais lyginamaisiais </w:t>
            </w:r>
            <w:r>
              <w:rPr>
                <w:rFonts w:ascii="Times New Roman" w:hAnsi="Times New Roman"/>
                <w:sz w:val="24"/>
              </w:rPr>
              <w:lastRenderedPageBreak/>
              <w:t>indeksais.</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1 dalies a punktu, įstaigos atskleidžia informaciją apie:</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procesus, kuriais įstaiga nustato ir stebi savo veiklą bei pozicijas, jautrias ir pažeidžiamas aplinkosauginės rizikos atžvilgiu, įskaitant visą su tokia veikla ir pozicijomis susijusį kilnojamąjį ir nekilnojamąjį turtą;</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procesus, kuriais įstaiga nustato ir stebi aplinkosauginę riziką, kuri yra finansiškai reikšminga arba šiuo metu nereikšminga, tačiau ateityje gali tapti reikšminga.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Aplinkosauginės rizikos atžvilgiu jautri ir pažeidžiama veikla, pozicijos ir turtas apima, be kita ko, su žemės ūkiu, žuvininkyste, miškininkyste ir energetikos sektoriais susijusią veiklą, pozicijas ir turtą, kartu atsižvelgiant į jų geografinę padėtį, priklausomybę nuo vandens ar kitus aplinkos veiksnius ir riziką, kuriuos gali paveikti įvairūs veiksniai, kaip antai potvyniai, sausros, gaisrai ir biologinės įvairovės nykimas. Jie taip pat apima sandorio šalies operacijų koncentraciją rizikos zonose ir laikoma, kad jie apima visą sandorio šalies vertės grandinę.</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Atskleisdamos šiame punkte nurodytą informaciją, įstaigos nurodo reikšmingumą (įskaitant dvigubą reikšmingumą), kurį reikėtų suprasti taip, kaip apibrėžta Europos Parlamento ir Tarybos direktyvos 2013/36/ES</w:t>
            </w:r>
            <w:r>
              <w:rPr>
                <w:rFonts w:ascii="Times New Roman" w:hAnsi="Times New Roman"/>
                <w:sz w:val="24"/>
                <w:vertAlign w:val="superscript"/>
              </w:rPr>
              <w:t>*10</w:t>
            </w:r>
            <w:r>
              <w:rPr>
                <w:rFonts w:ascii="Times New Roman" w:hAnsi="Times New Roman"/>
                <w:sz w:val="24"/>
              </w:rPr>
              <w:t xml:space="preserve"> 98 straipsnio 8 dalyje nurodytoje ataskaitoje pateiktose apibrėžtyse, ir aptaria visą pozicijų gyvavimo ciklą, įskaitant paskolos išdavimo procesą ir sandorio šalies kreditingumo vertinimą bei stebėseną.</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paaiškina, kokiu mastu toks vertinimas apima atitinkamus perdavimo kanalus, įskaitant i) mažesnį pelningumą, ii) mažesnę nekilnojamojo turto vertę, mažesnį namų ūkių turtą, iii) prastesnius turto rodiklius, iv) didesnes reikalavimų laikymosi išlaidas ir v) didesnes teisines išlaidas.</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Įstaiga, kuri laiko, kad jokia aplinkosauginė rizika nėra reikšminga, paaiškina ir pagrindžia, kodėl taip yra, ir apibūdina metodus, kuriuos naudojant prieita prie tokios išvados.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1 dalies d punktu, įstaigos teikia informaciją apie aplinkosauginei rizikai sumažinti vykdomą veiklą, prisiimtus įsipareigojimus ir skirtas pozicijas.</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atskleidžia, kokius metodus jos naudoja rizikos mažinimo priemonėms ir veiklai nustatyti. Be to, jos pateikia informaciją apie tai, kokiu mastu toje veikloje, įsipareigojimuose ir pozicijose atsižvelgta į atitinkamus perdavimo kanalus, įskaitant i) mažesnį pelningumą, ii) mažesnę nekilnojamojo turto vertę, mažesnį namų ūkių turtą, iii) prastesnius turto rodiklius, iv) didesnes reikalavimų laikymosi išlaidas ir v) didesnes teisines išlaidas.</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Pagal Reglamento (ES) Nr. 575/2013 449a straipsnį kartu su to reglamento 435 straipsnio 1 dalies a ir f punktais, įstaigos teikia informaciją apie įgyvendinimo priemones, kurias jos naudoja aplinkosauginei rizikai nustatyti </w:t>
            </w:r>
            <w:r>
              <w:rPr>
                <w:rFonts w:ascii="Times New Roman" w:hAnsi="Times New Roman"/>
                <w:sz w:val="24"/>
              </w:rPr>
              <w:lastRenderedPageBreak/>
              <w:t>ir valdyti. Tokios priemonės apima testavimą nepalankiausiomis sąlygomis, jautrumo analizę ar kitus ateities perspektyvomis grindžiamus rodiklius, priklausomai nuo rizikos reikšmingumo taikomus pozicijų lygmeniu, portfelio lygmeniu, sandorio šalies ar sektoriaus lygmeniu.</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Atskleidžiamoje informacijoje nurodomos prielaidos ir metodai, kuriais grindžiamos atitinkamos įgyvendinimo priemonės. Įstaigos taip pat nurodo aplinkosauginės rizikos vertinimo pagal apskaitos ir prudencinius parametrus laikotarpį, t. y. ar jis yra trumpalaikis, vidutinės trukmės ar ilgalaikis.</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1 dalies a ir f punktais, įstaigos apibūdina vertinimo rezultatą, gautą naudojant rizikos priemonę pagal 14 punktą.</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vykdydamos vidaus kapitalo pakankamumo vertinimo procesą (ICAAP) ir vidaus likvidumo pakankamumo vertinimo procesą (ILAAP), nurodo įvertintą aplinkosauginės rizikos, įskaitant klimato kaitos riziką, poveikį įstaigos mokumui, reguliuojamojo kapitalo poreikiui ir likvidumo rizikos pobūdžiui.</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įstaigos teikia informaciją apie tai, kokius duomenis ir informaciją jos turi aplinkosauginei rizikai valdyti, kokių svarbių duomenų ir informacijos šiuo metu trūksta ir kokių priemonių jos imasi duomenų spragoms pašalinti ir duomenų kokybei bei tikslumui pagerinti.</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1 dalies f punktu, įstaigos teikia informaciją apie finansavimo ribas, kurias jos nustato projektams ar sandorio šalims, darantiems reikšmingą žalą įstaigos verslo strategijoje nustatytiems aplinkos tikslams.</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Tos ribos apima ribas, kurias įstaigos nustato inicijavimo ir stebėsenos metu, siekdamos išvengti aplinkosauginės rizikos arba ją sumažinti, ir ribas, rodančias, kada dėl konkrečios pozicijos reikėtų imtis taisomųjų veiksmų, atlikti tolesnį tyrimą, perduoti klausimą spręsti aukštesniu įstaigos lygmeniu arba pašalinti poziciją iš portfelio.</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apibūdina, kaip jos atsiradusią aplinkosauginę riziką priskiria savo balanse ir susieja ją su kredito rizika, likvidumo rizika, rinkos rizika ir operacine rizika.</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turi paaiškinti, kaip jos vertina ir valdo perėjimo prie mažo anglies dioksido kiekio technologijų ir klimato kaitos poveikiui atsparios ekonomikos poveikį prudencinės rizikos kategorijoms, įskaitant kredito riziką, likvidumo riziką, rinkos riziką ir operacinę riziką.</w:t>
            </w:r>
          </w:p>
        </w:tc>
      </w:tr>
    </w:tbl>
    <w:p w14:paraId="1A459844" w14:textId="77777777" w:rsidR="00183989" w:rsidRPr="00340D55" w:rsidRDefault="00183989" w:rsidP="00183989">
      <w:pPr>
        <w:jc w:val="both"/>
        <w:rPr>
          <w:rFonts w:ascii="Times New Roman" w:hAnsi="Times New Roman" w:cs="Times New Roman"/>
          <w:b/>
          <w:noProof/>
          <w:sz w:val="24"/>
        </w:rPr>
      </w:pPr>
    </w:p>
    <w:p w14:paraId="7AEF1E59" w14:textId="77777777" w:rsidR="00183989" w:rsidRPr="00340D55"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2 lentelė. Kokybinė informacija apie socialinę riziką: laisvos formos teksto laukeliai</w:t>
      </w:r>
      <w:r>
        <w:rPr>
          <w:rFonts w:ascii="Times New Roman" w:hAnsi="Times New Roman"/>
          <w:sz w:val="24"/>
        </w:rPr>
        <w:t xml:space="preserve">, skirti XXXVII priede nurodytai kokybinei informacijai </w:t>
      </w:r>
      <w:r>
        <w:rPr>
          <w:rFonts w:ascii="Times New Roman" w:hAnsi="Times New Roman"/>
          <w:b/>
          <w:sz w:val="24"/>
        </w:rPr>
        <w:t>atskleisti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Pildydamos šio reglamento XXXIX priede pateiktą 2 lentelę „Kokybinė informacija apie socialinę riziką“, įstaigos naudojasi toliau pateiktais nurodymais, kad pagal Reglamento (ES) Nr. 575/2013 449a straipsnį kartu su to reglamento 435 straipsniu </w:t>
      </w:r>
      <w:r>
        <w:rPr>
          <w:rFonts w:ascii="Times New Roman" w:hAnsi="Times New Roman"/>
          <w:sz w:val="24"/>
        </w:rPr>
        <w:lastRenderedPageBreak/>
        <w:t xml:space="preserve">apibūdintų, kaip jos į savo verslo strategiją ir procesus, valdymą ir rizikos valdymą integruoja socialinę riziką.  </w:t>
      </w:r>
    </w:p>
    <w:p w14:paraId="4C6EAE40" w14:textId="77777777" w:rsidR="00183989" w:rsidRPr="00340D55"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Nuorodos į teisės aktus ir nurodymai</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Eilutės numeris</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Paaiškinimas</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Verslo strategija ir procesai</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1 dalies a ir e punktais, įstaigos apibūdina, kaip į jų verslo modelį, strategiją ir procesus bei jų finansinį planavimą integruota su socialiniais veiksniais susijusi rizika (t. y. socialinė rizika) ir kaip ta rizika ilgainiui gali kisti dėl kintančių technologijų, politikos sistemos, verslo aplinkos ir suinteresuotųjų subjektų pageidavimų.</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Pagal Reglamento (ES) Nr. 575/2013 449a straipsnį kartu su to reglamento 435 straipsnio 1 dalies a punktu ir c–f punktais, įstaigos pateikia socialinės rizikos vertinimo ir valdymo tikslų, uždavinių ir ribų apibūdinimą, taip pat procesų, kuriuos jos naudoja tiems tikslams, uždaviniams ir riboms nustatyti, apibūdinimą.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Įstaigos paaiškina, kaip tie tikslai, uždaviniai ir ribos yra susiję su dabartine tarptautine ir Sąjungos politikos sistema ir esamais lyginamaisiais indeksais.</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Socialiniai aspektai apima žmogaus teisių pažeidimus, darbo teises, pajamų nelygybę, nepakankamą žmogaus teisių užtikrinimą, vartotojų saugą ir apsaugą, privatumą, skurdą ir nediskriminavimą. Be to, klimato kaita ir perėjimas prie mažo anglies dioksido kiekio technologijų ekonomikos daro socialinį poveikį, apimantį darbo rinkos pokyčius. Šie pokyčiai – tai, be kita ko, tam tikrų darbo vietų ir įgūdžių paklausos sumažėjimas, naujų darbo vietų ir įgūdžių atsiradimas, kintantys vartotojų prioritetai, akcininkų noras greitai integruoti su klimatu, aplinka ir socialiniais klausimais susijusius pokyčius savo įmonėse, kaip išdėstyta EBI ataskaitos, priimtos pagal Direktyvos 2013/36/ES 98 straipsnio 8 dalį, 78 punkte.</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1 dalies d punktu, įstaigos apibūdina, kaip jos imasi priemonių su socialiniais veiksniais susijusiai rizikai mažinti, be kita ko, išsiaiškina sandorio šalių gebėjimą valdyti socialinę riziką ir veda su jomis dialogą, kad sumažintų socialinę riziką.</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340D55"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Valdymas</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1 dalies b punktu ir 2 dalies a, b ir c punktais, įstaigos apibūdina, kaip jų valdymo organas dalyvauja prižiūrint ir valdant socialinę riziką. Toje informacijoje paaiškinamas valdymo organo vykdomos strategijos loginis pagrindas ir aptariami įvairūs socialiniai veiksniai. Tarp šių veiksnių – įstaigos įsipareigojimas bendruomenei ir visuomenei, jos santykiai su darbuotojais ir darbo standartų laikymasis, vartotojų apsauga ir atsakomybė už produktus, taip pat žmogaus teisės.</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2 dalies a, b ir c punktais, įstaigos apibūdina, kaip jos organizuoja rizikos komitetų veiklą ir kaip paskirsto užduotis bei pareigas rizikos valdymo sistemoje, kad socialinė rizika būtų stebima ir valdoma.</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Įstaigos teikia informaciją ir apie savo vidaus, ir apie išorės išteklius, skirtus socialinei rizikai įvertinti.</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2 dalies e punktu, įstaigos apibūdina, kaip jos į savo vidinę pranešimų teikimo sistemą ir struktūrą įtraukia socialinę riziką, ir nurodo, kaip dažnai teikiami jų vidaus pranešimai ir keičiamasi informacija apie socialinę riziką.</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2 dalies e punktu, įstaigos teikia informaciją apie tai, ar socialinė rizika yra įtraukta į jų atlygio politiką, taip pat apie kriterijus bei parametrus, naudojamus nustatant socialinės rizikos veiksnių poveikį kintamajam atlygiui.</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340D55"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Rizikos valdymas</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Pagal Reglamento (ES) Nr. 575/2013 449a straipsnį kartu su to reglamento 435 straipsnio 1 dalies a punktu, įstaigos teikia informaciją apie tai, kokius metodus, apibrėžtis ir standartus jos naudoja socialiniams veiksniams ir socialinei rizikai nustatyti ir valdyti, taip pat apie tai, kokia sistema grindžiami tie standartai, apibrėžtys ir metodai.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turi paaiškinti, kaip tie metodai, apibrėžtys ir standartai susiję su taikytina tarptautine ir Sąjungos politikos sistema ir esamais lyginamaisiais indeksais.</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1 dalies a punktu, įstaigos teikia informaciją apie procesą, kuriuo jos nustato ir stebi savo veiklą ir pozicijas, kurioms turi įtakos socialinė rizika, be kita ko, per jų sandorio šalis, investicinę arba turto valdymo veiklą, įskaitant bet kokį su ta veikla ir pozicijomis susijusį kilnojamąjį ir nekilnojamąjį turtą.</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teikia informaciją apie procesus, kuriais jos nustato ir stebi socialinę riziką, kuri yra finansiškai reikšminga arba šiuo metu nereikšminga, tačiau ateityje gali tapti reikšminga.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Tokia veikla, pozicijos ir turtas, jautrūs socialinės rizikos atžvilgiu, gali būti susiję su sandorio šalių padarytais darbo teisės, žmogaus teisių ar kitų socialinių įstatymų ar teisių pažeidimais, dėl kurių gali kilti teisinių ginčų. Konkrečiau, sektoriai, kuriems būdinga didesnė socialinė rizika, gali apimti sektorius, kuriuose dirba darbuotojai migrantai, mokamas mažas darbo užmokestis, yra blogi darbo standartai arba prastos darbo sąlygos, ir tai daro neigiamą poveikį bendruomenėms bei yra didesnė tikimybė, kad jie pateks į viešos ir politinės kontrolės akiratį.</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1 dalies a punktu, įstaigos teikia informaciją apie socialinei rizikai sumažinti vykdomą veiklą, prisiimtus įsipareigojimus ir skirtą turtą.</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1 dalies a punktu, įstaigos teikia informaciją apie įgyvendinimo priemones, kurias jos naudoja socialinei rizikai nustatyti ir valdyti. Tokios priemonės apima scenarijų analizę, taikomą pozicijų lygmeniu, portfelio lygmeniu, sandorio šalies ar sektoriaus lygmeniu, ir jose nagrinėjami veiksniai, įskaitant migraciją, demografines tendencijas ir darbo jėgos bei technologinius pokyčius.</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Socialinė rizika taip pat gali apimti vartotojų elgesio pokyčius, su diskriminacija ir socialine įtrauktimi susijusius klausimus, taip pat su didėjančia nelygybe, klimato kaitos socialiniu poveikiu, prisitaikymu prie klimato kaitos ir (arba) jos švelninimu ir aplinkos būklės blogėjimu susijusių scenarijų analizę.</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pateikia informaciją apie prielaidas ir metodus, naudotus tokiai scenarijų analizei atlikti. Įstaigos nurodo socialinės rizikos vertinimo pagal apskaitos ir prudencinius parametrus laikotarpį, t. y. ar jis yra trumpalaikis, vidutinės trukmės ar ilgalaikis.</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1 dalies f punktu, įstaigos teikia informaciją apie finansavimo ribas, kurias jos nustato projektams ar sandorio šalims, darantiems reikšmingą žalą jų verslo strategijoje nustatytiems socialiniams tikslams.</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Tos ribos apima ribas, kurias įstaigos nustato inicijavimo ir stebėsenos metu, siekdamos išvengti socialinės rizikos arba ją sumažinti, ir ribas, rodančias, kada dėl konkrečios pozicijos reikėtų atlikti tolesnį tyrimą, perduoti klausimą spręsti aukštesniu įstaigos lygmeniu, imtis taisomųjų veiksmų arba poziciją pašalinti iš portfelio.</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įstaigos pateikia informaciją apie būdus, kuriais jos atsiradusią socialinę riziką priskiria savo balanse ir susieja ją su kredito rizika, likvidumo rizika, rinkos rizika ir operacine rizika.</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turi teikti informaciją apie tai, kokiais būdais jos vertina ir valdo socialiniu aspektu svarbių žalingų įvykių poveikį prudencinės rizikos kategorijoms, įskaitant kredito riziką, likvidumo riziką, rinkos riziką ir operacinę riziką.</w:t>
            </w:r>
          </w:p>
        </w:tc>
      </w:tr>
    </w:tbl>
    <w:p w14:paraId="7BD0A166" w14:textId="77777777" w:rsidR="00183989" w:rsidRPr="00340D55"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3 lentelė. Kokybinė informacija apie valdymo riziką:</w:t>
      </w:r>
      <w:r>
        <w:rPr>
          <w:rFonts w:ascii="Times New Roman" w:hAnsi="Times New Roman"/>
          <w:sz w:val="24"/>
        </w:rPr>
        <w:t xml:space="preserve"> laisvos formos teksto laukeliai, skirti XXXVII priede nurodytai kokybinei informacijai atskleisti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Pildydamos šio reglamento XXXIX priede pateiktą 3 lentelę „Kokybinė informacija apie valdymo riziką“, įstaigos naudojasi toliau pateiktais nurodymais, kad pagal Reglamento (ES) Nr. 575/2013 449a straipsnį kartu su to reglamento 435 straipsniu apibūdintų, kaip jos į savo valdymą ir rizikos valdymą integruoja valdymo riziką.</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Nuorodos į teisės aktus ir nurodymai</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lastRenderedPageBreak/>
              <w:t>Eilutės numeris</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Paaiškinimas</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Valdymas</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Pagal Reglamento (ES) Nr. 575/2013 449a straipsnį kartu su to reglamento 435 straipsnio 2 dalimi, įstaigos teikia informaciją apie būdus, kuriais jos į savo valdymo priemones integruoja sandorio šalies valdymo rezultatus.</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Aptartini sandorio šalies valdymo rezultatų aspektai apima būtinus sandorio šalies sprendimų priėmimo, priežiūros ir valdymo procesų etapus visais lygmenimis, įskaitant aukščiausiojo valdymo organo komitetus ir už sprendimų ekonomikos, aplinkos ir socialiniais klausimais priėmimą atsakingus komitetus.</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Įstaigos paaiškina, kaip jos atsižvelgia į sandorio šalies aukščiausiojo valdymo organo vaidmenį nefinansinės informacijos atskleidimo procese, įskaitant aukščiausiąjį komitetą arba funkcinę poziciją, kurie oficialiai peržiūri ir tvirtina organizacijos tvarumo ataskaitą ir užtikrina, kad joje būtų aptartos visos reikšmingos temos.</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Pagal Reglamento (ES) Nr. 575/2013 449a straipsnį kartu su to reglamento 435 straipsnio 2 dalimi, įstaigos teikia informaciją apie tai, kaip jos į savo valdymo priemones integruoja savo sandorio šalies valdymo rezultatus.</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Turi būti aptariami visi šie su įstaigos sandorio šalių valdymo rezultatais susiję aspektai:</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etikos aspektai, įskaitant elgesio sąžiningumą, vertybes ir etiką, kovos su kyšininkavimu ir su korupcija priemones, atskaitomybę ir įstatymo viršenybę;</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strategija ir rizikos valdymas, įskaitant strategijos įgyvendinimą, operacijų vykdymą ir stebėseną, vidaus kontrolės priemones ir rizikos valdymo politiką bei procedūras;</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įtraukumas, įskaitant lyčių nelygybę ir mažumų grupėms priklausančių asmenų atstovavimą vadovybėje, pajamų skirtumas;</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skaidrumas, įskaitant informaciją apie diskriminaciją, mokestinius įsipareigojimus ir mokėjimus, informaciją apie lobistinę veiklą, taisykles bei praktiką;</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interesų konfliktų valdymas, įskaitant aukščiausiojo valdymo organo procesus, kuriais siekiama užtikrinti, kad interesų konfliktų būtų išvengta, jie būtų valdomi ir švelninami; taip pat</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vidaus komunikacija svarbiausiais klausimais, įskaitant tai, kaip veikia sandorio šalies vidaus procesas, kuriuo aukščiausiajam valdymo organui pranešama apie svarbiausius susirūpinimą keliančius klausimus.</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340D55"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Rizikos valdymas</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 xml:space="preserve">Pagal Reglamento (ES) Nr. 575/2013 449a straipsnį kartu su to reglamento 435 straipsnio 1 dalimi, įstaigos teikia informaciją apie tai, kaip jos į savo valdymo priemones integruoja savo sandorio šalių valdymo rezultatus – tuo </w:t>
            </w:r>
            <w:r>
              <w:rPr>
                <w:rFonts w:ascii="Times New Roman" w:hAnsi="Times New Roman"/>
                <w:sz w:val="24"/>
              </w:rPr>
              <w:lastRenderedPageBreak/>
              <w:t>tikslu jos aptaria 3 eilutėje išvardytus aspektus.</w:t>
            </w:r>
          </w:p>
        </w:tc>
      </w:tr>
    </w:tbl>
    <w:p w14:paraId="4ABD82C5" w14:textId="77777777" w:rsidR="00183989" w:rsidRPr="00340D55"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301FDBAF"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1 </w:t>
      </w:r>
      <w:r w:rsidR="00AA1437">
        <w:rPr>
          <w:rFonts w:ascii="Times New Roman" w:hAnsi="Times New Roman"/>
          <w:b/>
          <w:sz w:val="24"/>
        </w:rPr>
        <w:t>forma</w:t>
      </w:r>
      <w:r>
        <w:rPr>
          <w:rFonts w:ascii="Times New Roman" w:hAnsi="Times New Roman"/>
          <w:b/>
          <w:sz w:val="24"/>
        </w:rPr>
        <w:t xml:space="preserve">. Bankinė knyga. Galimos su klimato kaita susijusios pertvarkos rizikos rodikliai. </w:t>
      </w:r>
      <w:r>
        <w:rPr>
          <w:rFonts w:ascii="Times New Roman" w:hAnsi="Times New Roman"/>
          <w:sz w:val="24"/>
        </w:rPr>
        <w:t>Pozicijų kredito kokybė pagal sektorius, išmetamųjų teršalų kiekį ir likutinį terminą. Nustatytasis formatas</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13A1384D"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Pildydamos šio reglamento XXXIX priede pateiktą 1 </w:t>
      </w:r>
      <w:r w:rsidR="00AA1437">
        <w:rPr>
          <w:rFonts w:ascii="Times New Roman" w:hAnsi="Times New Roman"/>
          <w:sz w:val="24"/>
        </w:rPr>
        <w:t>formą</w:t>
      </w:r>
      <w:r>
        <w:rPr>
          <w:rFonts w:ascii="Times New Roman" w:hAnsi="Times New Roman"/>
          <w:sz w:val="24"/>
        </w:rPr>
        <w:t>, įstaigos naudoja šiuos nurodymus, kad pateiktų informaciją apie pozicijas, susijusias su didesne rizika įstaigoms dėl perėjimo prie mažo anglies dioksido kiekio technologijų ir klimato kaitos poveikiui atsparios ekonomikos. Reglamento (ES) Nr. 575/2013 449a straipsnio taikymo tikslu:</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tab/>
      </w:r>
      <w:r>
        <w:rPr>
          <w:rFonts w:ascii="Times New Roman" w:hAnsi="Times New Roman"/>
          <w:sz w:val="24"/>
        </w:rPr>
        <w:t xml:space="preserve">įstaigos atskleidžia informaciją apie savo pozicijas ne finansų bendrovių, veikiančių su anglies dioksidu susijusiuose sektoriuose, atžvilgiu ir apie tų pozicijų kokybę, įskaitant neveiksnias pozicijas, 2 etapo pozicijas ir susijusius atidėjinius, taip pat terminų intervalus; </w:t>
      </w:r>
    </w:p>
    <w:p w14:paraId="44EEC2F3" w14:textId="1E3DDBE3"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tab/>
      </w:r>
      <w:r>
        <w:rPr>
          <w:rFonts w:ascii="Times New Roman" w:hAnsi="Times New Roman"/>
          <w:sz w:val="24"/>
        </w:rPr>
        <w:t>įstaigos pradeda atskleisti informaciją (jei ji jau turima) apie savo sandorio šalių išmestą 1, 2 ir 3 lygio išmetamųjų teršalų kiekį, įskaitant kokybinę informaciją, pateikiamą prie šio</w:t>
      </w:r>
      <w:r w:rsidR="00AA1437">
        <w:rPr>
          <w:rFonts w:ascii="Times New Roman" w:hAnsi="Times New Roman"/>
          <w:sz w:val="24"/>
        </w:rPr>
        <w:t>s formos</w:t>
      </w:r>
      <w:r>
        <w:rPr>
          <w:rFonts w:ascii="Times New Roman" w:hAnsi="Times New Roman"/>
          <w:sz w:val="24"/>
        </w:rPr>
        <w:t xml:space="preserve"> pridedamame aiškinamajame rašte, apie metodiką ir šaltinius, naudotus šiam išmetamųjų teršalų kiekiui apskaičiuoti. Jeigu įstaigos dar nevertina savo sandorio šalių išmetamųjų teršalų kiekio, susijusio su savo finansavimo veikla, įskaitant skolinimo ir investicinę veiklą, jos atskleidžia informaciją apie savo planus įgyvendinti metodikas šiems duomenims apskaičiuoti ir atskleisti. Įstaigos pradeda atskleisti į šio</w:t>
      </w:r>
      <w:r w:rsidR="00AA1437">
        <w:rPr>
          <w:rFonts w:ascii="Times New Roman" w:hAnsi="Times New Roman"/>
          <w:sz w:val="24"/>
        </w:rPr>
        <w:t>s formos</w:t>
      </w:r>
      <w:r>
        <w:rPr>
          <w:rFonts w:ascii="Times New Roman" w:hAnsi="Times New Roman"/>
          <w:sz w:val="24"/>
        </w:rPr>
        <w:t xml:space="preserve"> i–k skiltis įtrauktą informaciją, kurios pirmoji atskleidimo ataskaitinė data yra 2024 m. birželio 30 d.</w:t>
      </w:r>
    </w:p>
    <w:p w14:paraId="16B9CBC2" w14:textId="1B3946ED"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Prie </w:t>
      </w:r>
      <w:r w:rsidR="00AA1437">
        <w:rPr>
          <w:rFonts w:ascii="Times New Roman" w:hAnsi="Times New Roman"/>
          <w:sz w:val="24"/>
        </w:rPr>
        <w:t>formos</w:t>
      </w:r>
      <w:r>
        <w:rPr>
          <w:rFonts w:ascii="Times New Roman" w:hAnsi="Times New Roman"/>
          <w:sz w:val="24"/>
        </w:rPr>
        <w:t xml:space="preserve"> pridedamame aiškinamajame rašte įstaigos paaiškina atskleistą informaciją ir pokyčius, palyginti su ankstesniais informacijos atskleidimo laikotarpiais, taip pat visas pasekmes, kurias tos pozicijos gali turėti įstaigoms kredito, rinkos, operacinės, reputacijos ir likvidumo rizikos atžvilgiu.</w:t>
      </w:r>
    </w:p>
    <w:p w14:paraId="70CA7F08" w14:textId="777C537B"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Įstaigos į </w:t>
      </w:r>
      <w:r w:rsidR="00AA1437">
        <w:rPr>
          <w:rFonts w:ascii="Times New Roman" w:hAnsi="Times New Roman"/>
          <w:sz w:val="24"/>
        </w:rPr>
        <w:t>formos</w:t>
      </w:r>
      <w:r>
        <w:rPr>
          <w:rFonts w:ascii="Times New Roman" w:hAnsi="Times New Roman"/>
          <w:sz w:val="24"/>
        </w:rPr>
        <w:t xml:space="preserve"> eilutes įtraukia ne finansų bendrovėms suteiktų paskolų ir kitų išankstinių mokėjimų, skolos vertybinių popierių ir nuosavybės priemonių, išskyrus laikomas prekybai, bendrą balansinę vertę išskirstydamos ją pagal ekonominės veiklos sektorius (remiantis pagrindine sandorio šalies veikla), naudodamos Europos Parlamento ir Tarybos reglamente (EB) Nr. 1893/2006</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xml:space="preserve"> nustatytus ekonominės veiklos nomenklatūros (NACE) kodus. Jei pozicijos yra sektorių ir pasektorių, kurie labai prisideda prie klimato kaitos, atžvilgiu, jos nurodo ir tarpines sumas, iš kurių susidaro agreguota bendra balansinė vertė. Visų pirma turimi omenyje sektoriai, išvardyti Reglamento (EB) Nr. 1893/2006 I priedo A–H ir L sekcijose, įskaitant naftos, dujų, kasybos ir transporto sektorius, kurie labai prisideda prie klimato kaitos, kaip nurodyta Komisijos deleguotojo reglamento (ES) 2020/1818</w:t>
      </w:r>
      <w:r>
        <w:rPr>
          <w:rFonts w:ascii="Times New Roman" w:hAnsi="Times New Roman"/>
          <w:sz w:val="24"/>
          <w:vertAlign w:val="superscript"/>
        </w:rPr>
        <w:t>*12</w:t>
      </w:r>
      <w:r>
        <w:rPr>
          <w:rFonts w:ascii="Times New Roman" w:hAnsi="Times New Roman"/>
          <w:sz w:val="24"/>
        </w:rPr>
        <w:t xml:space="preserve"> 6 konstatuojamojoje dalyje; taip pat nurodoma pozicijų kitų toje konstatuojamojoje dalyje nepaminėtų sektorių atžvilgiu tarpinė suma.</w:t>
      </w:r>
    </w:p>
    <w:p w14:paraId="23784088" w14:textId="0C905CA9"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Sandorio šalis NACE sektoriui priskiriama pagal tiesioginės sandorio šalies pobūdį.</w:t>
      </w:r>
      <w:r>
        <w:t xml:space="preserve"> </w:t>
      </w:r>
      <w:r>
        <w:rPr>
          <w:rFonts w:ascii="Times New Roman" w:hAnsi="Times New Roman"/>
          <w:sz w:val="24"/>
        </w:rPr>
        <w:t xml:space="preserve">Kai įstaigos sandorio šalis yra kontroliuojančioji bendrovė, įstaigos atsižvelgia į konkretaus kontroliuojančiajai bendrovei priklausančio įsipareigojančiojo asmens (jei skiriasi nuo kontroliuojančiosios bendrovės), gaunančio finansavimą (t. y. konkrečios atitinkamos kontroliuojančiosios bendrovės patronuojamosios įmonės), NACE sektorių, o ne į kontroliuojančiosios bendrovės NACE sektorių, ypač tais atvejais, kai finansavimą gaunantis įsipareigojantysis asmuo yra ne finansų bendrovė. Panašiai, kai įstaigos tiesioginė sandorio šalis (įsipareigojantysis asmuo) yra specialiosios paskirties įmonė (SPĮ), įstaigos atskleidžia atitinkamą informaciją pagal NACE sektorių, siejamą su SPĮ patronuojančiosios bendrovės ekonomine veikla. Jungtinių pozicijų daugiau negu vieno įsipareigojančiojo asmens atžvilgiu klasifikacija grindžiama įsipareigojančiojo asmens, </w:t>
      </w:r>
      <w:r>
        <w:rPr>
          <w:rFonts w:ascii="Times New Roman" w:hAnsi="Times New Roman"/>
          <w:sz w:val="24"/>
        </w:rPr>
        <w:lastRenderedPageBreak/>
        <w:t xml:space="preserve">kuris minėtai įstaigai įgyjant minėtą poziciją buvo svarbesnis arba pagrindinis, ypatybėmis. Jungtinių pozicijų paskirstymas pagal NACE kodus turi būti grindžiamas svarbesnio ar pagrindinio įsipareigojančiojo asmens ypatybėmis. Įstaigos informaciją pagal NACE kodus atskleidžia tiek detaliai, kiek reikalaujama </w:t>
      </w:r>
      <w:r w:rsidR="00AA1437">
        <w:rPr>
          <w:rFonts w:ascii="Times New Roman" w:hAnsi="Times New Roman"/>
          <w:sz w:val="24"/>
        </w:rPr>
        <w:t>formos</w:t>
      </w:r>
      <w:r>
        <w:rPr>
          <w:rFonts w:ascii="Times New Roman" w:hAnsi="Times New Roman"/>
          <w:sz w:val="24"/>
        </w:rPr>
        <w:t xml:space="preserve"> eilutėse.</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Skiltys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Nurodymai</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Visa bendra balansinė vertė</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Įstaigos atskleidžia bendrą savo pozicijų ne finansų bendrovių atžvilgiu balansinę vertę, nurodytą Įgyvendinimo reglamento (ES) 2021/451 V priedo 1 dalyje, įskaitant paskolas ir kitus išankstinius mokėjimus, skolos vertybinius popierius ir nuosavybės priemones, kurie pagal tą įgyvendinimo reglamentą priskiriami prie bankinės knygos apskaitos portfelių, išskyrus prekybai laikomą finansinį turtą arba laikomą parduoti turtą.</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pozicijos įmonių, neįtrauktų į ES su Paryžiaus susitarimu suderintus lyginamuosius indeksus, atžvilgiu</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pozicijų sandorio šalių, kurios neįtrauktos į ES su Paryžiaus susitarimu suderintus lyginamuosius indeksus, atžvilgiu, kaip nurodyta Deleguotojo reglamento (ES) 2020/1818 12 straipsnio 1 dalies d–g punktuose ir 12 straipsnio 2 dalyje, bendrą balansinę vertę.</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aplinkos atžvilgiu tvarios pozicijos (KKŠ)</w:t>
            </w:r>
          </w:p>
          <w:p w14:paraId="3835363F" w14:textId="10969E71" w:rsidR="00183989" w:rsidRPr="00E50FA4" w:rsidRDefault="00183989" w:rsidP="00D0691F">
            <w:pPr>
              <w:spacing w:before="120" w:after="120"/>
              <w:jc w:val="both"/>
              <w:rPr>
                <w:bCs/>
                <w:noProof/>
              </w:rPr>
            </w:pPr>
            <w:r>
              <w:rPr>
                <w:rFonts w:ascii="Times New Roman" w:hAnsi="Times New Roman"/>
                <w:sz w:val="24"/>
              </w:rPr>
              <w:t xml:space="preserve">Įstaigos atskleidžia informaciją apie pozicijas, kurios laikomos tvariomis aplinkos atžvilgiu, nes tai yra finansavimo veikla, kuria prisidedama prie aplinkos tikslo „klimato kaitos švelninimas“ (KKŠ) arba sudaromos sąlygos jį pasiekti, kaip nurodyta Reglamento (ES) 2020/852 10 ir 16 straipsniuose ir kaip atskleista šio reglamento XXXIX priedo 7 </w:t>
            </w:r>
            <w:r w:rsidR="00AA1437">
              <w:rPr>
                <w:rFonts w:ascii="Times New Roman" w:hAnsi="Times New Roman"/>
                <w:sz w:val="24"/>
              </w:rPr>
              <w:t>formoje</w:t>
            </w:r>
            <w:r>
              <w:rPr>
                <w:rFonts w:ascii="Times New Roman" w:hAnsi="Times New Roman"/>
                <w:sz w:val="24"/>
              </w:rPr>
              <w:t>.</w:t>
            </w:r>
          </w:p>
          <w:p w14:paraId="6C6EE831" w14:textId="77777777" w:rsidR="00183989" w:rsidRPr="00E50FA4" w:rsidRDefault="00183989" w:rsidP="00D0691F">
            <w:pPr>
              <w:pStyle w:val="Fait"/>
              <w:spacing w:after="120"/>
              <w:rPr>
                <w:noProof/>
              </w:rPr>
            </w:pPr>
            <w:r>
              <w:t xml:space="preserve">Tokią informaciją apie pozicijas, įtrauktas į ŽTR skaitiklį, įstaigos pradeda atskleisti 2024 m., o pirmoji informacijos atskleidimo ataskaitinė data yra 2023 m. gruodžio 31 d. </w:t>
            </w:r>
          </w:p>
          <w:p w14:paraId="75CE7E22" w14:textId="77777777" w:rsidR="00183989" w:rsidRPr="00E50FA4" w:rsidRDefault="00183989" w:rsidP="00D0691F">
            <w:pPr>
              <w:pStyle w:val="Fait"/>
              <w:spacing w:after="120"/>
              <w:rPr>
                <w:noProof/>
              </w:rPr>
            </w:pPr>
            <w:r>
              <w:t>Tokią informaciją apie pozicijas, įtrauktas į BATR skaitiklį, bet ne į ŽTR skaitiklį, įstaigos pradeda atskleisti 2025 m., o pirmoji informacijos atskleidimo ataskaitinė data yra 2024 m. gruodžio 31 d.</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2 etapo pozicijos</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Tarptautinius finansinės atskaitomybės standartus (TFAS) taikančios įstaigos 2 etapo priemonių bendrą balansinę vertę atskleidžia pagal 9-uosius TFAS.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Skilčių „Iš jų: 2 etapo pozicijos“ nepildo įstaigos, taikančios Tarybos direktyva 86/635/EEB</w:t>
            </w:r>
            <w:r>
              <w:rPr>
                <w:rFonts w:ascii="Times New Roman" w:hAnsi="Times New Roman"/>
                <w:sz w:val="24"/>
                <w:vertAlign w:val="superscript"/>
              </w:rPr>
              <w:t xml:space="preserve">*13 </w:t>
            </w:r>
            <w:r>
              <w:rPr>
                <w:rFonts w:ascii="Times New Roman" w:hAnsi="Times New Roman"/>
                <w:sz w:val="24"/>
              </w:rPr>
              <w:t xml:space="preserve"> pagrįstus nacionalinius visuotinai pripažintus apskaitos principus.</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neveiksnios pozicijos</w:t>
            </w:r>
          </w:p>
          <w:p w14:paraId="102B58BE" w14:textId="77777777" w:rsidR="00183989" w:rsidRPr="00E50FA4" w:rsidRDefault="00183989" w:rsidP="00D0691F">
            <w:pPr>
              <w:pStyle w:val="Fait"/>
              <w:spacing w:before="0" w:after="120"/>
              <w:rPr>
                <w:b/>
                <w:noProof/>
                <w:u w:val="single"/>
              </w:rPr>
            </w:pPr>
            <w:r>
              <w:t>Įstaigos atskleidžia neveiksnias pozicijas, apibrėžtas Reglamento (ES) Nr. 575/2013 47a straipsnio 3 dalyje.</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Sukauptas vertės sumažėjimas, sukaupti neigiami tikrosios vertės pokyčiai </w:t>
            </w:r>
            <w:r>
              <w:rPr>
                <w:rFonts w:ascii="Times New Roman" w:hAnsi="Times New Roman"/>
                <w:b/>
                <w:sz w:val="24"/>
                <w:u w:val="single"/>
              </w:rPr>
              <w:lastRenderedPageBreak/>
              <w:t>dėl kredito rizikos ir atidėjiniai</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atskleidžia sumas, nurodytas Įgyvendinimo reglamento (ES) 2021/451 V priedo 2 dalies 11, 69, 70, 71, 106 ir 110 punktuose.</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2 etapo pozicijos</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sukauptą 2 etapo pozicijų vertės sumažėjimo sumą.</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TFAS taikančios įstaigos 2 etapo priemonių bendrą balansinę vertę atskleidžia pagal 9-uosius TFAS.</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Skilčių „Iš jų: 2 etapo pozicijos“ nepildo įstaigos, taikančios Direktyva 86/635/EEB pagrįstus nacionalinius visuotinai pripažintus apskaitos principus.</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neveiksnios pozicijos</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Įstaigos atskleidžia neveiksnias pozicijas, nurodytas Reglamento (ES) Nr. 575/2013 47a straipsnio 3 dalyje.</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Su finansuojama veikla siejamas išmetamas ŠESD kiekis (sandorio šalies 1, 2 ir 3 lygio išmetamieji teršalai) (tonomis CO2 ekvivalento)</w:t>
            </w:r>
          </w:p>
          <w:p w14:paraId="5C3C0202" w14:textId="02FC001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Jei įstaigos turi informacijos, i skiltyje jos taip pat nurodo savo 3 lygio išmetamo ŠESD kiekio, išreikšto CO2 tonomis (tCO2), įverčius. Atskleistina informacija apie visus sektorius ir jų pasektorius, kurie labai prisideda prie klimato kaitos, įskaitant naftos, dujų, kasybos ir transporto sektorius, kurie nurodyti Deleguotojo reglamento (ES) 2020/1818 6 konstatuojamojoje dalyje ir įtraukti į </w:t>
            </w:r>
            <w:r w:rsidR="00AA1437">
              <w:rPr>
                <w:rFonts w:ascii="Times New Roman" w:hAnsi="Times New Roman"/>
                <w:sz w:val="24"/>
              </w:rPr>
              <w:t>formos</w:t>
            </w:r>
            <w:r>
              <w:rPr>
                <w:rFonts w:ascii="Times New Roman" w:hAnsi="Times New Roman"/>
                <w:sz w:val="24"/>
              </w:rPr>
              <w:t xml:space="preserve"> 2–52 eilutes.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3 lygio išmetamųjų teršalų kiekį įstaigos apskaičiuoja remdamosi iš savo sandorio šalių gauta informacija ir informacija apie sektoriaus vidutinį išmetamųjų teršalų intensyvumą. Tarp metodų įmonių išmetamam anglies dioksido kiekiui apskaičiuoti paminėtinas Visuotinis ŠESD apskaitos ir atskaitomybės standartas finansų sektoriui (angl. „Global GHG Accounting and Reporting Standard for the Financial Industry“), kurį parengė organizacija „Partnership for Carbon Accounting Financials“</w:t>
            </w:r>
            <w:r>
              <w:rPr>
                <w:rFonts w:ascii="Times New Roman" w:hAnsi="Times New Roman"/>
                <w:sz w:val="24"/>
                <w:vertAlign w:val="superscript"/>
              </w:rPr>
              <w:t>*14</w:t>
            </w:r>
            <w:r>
              <w:rPr>
                <w:rFonts w:ascii="Times New Roman" w:hAnsi="Times New Roman"/>
                <w:sz w:val="24"/>
              </w:rPr>
              <w:t xml:space="preserve"> (angl. santrumpa PCAF, ypač svarbi TCFD), ir išmetamam anglies dioksido kiekiui atskleisti skirtas projektas „Carbon Disclosure Project</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3 lygio išmetamųjų teršalų kiekį įstaigos apskaičiuoja proporcingai pagal sektorius, be kita ko, palygindamos savo pozicijas sandorio šalies atžvilgiu (paskolas ir kitus išankstinius mokėjimus, skolos vertybinius popierius ir akcinio kapitalo dalis) su sandorio šalies įsipareigojimais (balansiniais įsipareigojimais ir nuosavu kapitalu)</w:t>
            </w:r>
            <w:bookmarkEnd w:id="10"/>
            <w:r>
              <w:rPr>
                <w:rFonts w:ascii="Times New Roman" w:hAnsi="Times New Roman"/>
                <w:sz w:val="24"/>
              </w:rPr>
              <w:t>.</w:t>
            </w:r>
          </w:p>
          <w:p w14:paraId="5FADC2F6" w14:textId="2256337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Prie </w:t>
            </w:r>
            <w:r w:rsidR="00AA1437">
              <w:rPr>
                <w:rFonts w:ascii="Times New Roman" w:hAnsi="Times New Roman"/>
                <w:sz w:val="24"/>
              </w:rPr>
              <w:t>formos</w:t>
            </w:r>
            <w:r>
              <w:rPr>
                <w:rFonts w:ascii="Times New Roman" w:hAnsi="Times New Roman"/>
                <w:sz w:val="24"/>
              </w:rPr>
              <w:t xml:space="preserve"> pridedamoje aiškinamojoje dalyje įstaigos išsamiai paaiškina, kokiais duomenų šaltiniais jos naudojosi ir kokias metodikas taikė savo 3 lygio išmetamųjų ŠESD kiekiui apskaičiuoti. Visų pirma įstaigos paaiškina, ar jos atskleidžia kurį nors iš šių dalykų:</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ataskaitoje pateiktą išmestą ŠESD kiekį (išmesto ŠESD kiekio duomenys surenkami tiesiogiai iš skolininko arba bendrovės, į kurią investuojama);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fizine veikla grindžiamą išmestą ŠESD kiekį (išmestą ŠESD kiekį apskaičiuoja ataskaitą teikianti finansų įstaiga, remdamasi iš skolininko arba bendrovės, į kurią investuojama, surinktais pirminės fizinės veiklos </w:t>
            </w:r>
            <w:r>
              <w:rPr>
                <w:rFonts w:ascii="Times New Roman" w:hAnsi="Times New Roman"/>
                <w:sz w:val="24"/>
              </w:rPr>
              <w:lastRenderedPageBreak/>
              <w:t xml:space="preserve">duomenimis);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ekonomine veikla grindžiamą išmestą ŠESD kiekį (išmestą ŠESD kiekį apskaičiuoja ataskaitą teikianti finansų įstaiga, remdamasi iš skolininko arba bendrovės, į kurią investuojama, surinktais ekonominės veiklos duomenimis).</w:t>
            </w:r>
          </w:p>
          <w:p w14:paraId="12421B43" w14:textId="51E49533" w:rsidR="00183989" w:rsidRDefault="00183989" w:rsidP="00D0691F">
            <w:pPr>
              <w:spacing w:before="120" w:after="120"/>
              <w:jc w:val="both"/>
              <w:rPr>
                <w:rFonts w:ascii="Times New Roman" w:hAnsi="Times New Roman"/>
                <w:noProof/>
                <w:sz w:val="24"/>
              </w:rPr>
            </w:pPr>
            <w:r>
              <w:rPr>
                <w:rFonts w:ascii="Times New Roman" w:hAnsi="Times New Roman"/>
                <w:sz w:val="24"/>
              </w:rPr>
              <w:t>Jeigu įstaigos dar nevertina savo sandorio šalių išmetamo ŠESD kiekio, susijusio su savo finansavimo veikla, įskaitant skolinimo ir investicinę veiklą, jos atskleidžia informaciją apie savo planus įdiegti tokios informacijos apskaičiavimo metodus. Įstaigos pradeda atskleisti į šio</w:t>
            </w:r>
            <w:r w:rsidR="00AA1437">
              <w:rPr>
                <w:rFonts w:ascii="Times New Roman" w:hAnsi="Times New Roman"/>
                <w:sz w:val="24"/>
              </w:rPr>
              <w:t>s formos</w:t>
            </w:r>
            <w:r>
              <w:rPr>
                <w:rFonts w:ascii="Times New Roman" w:hAnsi="Times New Roman"/>
                <w:sz w:val="24"/>
              </w:rPr>
              <w:t xml:space="preserve"> i, j ir k skiltis įtrauktą informaciją, kurios pirmoji atskleidimo ataskaitinė data yra 2024 m. birželio 30 d.</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gali nuspręsti šią informaciją pradėti atskleisti anksčiau, t. y. kad pirma informacijos atskleidimo ataskaitinė data būtų 2022 m. gruodžio 31 d.</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 su finansuojama veikla siejami 3 lygio išmetamieji teršalai</w:t>
            </w:r>
          </w:p>
          <w:p w14:paraId="0621E36D" w14:textId="4917EE3F"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Įstaigos atskleidžia su savo skolinimo ir investicine veikla susijusį savo sandorio šalių 3 lygio išmetamųjų teršalų kiekį. Jeigu įstaigos dar nevertina jų 3 lygio išmetamųjų teršalų kiekio, j skiltį jos palieka tuščią, o prie </w:t>
            </w:r>
            <w:r w:rsidR="00AA1437">
              <w:rPr>
                <w:rFonts w:ascii="Times New Roman" w:hAnsi="Times New Roman"/>
                <w:sz w:val="24"/>
              </w:rPr>
              <w:t>formos</w:t>
            </w:r>
            <w:r>
              <w:rPr>
                <w:rFonts w:ascii="Times New Roman" w:hAnsi="Times New Roman"/>
                <w:sz w:val="24"/>
              </w:rPr>
              <w:t xml:space="preserve"> pridedamoje aiškinamojoje dalyje atskleidžia savo planus įdiegti tos informacijos apskaičiavimo ir atskleidimo metodus.</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Įstaigos 3 lygio išmetamųjų teršalų kiekį atskleidžia dėdamos visas pastangas, įtraukdamos svarbiausius sektorius pagal PCAF metodą ir laikydamosi Deleguotojo reglamento (ES) 2020/1818 5 straipsnyje nurodyto laipsniško 3 lygio išmetamųjų teršalų kiekio duomenų įtraukimo metodo.</w:t>
            </w:r>
          </w:p>
          <w:p w14:paraId="7447000A" w14:textId="2FDE6B11"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Informaciją apie sandorio šalies 3 lygio išmetamųjų teršalų kiekį įstaigos atskleidžia pagal visus</w:t>
            </w:r>
            <w:r w:rsidR="00AA1437">
              <w:rPr>
                <w:rFonts w:ascii="Times New Roman" w:hAnsi="Times New Roman"/>
                <w:color w:val="auto"/>
                <w:sz w:val="24"/>
              </w:rPr>
              <w:t xml:space="preserve"> formoje</w:t>
            </w:r>
            <w:r>
              <w:rPr>
                <w:rFonts w:ascii="Times New Roman" w:hAnsi="Times New Roman"/>
                <w:color w:val="auto"/>
                <w:sz w:val="24"/>
              </w:rPr>
              <w:t xml:space="preserve"> nurodytus sektorius, o pirmoji ataskaitinė data yra</w:t>
            </w:r>
            <w:r>
              <w:rPr>
                <w:rFonts w:ascii="Times New Roman" w:hAnsi="Times New Roman"/>
                <w:sz w:val="24"/>
              </w:rPr>
              <w:t xml:space="preserve"> 2024 m. birželio 30 d.</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Sektorių, dėl kurių kyla duomenų ir metodinių problemų, atveju įstaigos laikosi Šiltnamio efektą sukeliančių dujų protokolo ir jo 15 etapų tiek dėl sektoriaus pradinių, tiek dėl tolesnių grandžių.</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Laikydamosi TCFD gairių dėl parametrų ir tikslų, įstaigos turi skaidriai informuoti apie tokio tipo informacijos rinkimo sunkumus ir kiek įmanydamos vengti dvigubo skaičiavimo.</w:t>
            </w:r>
          </w:p>
          <w:p w14:paraId="7359BBD3" w14:textId="4E50244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Įstaigos pradeda atskleisti į šio</w:t>
            </w:r>
            <w:r w:rsidR="00AA1437">
              <w:rPr>
                <w:rFonts w:ascii="Times New Roman" w:hAnsi="Times New Roman"/>
                <w:sz w:val="24"/>
              </w:rPr>
              <w:t>s formos</w:t>
            </w:r>
            <w:r>
              <w:rPr>
                <w:rFonts w:ascii="Times New Roman" w:hAnsi="Times New Roman"/>
                <w:sz w:val="24"/>
              </w:rPr>
              <w:t xml:space="preserve"> j skiltį įtrauktą informaciją, kurios pirmoji atskleidimo ataskaitinė data yra 2024 m. birželio 30 d.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Įstaigos gali nuspręsti šią informaciją pradėti atskleisti anksčiau, t. y. kad pirma informacijos atskleidimo ataskaitinė data būtų 2022 m. gruodžio 31 d.</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Išmetamas ŠESD kiekis (i skiltis): portfelio bendros balansinės vertės procentinė dalis, gauta iš konkrečios įmonės ataskaitų</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nurodo portfelio procentinę dalį (pozicijų bendrą balansinę vertę), su kuria susijusius savo sandorio šalių 1, 2 ir 3 lygio išmetamųjų teršalų kiekius, susijusius su savo skolinimo ir investavimo veikla, jos galėjo nustatyti remdamosi sandorio šalių atskleista arba įstaigai dvišaliu pagrindu pateikta informacija.</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metai; &gt; 5 metai &lt;= 10 metų; &gt; 10 metų &lt;= 20 metų; &gt; 20 metų; Vidutinis svertinis terminas</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Įstaigos priskiria pozicijas prie atitinkamo terminų intervalo pagal finansinės priemonės likutinį terminą, atsižvelgdamos į šiuos dalykus:</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jei suma grąžinama dalimis, pozicija priskiriama prie paskutinės dalies terminų intervalo;</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jei pozicijos terminas nenurodytas dėl kitų priežasčių nei ta, kad sandorio šalis gali pasirinkti paskolos grąžinimo datą, taip pat akcinio kapitalo atveju šios pozicijos suma atskleidžiama nurodant didžiausią terminų intervalą – „&gt; 20 metų“;</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apskaičiuodamos vidutinį pozicijų terminą, įstaigos kiekvienos pozicijos terminą įvertina pagal pozicijų bendrą balansinę vertę.</w:t>
            </w:r>
          </w:p>
        </w:tc>
      </w:tr>
    </w:tbl>
    <w:p w14:paraId="386F8D8E" w14:textId="77777777" w:rsidR="00183989" w:rsidRPr="00340D55" w:rsidRDefault="00183989" w:rsidP="00183989">
      <w:pPr>
        <w:spacing w:before="120" w:after="120"/>
        <w:jc w:val="both"/>
        <w:rPr>
          <w:rFonts w:ascii="Times New Roman" w:hAnsi="Times New Roman" w:cs="Times New Roman"/>
          <w:b/>
          <w:noProof/>
          <w:sz w:val="24"/>
        </w:rPr>
      </w:pPr>
    </w:p>
    <w:p w14:paraId="2A964539" w14:textId="32E53171"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 xml:space="preserve">2 </w:t>
      </w:r>
      <w:r w:rsidR="00AA1437">
        <w:rPr>
          <w:rFonts w:ascii="Times New Roman" w:hAnsi="Times New Roman"/>
          <w:b/>
          <w:sz w:val="24"/>
        </w:rPr>
        <w:t>forma</w:t>
      </w:r>
      <w:r>
        <w:rPr>
          <w:rFonts w:ascii="Times New Roman" w:hAnsi="Times New Roman"/>
          <w:b/>
          <w:sz w:val="24"/>
        </w:rPr>
        <w:t>. Bankinė knyga. Galimos su klimato kaita susijusios pertvarkos rizikos rodikliai. Paskolos, užtikrintos nekilnojamuoju turtu. Užtikrinimo priemonės energijos vartojimo efektyvumas. Nustatytasis formatas.</w:t>
      </w:r>
    </w:p>
    <w:p w14:paraId="61EA5DDE" w14:textId="77777777" w:rsidR="00183989" w:rsidRPr="00340D55" w:rsidRDefault="00183989" w:rsidP="00183989">
      <w:pPr>
        <w:spacing w:before="120" w:after="120"/>
        <w:jc w:val="both"/>
        <w:rPr>
          <w:rFonts w:ascii="Times New Roman" w:hAnsi="Times New Roman" w:cs="Times New Roman"/>
          <w:b/>
          <w:noProof/>
          <w:sz w:val="24"/>
        </w:rPr>
      </w:pPr>
    </w:p>
    <w:p w14:paraId="771FF665" w14:textId="2C67AEE6"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Įstaigos naudojasi toliau pateikiamais nurodymais atskleisdamos informaciją, kurios reikalaujama „2 </w:t>
      </w:r>
      <w:r w:rsidR="00AA1437">
        <w:rPr>
          <w:rFonts w:ascii="Times New Roman" w:hAnsi="Times New Roman"/>
          <w:sz w:val="24"/>
        </w:rPr>
        <w:t>formoje</w:t>
      </w:r>
      <w:r>
        <w:rPr>
          <w:rFonts w:ascii="Times New Roman" w:hAnsi="Times New Roman"/>
          <w:sz w:val="24"/>
        </w:rPr>
        <w:t xml:space="preserve">. Bankinė knyga. Galimos su klimato kaita susijusios pertvarkos rizikos rodikliai. Paskolos, užtikrintos nekilnojamuoju turtu. Užtikrinimo priemonės energijos vartojimo efektyvumas“, pateikiamame šio reglamento XXXIX priede.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Europos Parlamento ir Tarybos direktyva 2010/31/ES</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ir Europos Parlamento ir Tarybos direktyva 2012/27/ES</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skatinama vykdyti tokią politiką, kad pastatų ūkis iki 2050 m. taptų labai našus energijos vartojimo atžvilgiu ir nepriklausomas nuo iškastinio kuro. Direktyva 2010/31/ES įvesti energinio naudingumo sertifikatai (ENS) yra pastatų energinio naudingumo didinimo priemonės. Tie sertifikatai – tai valstybės narės arba jos paskirto juridinio asmens pripažinti sertifikatai, kuriuose nurodomas pastato ar pastato vieneto energinis naudingumas, apskaičiuotas pagal tą direktyvą.</w:t>
      </w:r>
    </w:p>
    <w:p w14:paraId="4BC7E756" w14:textId="56F1F331"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Š</w:t>
      </w:r>
      <w:r w:rsidR="00AA1437">
        <w:rPr>
          <w:rFonts w:ascii="Times New Roman" w:hAnsi="Times New Roman"/>
          <w:sz w:val="24"/>
        </w:rPr>
        <w:t>ioje formoje</w:t>
      </w:r>
      <w:r>
        <w:rPr>
          <w:rFonts w:ascii="Times New Roman" w:hAnsi="Times New Roman"/>
          <w:sz w:val="24"/>
        </w:rPr>
        <w:t xml:space="preserve"> nurodoma komercinės ir gyvenamosios paskirties nekilnojamuoju turtu užtikrintų paskolų ir perimtų užtikrinimo priemonių, kurios yra nekilnojamasis turtas, bendra balansinė vertė, kaip nurodyta Įgyvendinimo reglamento (ES) 2021/451 V priedo 1 dalyje, įskaitant informaciją apie užtikrinimo priemonių energijos vartojimo efektyvumą, matuojamą pagal kWh/m² suvartojamos energijos (</w:t>
      </w:r>
      <w:r w:rsidR="00AA1437">
        <w:rPr>
          <w:rFonts w:ascii="Times New Roman" w:hAnsi="Times New Roman"/>
          <w:sz w:val="24"/>
        </w:rPr>
        <w:t>formos</w:t>
      </w:r>
      <w:r>
        <w:rPr>
          <w:rFonts w:ascii="Times New Roman" w:hAnsi="Times New Roman"/>
          <w:sz w:val="24"/>
        </w:rPr>
        <w:t xml:space="preserve"> b–g skiltys) arba nustatomą pagal užtikrinimo priemonės energinio naudingumo sertifikato (ENS) klasę, kaip nurodyta Direktyvos 2010/31/ES 2 straipsnio 12 punkte valstybių narių atveju, arba nurodytą atitinkamuose vietos teisės aktuose dėl tų pozicijų už Sąjungos ribų, jei jie susieti su Sąjungos energinio naudingumo sertifikatais (h–n skiltys).  </w:t>
      </w:r>
    </w:p>
    <w:p w14:paraId="4F02A143" w14:textId="77777777" w:rsidR="00183989" w:rsidRPr="00E50FA4" w:rsidRDefault="00183989" w:rsidP="00183989">
      <w:pPr>
        <w:pStyle w:val="CommentText"/>
        <w:jc w:val="both"/>
        <w:rPr>
          <w:noProof/>
        </w:rPr>
      </w:pPr>
    </w:p>
    <w:p w14:paraId="32F16B12" w14:textId="06C5233A"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Konkrečiai, b–g skiltyse įstaigos atskleidžia pozicijų bendrą balansinę vertę pagal energinio naudingumo klasių grupes, grindžiamas savituoju užtikrinimo priemonės suvartojamos energijos kiekiu (kWh/m</w:t>
      </w:r>
      <w:r>
        <w:rPr>
          <w:rFonts w:ascii="Times New Roman" w:hAnsi="Times New Roman"/>
          <w:sz w:val="24"/>
          <w:vertAlign w:val="superscript"/>
        </w:rPr>
        <w:t>2</w:t>
      </w:r>
      <w:r>
        <w:rPr>
          <w:rFonts w:ascii="Times New Roman" w:hAnsi="Times New Roman"/>
          <w:sz w:val="24"/>
        </w:rPr>
        <w:t xml:space="preserve">), nurodytu užtikrinimo priemonės energinio naudingumo sertifikate arba, jei ENS nėra, apskaičiuotu pačios įstaigos. </w:t>
      </w:r>
      <w:r w:rsidR="00AA1437">
        <w:rPr>
          <w:rFonts w:ascii="Times New Roman" w:hAnsi="Times New Roman"/>
          <w:sz w:val="24"/>
        </w:rPr>
        <w:t>Formos</w:t>
      </w:r>
      <w:r>
        <w:rPr>
          <w:rFonts w:ascii="Times New Roman" w:hAnsi="Times New Roman"/>
          <w:sz w:val="24"/>
        </w:rPr>
        <w:t xml:space="preserve"> 5 ir 10 eilutėse įstaigos nurodo, kokiu mastu tie duomenys yra apskaičiuoti, o ne pagrįsti ENS. Tai atvejais, kai įstaigoms yra prieinama užtikrinimo priemonių ENS informacija, jos </w:t>
      </w:r>
      <w:r w:rsidR="00AA1437">
        <w:rPr>
          <w:rFonts w:ascii="Times New Roman" w:hAnsi="Times New Roman"/>
          <w:sz w:val="24"/>
        </w:rPr>
        <w:t>formos</w:t>
      </w:r>
      <w:r>
        <w:rPr>
          <w:rFonts w:ascii="Times New Roman" w:hAnsi="Times New Roman"/>
          <w:sz w:val="24"/>
        </w:rPr>
        <w:t xml:space="preserve"> h–n skiltyse atskleidžia pozicijų bendrą balansinę vertę, sugrupuodamos pagal užtikrinimo priemonės ENS klases.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Atskleisdamos užtikrinimo priemonių pasiskirstymą pagal ENS, atskirai o skiltyje įstaigos atskleidžia tas pozicijas, su kuriomis susijusių užtikrinimo priemonių ENS informacijos jos neturi. Jei įstaigos ENS informacijos neturi, tačiau naudoja vidinius skaičiavimus užtikrinimo priemonės energijos vartojimo efektyvumui apskaičiuoti, įstaigos turi atskleisti, kokia yra procentinė dalis pozicijų, su kuriomis susijusios užtikrinimo priemonės ENS informacijos jos neturi ir vietoj jos pateikia įverčius (procentinė dalis apskaičiuojama pagal pozicijų bendrą balansinę vertę). Įstaigos atskleidžia visą bendrą balansinę vertę pagal energijos suvartojimo lygį ir pagal ENS klasę, diferencijuodamos pagal geografinę vietą (Sąjungos ar ne Sąjungos teritorija) ir pagal tai, kurios paskolos užtikrintos komercinės paskirties nekilnojamuoju turtu, kurios – gyvenamosios paskirties nekilnojamuoju turtu, o kurių užtikrinimo priemonė perimta realizuojant nuosavybės teisę.</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Jei pozicijos yra subjektų, esančių trečiosiose valstybėse, kuriose ENS ekvivalento nėra, atžvilgiu, įstaigos h–n skiltis palieka tuščias. Tačiau o ir p skiltyse ir, kai taikoma, b–g skiltyse reikalaujamą informaciją įstaigos atskleidžia įrašydamos apskaičiuotus duomenis.</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 xml:space="preserve">Jei pozicijos siejamos su daugiau nei viena užtikrinimo priemone, kaip antai dviem nekilnojamojo turto objektais, informacija apie tų su pozicija susijusių nekilnojamojo turto objektų energijos vartojimo efektyvumą išskaidoma ir atskleidžiama atskirai pagal energijos vartojimo efektyvumo lygius (nurodomas tiek kiekvienos užtikrinimo priemonės energijos vartojimo efektyvumas KWh/m² (b–g skiltys), tiek jos ENS informacija (h–n skiltys)). Konkrečiau, įstaigos pagal užtikrinimo priemonės vertę apskaičiuoja, kokią pozicijos bendros balansinės vertės procentinę dalį sudaro kiekviena užtikrinimo priemonė, ir atskleidžia ją su kiekviena užtikrinimo priemone susijusioje energinio naudingumo klasių grupėje. Pavyzdžiui, įstaiga turi 100 000 EUR bendros balansinės vertės paskolą, užtikrintą dviem nekilnojamojo turto objektais: NT objektu A ir NT objektu B. NT objekto A užtikrinimo priemonės vertė yra 80 000 EUR ir jo ENS klasė yra A, NT objekto B užtikrinimo priemonės vertė – 70 000 EUR ir ENS klasė D. Tokiu atveju įstaigos turėtų nurodyti, kad aptariamos paskolos 53 333 EUR (t. y. 100 000 EUR * [80 000 / (80 000 + 70 000)] vertės užtikrinimo priemonė sietina su ENS A klase ir 46 667 EUR (t. y. 100 000 EUR * [70 000 / (80 000 + 70 000)] vertės užtikrinimo priemonė sietina su ENS D klase.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50A0754C"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 xml:space="preserve">3 </w:t>
      </w:r>
      <w:r w:rsidR="00AA1437">
        <w:rPr>
          <w:rFonts w:ascii="Times New Roman" w:hAnsi="Times New Roman"/>
          <w:b/>
          <w:sz w:val="24"/>
        </w:rPr>
        <w:t>forma</w:t>
      </w:r>
      <w:r>
        <w:rPr>
          <w:rFonts w:ascii="Times New Roman" w:hAnsi="Times New Roman"/>
          <w:b/>
          <w:sz w:val="24"/>
        </w:rPr>
        <w:t>. Bankinė knyga. Galimos su klimato kaita susijusios pertvarkos rizikos rodikliai. Suderinimo parametrai</w:t>
      </w:r>
      <w:r>
        <w:rPr>
          <w:rFonts w:ascii="Times New Roman" w:hAnsi="Times New Roman"/>
          <w:sz w:val="24"/>
        </w:rPr>
        <w:t>. Lankstusis formatas (nustatytojo formato skiltys, lanksčiojo formato eilutės).</w:t>
      </w:r>
    </w:p>
    <w:p w14:paraId="63404A54" w14:textId="71466C81"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Įstaigos naudojasi toliau pateikiamais nurodymais atskleisdamos informaciją, kurios reikalaujama „3 </w:t>
      </w:r>
      <w:r w:rsidR="00AA1437">
        <w:rPr>
          <w:rFonts w:ascii="Times New Roman" w:hAnsi="Times New Roman"/>
          <w:sz w:val="24"/>
        </w:rPr>
        <w:t>formoje</w:t>
      </w:r>
      <w:r>
        <w:rPr>
          <w:rFonts w:ascii="Times New Roman" w:hAnsi="Times New Roman"/>
          <w:sz w:val="24"/>
        </w:rPr>
        <w:t xml:space="preserve">. Bankinė knyga. Galimos su klimato kaita susijusios pertvarkos rizikos rodikliai. Suderinimo parametrai“, pateikiamame šio reglamento XXXIX priede. </w:t>
      </w:r>
    </w:p>
    <w:p w14:paraId="34705966" w14:textId="7D27DE91"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Ši</w:t>
      </w:r>
      <w:r w:rsidR="00AA1437">
        <w:rPr>
          <w:rFonts w:ascii="Times New Roman" w:hAnsi="Times New Roman"/>
          <w:sz w:val="24"/>
        </w:rPr>
        <w:t>oje formoje</w:t>
      </w:r>
      <w:r>
        <w:rPr>
          <w:rFonts w:ascii="Times New Roman" w:hAnsi="Times New Roman"/>
          <w:sz w:val="24"/>
        </w:rPr>
        <w:t xml:space="preserve"> įstaigos atskleidžia informaciją apie savo pastangas tam tikrų sektorių veiklą suderinti su Paryžiaus susitarimo tikslais. Atskleidžiant informaciją apie suderinimą nurodoma, kokiu mastu finansiniai srautai yra suderinami su Paryžiaus susitarime nustatytu mažo išmetamo šiltnamio efektą sukeliančių dujų kiekio ir klimato kaitos poveikiui atsparaus vystymosi scenarijumi. Ekonominis scenarijus, kuriame apibūdinama priklausomybės nuo iškastinio kuro mažinimo trajektorija, – tai Tarptautinės energetikos agentūros (TEA) grynojo nulinio išmetamųjų teršalų kiekio iki 2050 m. scenarijus (NZE2050)</w:t>
      </w:r>
      <w:r>
        <w:rPr>
          <w:rFonts w:ascii="Times New Roman" w:hAnsi="Times New Roman"/>
          <w:sz w:val="24"/>
          <w:vertAlign w:val="superscript"/>
        </w:rPr>
        <w:t>*18</w:t>
      </w:r>
      <w:r>
        <w:rPr>
          <w:rFonts w:ascii="Times New Roman" w:hAnsi="Times New Roman"/>
          <w:sz w:val="24"/>
        </w:rPr>
        <w:t xml:space="preserve">. Įstaigos turi atsižvelgti į tą scenarijų. Kadangi TEA teikia pasaulinio lygmens scenarijus ir kai kuriuos konkrečius Europos lygmens parametrus, įstaigos turi </w:t>
      </w:r>
      <w:r>
        <w:rPr>
          <w:rFonts w:ascii="Times New Roman" w:hAnsi="Times New Roman"/>
          <w:sz w:val="24"/>
        </w:rPr>
        <w:lastRenderedPageBreak/>
        <w:t xml:space="preserve">įvertinti atotrūkį nuo pasaulinių TEA scenarijų lyginamųjų indeksų ir, jei yra konkrečių Europos lygmens parametrų, nuo Europos lygmens parametrų. </w:t>
      </w:r>
    </w:p>
    <w:p w14:paraId="55227293" w14:textId="1046A0E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Įstaigos, kurios jau vertina informaciją apie savo sektorinį suderinimą su Paryžiaus susitarimu, atskleidžia informaciją ši</w:t>
      </w:r>
      <w:r w:rsidR="00AA1437">
        <w:rPr>
          <w:rFonts w:ascii="Times New Roman" w:hAnsi="Times New Roman"/>
          <w:sz w:val="24"/>
        </w:rPr>
        <w:t>oje formoje</w:t>
      </w:r>
      <w:r>
        <w:rPr>
          <w:rFonts w:ascii="Times New Roman" w:hAnsi="Times New Roman"/>
          <w:sz w:val="24"/>
        </w:rPr>
        <w:t>. Prie</w:t>
      </w:r>
      <w:r w:rsidR="00AA1437">
        <w:rPr>
          <w:rFonts w:ascii="Times New Roman" w:hAnsi="Times New Roman"/>
          <w:sz w:val="24"/>
        </w:rPr>
        <w:t xml:space="preserve"> formos</w:t>
      </w:r>
      <w:r>
        <w:rPr>
          <w:rFonts w:ascii="Times New Roman" w:hAnsi="Times New Roman"/>
          <w:sz w:val="24"/>
        </w:rPr>
        <w:t xml:space="preserve"> pridedamoje aiškinamojoje dalyje įstaigos turi paaiškinti taikytą metodą ir duomenų šaltinį. Tos įstaigos, kurios dar nevertina savo sektorinio suderinimo, atskleidžia informaciją apie savo planus įgyvendinti tos informacijos įvertinimo ir atskleidimo metodą. Bet kuriuo atveju įstaigos pradeda atskleisti į š</w:t>
      </w:r>
      <w:r w:rsidR="00AA1437">
        <w:rPr>
          <w:rFonts w:ascii="Times New Roman" w:hAnsi="Times New Roman"/>
          <w:sz w:val="24"/>
        </w:rPr>
        <w:t>ią formą</w:t>
      </w:r>
      <w:r>
        <w:rPr>
          <w:rFonts w:ascii="Times New Roman" w:hAnsi="Times New Roman"/>
          <w:sz w:val="24"/>
        </w:rPr>
        <w:t xml:space="preserve"> įtrauktą informaciją, kurios pirmoji atskleidimo ataskaitinė data yra 2024 m. birželio 30 d.</w:t>
      </w:r>
    </w:p>
    <w:p w14:paraId="2592470C" w14:textId="0F72FD48"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Informacija, kurią įstaigos atskleidžia ši</w:t>
      </w:r>
      <w:r w:rsidR="00AA1437">
        <w:rPr>
          <w:rFonts w:ascii="Times New Roman" w:hAnsi="Times New Roman"/>
          <w:sz w:val="24"/>
        </w:rPr>
        <w:t>oje formoje</w:t>
      </w:r>
      <w:r>
        <w:rPr>
          <w:rFonts w:ascii="Times New Roman" w:hAnsi="Times New Roman"/>
          <w:sz w:val="24"/>
        </w:rPr>
        <w:t>:</w:t>
      </w:r>
    </w:p>
    <w:p w14:paraId="77BC626F" w14:textId="25887858"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a ir b skiltys: a skilties 1–8 eilutėse pateikiamas privalomas minimalus sektorių (TEA sektorių) sąrašas, o b skiltyje – pasektoriai (NACE sektoriai, atitinkantys minimalų NACE sektorių, į kuriuos reikėtų atsižvelgti, sąrašą, pateikiamą </w:t>
      </w:r>
      <w:r w:rsidR="00AA1437">
        <w:rPr>
          <w:rFonts w:ascii="Times New Roman" w:hAnsi="Times New Roman"/>
          <w:sz w:val="24"/>
        </w:rPr>
        <w:t>formoje</w:t>
      </w:r>
      <w:r>
        <w:rPr>
          <w:rFonts w:ascii="Times New Roman" w:hAnsi="Times New Roman"/>
          <w:sz w:val="24"/>
        </w:rPr>
        <w:t>).</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Jei įstaigos sandorio šalis yra kontroliuojančioji bendrovė, įstaiga atsižvelgia į konkretaus kontroliuojančiajai bendrovei priklausančio įsipareigojančiojo asmens (jei skiriasi nuo kontroliuojančiosios bendrovės), gaunančio finansavimą, NACE sektorių, o ne į kontroliuojančiosios bendrovės NACE sektorių, ypač tais atvejais, kai įsipareigojantysis asmuo yra ne finansų bendrovė. Panašiai, kai įstaigos tiesioginė sandorio šalis (įsipareigojantysis asmuo) yra specialiosios paskirties įmonė (SPĮ), įstaigos atskleidžia atitinkamą informaciją pagal NACE sektorių, siejamą su SPĮ patronuojančiosios bendrovės ekonomine veikla.</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Jungtinių pozicijų daugiau negu vieno įsipareigojančiojo asmens atžvilgiu klasifikacija grindžiama įsipareigojančiojo asmens, kuris minėtai įstaigai įgyjant minėtą poziciją buvo svarbesnis arba pagrindinis, ypatybėmis. Įstaigos informaciją pagal NACE kodus atskleidžia tiek detaliai, kiek reikalaujama b skiltyje;</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 skiltis: bendra pozicijų ne finansų bendrovių atžvilgiu balansinė vertė, apibrėžta Įgyvendinimo reglamento (ES) 2021/451 V priedo 1 dalyje, kiekviename iš a ir b skiltyse nurodytų sektorių, įskaitant paskolas ir kitus išankstinius mokėjimus, skolos vertybinius popierius ir nuosavybės priemones, kurie pagal tą įgyvendinimo reglamentą priskiriami prie bankinės knygos apskaitos portfelių, išskyrus prekybai laikomą finansinį turtą arba laikomą parduoti turtą;</w:t>
      </w:r>
    </w:p>
    <w:p w14:paraId="0F18EC89" w14:textId="549C3BFF"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 xml:space="preserve">d ir e skiltys: įstaigos taikomi suderinimo parametrai ir artimiausi kiekvieno sektoriaus suderinimo parametrų ataskaitiniai metai. Įstaigos naudoja suderinimo parametrus, kuriuos galima palyginti su Grynojo nulinio išmetamųjų teršalų kiekio iki 2050 m. scenarijaus parametrais (NZE2050). Įstaigos turi užtikrinti, kad parametrai leistų išsamiai atskleisti jų finansuojamus gamybos pajėgumus ir apimtų visą atitinkamą daug anglies dioksido išskiriančią finansuojamą veiklą. </w:t>
      </w:r>
      <w:r w:rsidR="00AA1437">
        <w:rPr>
          <w:rFonts w:ascii="Times New Roman" w:hAnsi="Times New Roman"/>
          <w:sz w:val="24"/>
        </w:rPr>
        <w:t>Formoje</w:t>
      </w:r>
      <w:r>
        <w:rPr>
          <w:rFonts w:ascii="Times New Roman" w:hAnsi="Times New Roman"/>
          <w:sz w:val="24"/>
        </w:rPr>
        <w:t xml:space="preserve"> pateikiama keletas parametrų pavyzdžių. Apie kiekvieną su jų finansuojama veikla susijusį sektorių įstaigos turi atskleisti po kelis parametrus. Tarp jų turi būti išmetamųjų teršalų intensyvumo parametrai, technologijų deriniu grindžiami parametrai ir gamyba grindžiami parametrai. Įstaigos turi remtis su finansinėmis priemonėmis susijusio pagrindinio turto ir veiklos vertinimu.</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Jei pajamų panaudojimas žinomas, vertė nurodoma atitinkamo sektoriaus suderinimo parametro laukelyje. Jei su paskola susijusių pajamų panaudojimas nežinomas, pozicijos bendra balansinė vertė priskiriama atitinkamiems sektoriams ir suderinimo parametrams remiantis sandorio šalies veiklos pasiskirstymu, įskaitant pagal sandorio šalių apyvartą pagal veiklos rūšis. </w:t>
      </w:r>
    </w:p>
    <w:p w14:paraId="3C5B7F2B" w14:textId="77A6C75D"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lastRenderedPageBreak/>
        <w:t>Įstaigos</w:t>
      </w:r>
      <w:r w:rsidR="00AA1437">
        <w:rPr>
          <w:rFonts w:ascii="Times New Roman" w:hAnsi="Times New Roman"/>
          <w:sz w:val="24"/>
        </w:rPr>
        <w:t xml:space="preserve"> formoje</w:t>
      </w:r>
      <w:r>
        <w:rPr>
          <w:rFonts w:ascii="Times New Roman" w:hAnsi="Times New Roman"/>
          <w:sz w:val="24"/>
        </w:rPr>
        <w:t xml:space="preserve"> įterpia po eilutę, skirtą kiekvienam aktualiam b skiltyje nurodytų sektorių ir d skiltyje atskleidžiamų jo suderinimo parametrų deriniui;</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f skiltis: pateikiamas procentiniais punktais išreikštas d skiltyje nurodytų parametrų laiko atotrūkis iki 2030 m. duomenų taškų pagal Grynojo nulinio išmetamųjų teršalų kiekio iki 2050 m. scenarijų (NZE2050). Tas atotrūkis turi parodyti dabartinį suderinimo mastą su minėto scenarijaus 2030 m. rodikliu ir jis išreiškiamas kaip d skiltyje nurodyto rodiklio ir TEA scenarijaus prognozės 2030 m. skirtumas, padalytas iš scenarijaus lyginamojo indekso rodiklio ir perskaičiuotas į procentinę dalį.</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Atitinkamą informaciją ir sektoriams taikytinus scenarijaus rodiklius 2030 metams įstaigos gali rasti TEA interneto svetainėje. Ypač įstaigos turėtų naudotis leidiniu „Net Zero by 2050 – A Roadmap for the Global Energy Sector“, kurį kasmet skelbia TEA</w:t>
      </w:r>
      <w:r>
        <w:rPr>
          <w:rFonts w:ascii="Times New Roman" w:hAnsi="Times New Roman"/>
          <w:sz w:val="24"/>
          <w:vertAlign w:val="superscript"/>
        </w:rPr>
        <w:t>*19</w:t>
      </w:r>
      <w:r>
        <w:rPr>
          <w:rFonts w:ascii="Times New Roman" w:hAnsi="Times New Roman"/>
          <w:sz w:val="24"/>
        </w:rPr>
        <w:t>. Konkrečius duomenų taškus ir rodiklius galima atsisiųsti iš „Excel“ lentelės, įtrauktos į Tarptautinės energetikos agentūros parengtą Grynojo nulinio išmetamųjų teršalų kiekio iki 2050 m. scenarijų.</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Laikoma, kad su pozicijomis siejama pagrindinė veikla yra suderinta, jei rodiklio lygis yra žemesnis už lyginamojo indekso lygį su mažinimu susijusių lyginamųjų indeksų atveju (daug anglies dioksido išskiriančios veiklos atveju) arba aukštesnis su didinimu susijusių lyginamųjų indeksų atveju (mažai anglies dioksido išmetančios veiklos atveju);</w:t>
      </w:r>
    </w:p>
    <w:p w14:paraId="7182897D" w14:textId="77777777" w:rsidR="00183989" w:rsidRPr="00340D55" w:rsidRDefault="00183989" w:rsidP="00183989">
      <w:pPr>
        <w:ind w:left="567"/>
        <w:rPr>
          <w:rFonts w:ascii="Times New Roman" w:hAnsi="Times New Roman"/>
          <w:noProof/>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tab/>
      </w:r>
      <w:r>
        <w:rPr>
          <w:rFonts w:ascii="Times New Roman" w:hAnsi="Times New Roman"/>
          <w:sz w:val="24"/>
        </w:rPr>
        <w:t>g skiltis: nurodomas įstaigos 3 metų tikslinis rodiklis po e skiltyje nurodytų ataskaitinių metų ir d skiltyje nurodyto suderinimo parametro. G skiltyje nurodoma portfelio suderinimo trajektorija ir tikslai, kuriuos įstaigos planuoja pasiekti, kad ilguoju laikotarpiu nenukryptų nuo TEA scenarijaus.</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604BE198"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 xml:space="preserve">4 </w:t>
      </w:r>
      <w:r w:rsidR="00AA1437">
        <w:rPr>
          <w:rFonts w:ascii="Times New Roman" w:hAnsi="Times New Roman"/>
          <w:b/>
          <w:sz w:val="24"/>
        </w:rPr>
        <w:t>forma</w:t>
      </w:r>
      <w:r>
        <w:rPr>
          <w:rFonts w:ascii="Times New Roman" w:hAnsi="Times New Roman"/>
          <w:b/>
          <w:sz w:val="24"/>
        </w:rPr>
        <w:t>. Bankinė knyga. Galimos su klimato kaita susijusios pertvarkos rizikos rodikliai. Pozicijos 20-ies daugiausiai anglies dioksido išskiriančių bendrovių atžvilgiu</w:t>
      </w:r>
      <w:r>
        <w:rPr>
          <w:rFonts w:ascii="Times New Roman" w:hAnsi="Times New Roman"/>
          <w:sz w:val="24"/>
        </w:rPr>
        <w:t xml:space="preserve">. </w:t>
      </w:r>
      <w:r>
        <w:rPr>
          <w:rFonts w:ascii="Times New Roman" w:hAnsi="Times New Roman"/>
          <w:b/>
          <w:sz w:val="24"/>
        </w:rPr>
        <w:t>Nustatytasis formatas</w:t>
      </w:r>
    </w:p>
    <w:p w14:paraId="0FE338DB" w14:textId="702748EF"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Įstaigos naudojasi toliau pateikiamais nurodymais atskleisdamos informaciją, kurios reikalaujama „4 </w:t>
      </w:r>
      <w:r w:rsidR="00AA1437">
        <w:rPr>
          <w:rFonts w:ascii="Times New Roman" w:hAnsi="Times New Roman"/>
          <w:sz w:val="24"/>
        </w:rPr>
        <w:t>formoje</w:t>
      </w:r>
      <w:r>
        <w:rPr>
          <w:rFonts w:ascii="Times New Roman" w:hAnsi="Times New Roman"/>
          <w:sz w:val="24"/>
        </w:rPr>
        <w:t xml:space="preserve">. Bankinė knyga. Galimos su klimato kaita susijusios pertvarkos rizikos rodikliai. Pozicijos 20-ies daugiausiai anglies dioksido išskiriančių bendrovių atžvilgiu“, pateikiamame šio reglamento XXXIX priede. </w:t>
      </w:r>
    </w:p>
    <w:p w14:paraId="1B08D5D8" w14:textId="50FA78CD"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Ši</w:t>
      </w:r>
      <w:r w:rsidR="00AA1437">
        <w:rPr>
          <w:rFonts w:ascii="Times New Roman" w:hAnsi="Times New Roman"/>
          <w:sz w:val="24"/>
        </w:rPr>
        <w:t>oje formoje</w:t>
      </w:r>
      <w:r>
        <w:rPr>
          <w:rFonts w:ascii="Times New Roman" w:hAnsi="Times New Roman"/>
          <w:sz w:val="24"/>
        </w:rPr>
        <w:t xml:space="preserve"> įstaigos atskleidžia agreguotą informaciją apie pozicijas daugiausia pasaulyje anglies dioksido išskiriančių sandorio šalių atžvilgiu. Jos įtraukia agreguotą ir nuasmenintą informaciją apie bendrą pozicijų ne daugiau kaip 20-ies sandorio šalių, esančių tarp 20-ies daugiausiai anglies dioksido išskiriančių bendrovių pasaulyje, atžvilgiu balansinę vertę. Informacija grindžiama viešai prieinama patikima ir tikslia informacija. Duomenų šaltinių, kuriais remiantis galima nustatyti daugiausia anglies dioksido išskiriančias bendroves, pavyzdžiai yra duomenų bazė „Carbon Majors Database“, „Carbon Disclosure Project“ ir „Climate Accountability Institute“ ataskaitos, taip pat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lastRenderedPageBreak/>
        <w:t xml:space="preserve">Prie atskleidžiamos informacijos pridedamame aiškinamajame rašte įstaigos atskleidžia naudojamų duomenų šaltinį. Jeigu įstaigos negali nustatyti pozicijų 20-ies daugiausiai pasaulyje anglies dioksido išskiriančių bendrovių atžvilgiu, jos paaiškina, kodėl jos nenurodė tokių pozicijų, įskaitant tai, kad jos neturi pozicijų 20-ies daugiausiai pasaulyje anglies dioksido išskiriančių bendrovių atžvilgiu. </w:t>
      </w:r>
    </w:p>
    <w:p w14:paraId="5749086F" w14:textId="77777777" w:rsidR="00183989" w:rsidRPr="00340D55"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340D55"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Skiltis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Nurodymai</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Bendra balansinė vertė (agreguota)</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Terminas „bendra balansinė vertė“ vartojamas Įgyvendinimo reglamento (ES) 2021/451 V priedo 1 dalyje nurodyta reikšme. Ji apima paskolas ir kitus išankstinius mokėjimus, skolos vertybinius popierius ir nuosavybės priemones, kurie pagal tą įgyvendinimo reglamentą priskiriami prie bankinės knygos apskaitos portfelių, išskyrus prekybai laikomą finansinį turtą arba laikomą parduoti turtą.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Įstaigos įtraukia agreguotas pozicijas, susijusias su ne daugiau kaip 20-čia sandorio šalių, esančių tarp 20-ties daugiausiai pasaulyje anglies dioksido išskiriančių bendrovių.</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Bendra balansinė vertė bendrovės atžvilgiu, palyginti su visa bendra balansine verte (agreguota)</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Įstaigos atskleidžia procentinę dalį, gautą a skiltyje nurodytą agreguotą bendrą balansinę vertę padalijus iš įstaigos pozicijų visos bendros balansinės vertės bankinėje knygoje, kaip nurodyta Įgyvendinimo reglamento (ES) 2021/451 V priedo 1 dalyje, įskaitant paskolas ir kitus išankstinius mokėjimus, skolos vertybinius popierius ir nuosavybės priemones bankinėje knygoje, kurie pagal tą įgyvendinimo reglamentą priskiriami prie bankinės knygos apskaitos portfelių, išskyrus prekybai laikomą finansinį turtą arba laikomą parduoti turtą.</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Iš jų: aplinkos atžvilgiu tvarios pozicijos (KKŠ)</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atskleidžia aplinkos atžvilgiu tvarių pozicijų, kuriomis prisidedama prie klimato kaitos švelninimo tikslo, agreguotą bendrą balansinę vertę. Ta suma grindžiama finansuojamos veiklos tikslu specialiosios paskirties skolinimo atveju arba sandorio šalies informacija apie jos ekonominės veiklos atitikties Reglamentui (ES) 2020/852 lygį klimato kaitos švelninimo tikslo atveju (apyvartos, kuria svariai prisidedama prie klimato kaitos švelninimo, procentinė dalis).</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pradeda atskleisti šią informaciją, kurios pirmoji atskleidimo ataskaitinė data yra 2023 m. gruodžio 31 d.</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Vidutinis terminas</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pozicijų, į kurias atsižvelgiama skaičiuojant, vidutinį terminą, įvertintą pagal pozicijos bendrą balansinę vertę.</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Iš taršiausių bendrovių dvidešimtuko įtrauktų bendrovių skaičius</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nurodo skaičių taršiausių bendrovių, kurių duomenys įtraukti į agreguotos bendros balansinės vertės apskaičiavimą.</w:t>
            </w:r>
          </w:p>
        </w:tc>
      </w:tr>
    </w:tbl>
    <w:p w14:paraId="09C823B2" w14:textId="77777777" w:rsidR="00183989" w:rsidRPr="00340D55" w:rsidRDefault="00183989" w:rsidP="00183989">
      <w:pPr>
        <w:spacing w:before="120" w:after="120"/>
        <w:jc w:val="both"/>
        <w:rPr>
          <w:rFonts w:ascii="Times New Roman" w:hAnsi="Times New Roman"/>
          <w:b/>
          <w:noProof/>
          <w:sz w:val="24"/>
        </w:rPr>
      </w:pPr>
    </w:p>
    <w:p w14:paraId="5E0E2886" w14:textId="37B1EC20"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lastRenderedPageBreak/>
        <w:t xml:space="preserve">5 </w:t>
      </w:r>
      <w:r w:rsidR="00AA1437">
        <w:rPr>
          <w:rFonts w:ascii="Times New Roman" w:hAnsi="Times New Roman"/>
          <w:b/>
          <w:sz w:val="24"/>
        </w:rPr>
        <w:t>forma</w:t>
      </w:r>
      <w:r>
        <w:rPr>
          <w:rFonts w:ascii="Times New Roman" w:hAnsi="Times New Roman"/>
          <w:b/>
          <w:sz w:val="24"/>
        </w:rPr>
        <w:t>s. Bankinė knyga. Galimos su klimato kaita susijusios fizinės rizikos rodikliai. Su fizine rizika susijusios pozicijos</w:t>
      </w:r>
      <w:r>
        <w:rPr>
          <w:rFonts w:ascii="Times New Roman" w:hAnsi="Times New Roman"/>
          <w:sz w:val="24"/>
        </w:rPr>
        <w:t>. Nustatytasis formatas.</w:t>
      </w:r>
    </w:p>
    <w:p w14:paraId="603573BF" w14:textId="7441DDC3"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Įstaigos naudojasi toliau pateikiamais nurodymais atskleisdamos informaciją, kurios reikalaujama „5 </w:t>
      </w:r>
      <w:r w:rsidR="00AA1437">
        <w:rPr>
          <w:rFonts w:ascii="Times New Roman" w:hAnsi="Times New Roman"/>
          <w:sz w:val="24"/>
        </w:rPr>
        <w:t>formoje</w:t>
      </w:r>
      <w:r>
        <w:rPr>
          <w:rFonts w:ascii="Times New Roman" w:hAnsi="Times New Roman"/>
          <w:sz w:val="24"/>
        </w:rPr>
        <w:t xml:space="preserve">. Bankinė knyga. Galimos su klimato kaita susijusios fizinės rizikos rodikliai. Su fizine rizika susijusios pozicijos“, pateikiamame šio reglamento XXXIX priede. </w:t>
      </w:r>
    </w:p>
    <w:p w14:paraId="7DA642C5" w14:textId="08F8092E"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Įstaigos į š</w:t>
      </w:r>
      <w:r w:rsidR="00AA1437">
        <w:rPr>
          <w:rFonts w:ascii="Times New Roman" w:hAnsi="Times New Roman"/>
          <w:sz w:val="24"/>
        </w:rPr>
        <w:t>ią formą</w:t>
      </w:r>
      <w:r>
        <w:rPr>
          <w:rFonts w:ascii="Times New Roman" w:hAnsi="Times New Roman"/>
          <w:sz w:val="24"/>
        </w:rPr>
        <w:t xml:space="preserve"> įtraukia informaciją apie bankinėje knygoje esančias pozicijas, įskaitant paskolas ir kitus išankstinius mokėjimus, skolos vertybinius popierius ir nuosavybės priemones, kurios nėra laikomos prekybai ar laikomos parduoti, ne finansų bendrovių atžvilgiu, apie paskolas, užtikrintas nekilnojamuoju turtu, ir apie perimtas užtikrinimo priemones, kurios yra nekilnojamasis turtas, kurios yra jautrios lėtiniams ir ūmiems klimato kaitos sukeliamiems pavojams, suskirstydamos jas pagal ekonominės veiklos sektorių (pagal NACE klasifikatorių) ir pagal sandorio šalies veiklos arba užtikrinimo priemonės vietos geografinę padėtį, jei tuose sektoriuose ir geografinėse vietovėse yra lėtinių ir ūmių klimato kaitos sukeliamų įvykių grėsmė.</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Geografinei padėčiai, kuriai būdingi konkretūs su klimatu susiję pavojai, nustatyti įstaigos naudoja tam skirtus portalus ir duomenų bazes. Siekdamos gauti informacijos apie vietovių, kurios yra jautrios su klimato kaita susijusių įvykių atžvilgiu, ypatybes, įstaigos gali naudoti Sąjungos organų ir nacionalinių valdžios institucijų, įskaitant meteorologijos, aplinkos, statistikos agentūras ar geomokslo organizacijas, teikiamus duomenis. Duomenų šaltinių, pagal kuriuos galima nustatyti geografines vietoves, kurioms kelia grėsmę klimato kaita, pavyzdžiai apima</w:t>
      </w:r>
      <w:r>
        <w:rPr>
          <w:rFonts w:ascii="Times New Roman" w:hAnsi="Times New Roman"/>
          <w:sz w:val="24"/>
          <w:vertAlign w:val="superscript"/>
        </w:rPr>
        <w:t>*20</w:t>
      </w:r>
      <w:r>
        <w:rPr>
          <w:rFonts w:ascii="Times New Roman" w:hAnsi="Times New Roman"/>
          <w:sz w:val="24"/>
        </w:rPr>
        <w:t xml:space="preserve">: Pasaulinės nelaimių mažinimo ir atkūrimo priemonės (angl. santrumpa GFDRR) sukurta priemonė „ThinkHazard!“ (karščio bangos, vandens trūkumas ir nepriteklius, potvyniai, miškų gaisrai, uraganai, nuošliaužos); Atsparumo ir parengties partnerystės (angl. santrumpa PREP) – duomenų bazė „PREPdata“ (pakrančių potvyniai, ekstremalūs karščiai, nuošliaužos, vandens trūkumas ir nepriteklius, miškų gaisrai); Pasaulio išteklių instituto (angl. santrumpa WRI) vandens rizikos atlasas „Aqueduct Water Risk Atlas“ (potvyniai, pakrančių potvyniai, vandens trūkumas ir nepriteklius), bendrovės „Swiss Re“ priemonė „CatNet®“ (potvyniai, atogrąžų ciklonai (uraganai ir taifūnai), miškų gaisrai); Pasaulio banko Klimato kaitos žinių portalas („Climate Change Knowledge Portal“) (ekstremalūs karščiai, ekstremalūs krituliai, sausros); pagrindinių komponentų analize grindžiama Pasaulinė sausrų rizikos platforma („PCA – Global Drought Risk platform“) (sausros); agentūros NOAA sukurta praeityje įvykusių uraganų analizės priemonė „Historical hurricane tracks“ (tropiniai ciklonai (uraganai ir taifūnai).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Jei sandorio šalis yra kontroliuojančioji bendrovė, įstaigos atsižvelgia į konkretaus kontroliuojančiajai bendrovei priklausančio įsipareigojančiojo asmens (jei skiriasi nuo kontroliuojančiosios bendrovės), gaunančio finansavimą, NACE sektorių, ypač tais atvejais, kai įsipareigojantysis asmuo yra ne finansų bendrovė. Panašiai, kai įstaigos tiesioginė sandorio šalis (įsipareigojantysis asmuo) yra specialiosios paskirties įmonė (SPĮ), įstaigos atskleidžia atitinkamą informaciją pagal NACE sektorių, siejamą su SPĮ patronuojančiosios bendrovės ekonomine veikla. Jungtinių pozicijų daugiau negu vieno įsipareigojančiojo asmens atžvilgiu klasifikacija grindžiama įsipareigojančiojo asmens, kuris minėtai įstaigai įgyjant minėtą poziciją buvo svarbiausias, ypatybėmis. Jungtinių pozicijų pasiskirstymas pagal NACE kodus turi būti grindžiamas įsipareigojančiojo asmens, kuris įgyjant poziciją buvo svarbesnis arba pagrindinis, ypatybėmis. </w:t>
      </w:r>
    </w:p>
    <w:p w14:paraId="448A73B4" w14:textId="58ED74BE"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Ši</w:t>
      </w:r>
      <w:r w:rsidR="00AA1437">
        <w:rPr>
          <w:rFonts w:ascii="Times New Roman" w:hAnsi="Times New Roman"/>
          <w:sz w:val="24"/>
        </w:rPr>
        <w:t>oje formoje</w:t>
      </w:r>
      <w:r>
        <w:rPr>
          <w:rFonts w:ascii="Times New Roman" w:hAnsi="Times New Roman"/>
          <w:sz w:val="24"/>
        </w:rPr>
        <w:t xml:space="preserve"> reikalaujamą informaciją įstaigos atskleidžia dėdamos visas pastangas, o prie </w:t>
      </w:r>
      <w:r w:rsidR="00AA1437">
        <w:rPr>
          <w:rFonts w:ascii="Times New Roman" w:hAnsi="Times New Roman"/>
          <w:sz w:val="24"/>
        </w:rPr>
        <w:t>formos</w:t>
      </w:r>
      <w:r>
        <w:rPr>
          <w:rFonts w:ascii="Times New Roman" w:hAnsi="Times New Roman"/>
          <w:sz w:val="24"/>
        </w:rPr>
        <w:t xml:space="preserve"> pridedamame aiškinamajame rašte paaiškina, kokiais informacijos šaltiniais ir metodais jos naudojosi su klimato kaitos fizine rizika susijusioms pozicijoms nustatyti.</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Skiltys</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Nurodymai</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Geografinė vietovė, kurioje galimi ūmūs ir lėtiniai klimato kaitos sukeliami įvykiai</w:t>
            </w:r>
          </w:p>
          <w:p w14:paraId="1D184C39" w14:textId="77777777" w:rsidR="00183989" w:rsidRPr="00340D55"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Įstaigos nurodo geografines vietoves, kuriose yra neigiamų su klimato kaita susijusių fizinių įvykių rizika. Šios geografinės vietovės apima šalis arba kitus geografinius ar administracinius regionus, kuriuose sandorio šalys vykdo veiklą arba kuriuose yra jų užtikrinimo priemonės buvimo vieta ir kuriuose yra lėtinių arba ūmių klimato kaitos sukeliamų įvykių rizika. Pozicijų geografinei aprėpčiai nurodyti įstaigos atitinkamai naudoja Teritorinių statistinių vienetų nomenklatūroje (arba NUTS) nurodytą skyrių lygmenį.</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Bendra balansinė vertė</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Įstaigos atskleidžia bendrą savo pozicijų ne finansų bendrovių atžvilgiu balansinę vertę, apibrėžtą Įgyvendinimo reglamento (ES) 2021/451 V priedo 1 dalyje (įskaitant paskolas ir kitus išankstinius mokėjimus, skolos vertybinius popierius ir nuosavybės priemones), kurie pagal tą įgyvendinimo reglamentą priskiriami prie bankinės knygos apskaitos portfelių, išskyrus prekybai laikomą finansinį turtą ir laikomą parduoti turtą.</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pozicijos, jautrios klimato kaitos sukeliamų fizinių įvykių poveikiui</w:t>
            </w:r>
          </w:p>
          <w:p w14:paraId="316EF55B" w14:textId="05EAA118"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Įstaigos atskleidžia pozicijų, kurioms poveikio gali turėti klimato kaitos sukeliami fiziniai įvykiai, bendrą balansinę vertę. Pozicijų, kurioms poveikio gali turėti klimato kaitos sukeliami fiziniai įvykiai, bendra balansinė vertė gali būti lygi visai pozicijų sumai, atskleistai šio</w:t>
            </w:r>
            <w:r w:rsidR="00AA1437">
              <w:rPr>
                <w:rFonts w:ascii="Times New Roman" w:hAnsi="Times New Roman"/>
                <w:sz w:val="24"/>
              </w:rPr>
              <w:t>s formos</w:t>
            </w:r>
            <w:r>
              <w:rPr>
                <w:rFonts w:ascii="Times New Roman" w:hAnsi="Times New Roman"/>
                <w:sz w:val="24"/>
              </w:rPr>
              <w:t xml:space="preserve"> b skiltyje, arba gali sudaryti dalį tos pozicijų sumos.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Suskirstymas pagal terminų intervalą</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Įstaigos priskiria pozicijas prie atitinkamo terminų intervalo pagal finansinės priemonės likutinį terminą, atsižvelgdamos į šiuos dalykus:</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jei suma grąžintina dalimis, pozicija priskiriama prie paskutinę dalį atitinkančio terminų intervalo;</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jei pozicijos terminas nenurodytas dėl kitų priežasčių nei sandorio šalies galimybė pasirinkti grąžinimo datą, šios pozicijos suma atskleidžiama skiltyje „&gt; 20 metų“;</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apskaičiuodamos vidutinį pozicijų terminą, įstaigos kiekvienos pozicijos terminą įvertina pagal pozicijų bendrą balansinę vertę.</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pozicijos, jautrios lėtinių klimato kaitos sukeliamų įvykių poveikiui</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Įstaigos atskleidžia pozicijų, jautrių tik lėtinių klimato kaitos sukeliamų įvykių, įskaitant pavojus, susijusius su laipsniškais oro sąlygų ir klimato pokyčiais, galinčiais turėti įtakos ekonominei produkcijai ir našumui, poveikiui, bendrą balansinę vertę.</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pozicijos, jautrios ūmių klimato kaitos sukeliamų įvykių poveikiui</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lastRenderedPageBreak/>
              <w:t>Įstaigos atskleidžia pozicijų, jautrių tik ūmių klimato kaitos sukeliamų įvykių, įskaitant pavojus, galinčius staiga padaryti žalos nuosavybei, sutrikdyti tiekimo grandines ir lemti turto nuvertėjimą, poveikiui, bendrą balansinę vertę.</w:t>
            </w:r>
          </w:p>
          <w:p w14:paraId="48D7B200" w14:textId="77777777" w:rsidR="00183989" w:rsidRPr="00340D55"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pozicijos, jautrios lėtinių ir ūmių klimato kaitos sukeliamų įvykių poveikiui</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Įstaigos atskleidžia pozicijų, kurioms poveikį gali padaryti tiek lėtiniai, tiek ūmūs klimato kaitos sukeliami įvykiai ir kurios nurodytos h ir i skiltyse, bendrą balansinę vertę.</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2 etapo pozicijos</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TFAS taikančios įstaigos 2 etapo priemonių bendrą balansinę vertę atskleidžia pagal 9-uosius TFAS.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Skilčių „Iš jų: 2 etapo pozicijos“ nepildo įstaigos, taikančios Direktyva 86/635/EEB pagrįstus nacionalinius visuotinai pripažintus apskaitos principus.</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neveiksnios pozicijos</w:t>
            </w:r>
          </w:p>
          <w:p w14:paraId="20F3319C" w14:textId="77777777" w:rsidR="00183989" w:rsidRPr="00E50FA4" w:rsidRDefault="00183989" w:rsidP="00D0691F">
            <w:pPr>
              <w:pStyle w:val="Fait"/>
              <w:spacing w:before="0" w:after="120"/>
              <w:rPr>
                <w:noProof/>
              </w:rPr>
            </w:pPr>
            <w:r>
              <w:t>Įstaigos atskleidžia neveiksnių pozicijų, nurodytų Reglamento (ES) Nr. 575/2013 47a straipsnio 3 dalyje, kurias gali paveikti klimato kaitos sukeliami įvykiai, bendrą balansinę vertę.</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Sukauptas vertės sumažėjimas, sukaupti neigiami tikrosios vertės pokyčiai dėl kredito rizikos ir atidėjiniai</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Įstaigos atskleidžia sumas, nurodytas Įgyvendinimo reglamento (ES) 2021/451 V priedo 2 dalies 11, 69, 70, 71, 106 ir 110 punktuose.</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2 etapo pozicijos</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 skiltyje nurodoma sukaupta 2 etapo pozicijų vertės sumažėjimo suma.</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TFAS taikančios įstaigos 2 etapo priemonių bendrą balansinę vertę atskleidžia pagal 9-uosius TFAS.</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Skilčių „Iš jų: 2 etapo pozicijos“ nepildo įstaigos, taikančios Direktyva 86/635/EEB pagrįstus nacionalinius visuotinai pripažintus apskaitos principus.</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neveiksnios pozicijos</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atskleidžia sukaupto vertės sumažėjimo, sukauptų neigiamų tikrosios vertės pokyčių dėl kredito rizikos ir atidėjinių neveiksnioms pozicijoms sumą, kaip nurodyta Reglamento (ES) Nr. 575/2013 47a straipsnio 3 dalyje.</w:t>
            </w:r>
          </w:p>
        </w:tc>
      </w:tr>
    </w:tbl>
    <w:p w14:paraId="3729E508" w14:textId="77777777" w:rsidR="00183989" w:rsidRPr="00340D55"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9D3158B"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6 </w:t>
      </w:r>
      <w:r w:rsidR="00AA1437">
        <w:rPr>
          <w:rFonts w:ascii="Times New Roman" w:hAnsi="Times New Roman"/>
          <w:b/>
          <w:sz w:val="24"/>
        </w:rPr>
        <w:t>forma</w:t>
      </w:r>
      <w:r>
        <w:rPr>
          <w:rFonts w:ascii="Times New Roman" w:hAnsi="Times New Roman"/>
          <w:b/>
          <w:sz w:val="24"/>
        </w:rPr>
        <w:t xml:space="preserve">. Kriterijus atitinkančios taksonominės veiklos pozicijų pagrindinių veiklos rezultatų rodiklių (PVRR) santrauka. </w:t>
      </w:r>
      <w:r>
        <w:rPr>
          <w:rFonts w:ascii="Times New Roman" w:hAnsi="Times New Roman"/>
          <w:sz w:val="24"/>
        </w:rPr>
        <w:t>Nustatytasis formatas.</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64F43455"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6 </w:t>
      </w:r>
      <w:r w:rsidR="00AA1437">
        <w:rPr>
          <w:rFonts w:ascii="Times New Roman" w:hAnsi="Times New Roman"/>
          <w:sz w:val="24"/>
        </w:rPr>
        <w:t>formoje</w:t>
      </w:r>
      <w:r>
        <w:rPr>
          <w:rFonts w:ascii="Times New Roman" w:hAnsi="Times New Roman"/>
          <w:sz w:val="24"/>
        </w:rPr>
        <w:t xml:space="preserve"> įstaigos pateikia PVRR, apskaičiuotų remiantis XXXIX priedo 7 ir 8 </w:t>
      </w:r>
      <w:r w:rsidR="00AA1437">
        <w:rPr>
          <w:rFonts w:ascii="Times New Roman" w:hAnsi="Times New Roman"/>
          <w:sz w:val="24"/>
        </w:rPr>
        <w:t>formomis</w:t>
      </w:r>
      <w:r>
        <w:rPr>
          <w:rFonts w:ascii="Times New Roman" w:hAnsi="Times New Roman"/>
          <w:sz w:val="24"/>
        </w:rPr>
        <w:t>, įskaitant žaliojo turto rodiklį (ŽTR), kaip nurodyta Komisijos deleguotajame reglamente (ES) 2021/2178</w:t>
      </w:r>
      <w:r>
        <w:rPr>
          <w:rFonts w:ascii="Times New Roman" w:hAnsi="Times New Roman"/>
          <w:sz w:val="24"/>
          <w:vertAlign w:val="superscript"/>
        </w:rPr>
        <w:t>*21</w:t>
      </w:r>
      <w:r>
        <w:rPr>
          <w:rFonts w:ascii="Times New Roman" w:hAnsi="Times New Roman"/>
          <w:sz w:val="24"/>
        </w:rPr>
        <w:t xml:space="preserve">, apžvalgą. </w:t>
      </w:r>
    </w:p>
    <w:p w14:paraId="6DD8802E" w14:textId="24AE61A9"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Pagal Deleguotąjį reglamentą (ES) 2021/2178 subjektų reikalaujama įvertinti ir atskleisti ŽTR du kartus: vieną kartą remiantis sandorio šalies (ne finansų bendrovės) kriterijus atitinkančios taksonominės veiklos apyvarta tų pozicijų, kurių tikslas nėra finansuoti konkrečią nustatytą veiklą (bendrosios paskirties skolinimas), atveju ir dar kartą remiantis sandorio šalies kriterijus atitinkančios taksonominės veiklos kapitalo išlaidomis (</w:t>
      </w:r>
      <w:r>
        <w:rPr>
          <w:rFonts w:ascii="Times New Roman" w:hAnsi="Times New Roman"/>
          <w:i/>
          <w:iCs/>
          <w:sz w:val="24"/>
        </w:rPr>
        <w:t>CapEx</w:t>
      </w:r>
      <w:r>
        <w:rPr>
          <w:rFonts w:ascii="Times New Roman" w:hAnsi="Times New Roman"/>
          <w:sz w:val="24"/>
        </w:rPr>
        <w:t>) tų pačių bendrosios paskirties skolinimo pozicijų atveju, tačiau ši</w:t>
      </w:r>
      <w:r w:rsidR="00AA1437">
        <w:rPr>
          <w:rFonts w:ascii="Times New Roman" w:hAnsi="Times New Roman"/>
          <w:sz w:val="24"/>
        </w:rPr>
        <w:t>oje formoje</w:t>
      </w:r>
      <w:r>
        <w:rPr>
          <w:rFonts w:ascii="Times New Roman" w:hAnsi="Times New Roman"/>
          <w:sz w:val="24"/>
        </w:rPr>
        <w:t xml:space="preserve"> įstaigos ŽTR atskleidžia vieną kartą, remdamosi tik sandorio šalies kriterijus atitinkančios taksonominės veiklos apyvarta bendrosios paskirties skolinimo atveju.</w:t>
      </w:r>
    </w:p>
    <w:p w14:paraId="25BA5182" w14:textId="44051F21"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Kalbant apie atsargas, ŽTR (klimato kaitos švelninimas), ŽTR (prisitaikymas prie klimato kaitos) ir ŽTR (klimato kaitos švelninimas ir prisitaikymas prie klimato kaitos) turi atitikti PVRR, atitinkamai įtrauktus į 8 </w:t>
      </w:r>
      <w:r w:rsidR="00AA1437">
        <w:rPr>
          <w:rFonts w:ascii="Times New Roman" w:hAnsi="Times New Roman"/>
          <w:sz w:val="24"/>
        </w:rPr>
        <w:t>formos</w:t>
      </w:r>
      <w:r>
        <w:rPr>
          <w:rFonts w:ascii="Times New Roman" w:hAnsi="Times New Roman"/>
          <w:sz w:val="24"/>
        </w:rPr>
        <w:t xml:space="preserve"> b, g ir l skiltis. Panašiai, kalbant apie srautus, ŽTR (klimato kaitos švelninimas), ŽTR (prisitaikymas prie klimato kaitos) ir ŽTR (klimato kaitos švelninimas ir prisitaikymas prie klimato kaitos) turi atitikti PVRR, įtrauktus į to paties 8 </w:t>
      </w:r>
      <w:r w:rsidR="00AA1437">
        <w:rPr>
          <w:rFonts w:ascii="Times New Roman" w:hAnsi="Times New Roman"/>
          <w:sz w:val="24"/>
        </w:rPr>
        <w:t>formos</w:t>
      </w:r>
      <w:r>
        <w:rPr>
          <w:rFonts w:ascii="Times New Roman" w:hAnsi="Times New Roman"/>
          <w:sz w:val="24"/>
        </w:rPr>
        <w:t xml:space="preserve"> 1 eilutės r, w ir ab skiltis.</w:t>
      </w:r>
    </w:p>
    <w:p w14:paraId="77D5B82C" w14:textId="750F295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Informacija apie aprėptį įtraukiama į 8 </w:t>
      </w:r>
      <w:r w:rsidR="00AA1437">
        <w:rPr>
          <w:rFonts w:ascii="Times New Roman" w:hAnsi="Times New Roman"/>
          <w:sz w:val="24"/>
        </w:rPr>
        <w:t>formos</w:t>
      </w:r>
      <w:r>
        <w:rPr>
          <w:rFonts w:ascii="Times New Roman" w:hAnsi="Times New Roman"/>
          <w:sz w:val="24"/>
        </w:rPr>
        <w:t xml:space="preserve"> 1 eilutės p skiltį ŽTR atsargų atveju ir af skiltį ŽTR srautų atveju.</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Įstaigos atskleidžia šią informaciją, kurios pirmoji ataskaitinė data yra 2023 m. gruodžio 31 d. ir atitinka pirmąją informacijos apie ŽTR atskleidimo datą, nurodytą Deleguotajame reglamente (ES) 2021/2178.</w:t>
      </w:r>
    </w:p>
    <w:p w14:paraId="0050DFCF" w14:textId="77777777" w:rsidR="00183989" w:rsidRPr="00340D55" w:rsidRDefault="00183989" w:rsidP="00183989">
      <w:pPr>
        <w:spacing w:before="120" w:after="120"/>
        <w:jc w:val="both"/>
        <w:rPr>
          <w:rFonts w:ascii="Times New Roman" w:hAnsi="Times New Roman"/>
          <w:noProof/>
          <w:sz w:val="24"/>
        </w:rPr>
      </w:pPr>
    </w:p>
    <w:p w14:paraId="39A6B2E9" w14:textId="395165A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7 </w:t>
      </w:r>
      <w:r w:rsidR="00AA1437">
        <w:rPr>
          <w:rFonts w:ascii="Times New Roman" w:hAnsi="Times New Roman"/>
          <w:b/>
          <w:sz w:val="24"/>
        </w:rPr>
        <w:t>forma</w:t>
      </w:r>
      <w:r>
        <w:rPr>
          <w:rFonts w:ascii="Times New Roman" w:hAnsi="Times New Roman"/>
          <w:b/>
          <w:sz w:val="24"/>
        </w:rPr>
        <w:t xml:space="preserve">. Švelninimo veiksmai: apskaičiuojant ŽTR aktualus turtas. </w:t>
      </w:r>
      <w:r>
        <w:rPr>
          <w:rFonts w:ascii="Times New Roman" w:hAnsi="Times New Roman"/>
          <w:sz w:val="24"/>
        </w:rPr>
        <w:t>Nustatytasis formatas</w:t>
      </w:r>
    </w:p>
    <w:p w14:paraId="4B2A5CA7" w14:textId="3A94B1A9"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Įstaigos naudojasi toliau pateikiamais nurodymais atskleisdamos informaciją, kurios reikalaujama „7 </w:t>
      </w:r>
      <w:r w:rsidR="00AA1437">
        <w:rPr>
          <w:rFonts w:ascii="Times New Roman" w:hAnsi="Times New Roman"/>
          <w:sz w:val="24"/>
        </w:rPr>
        <w:t>formoje</w:t>
      </w:r>
      <w:r>
        <w:rPr>
          <w:rFonts w:ascii="Times New Roman" w:hAnsi="Times New Roman"/>
          <w:sz w:val="24"/>
        </w:rPr>
        <w:t xml:space="preserve">. Švelninimo veiksmai: apskaičiuojant ŽTR aktualus turtas“, pateiktame šio reglamento XXXIX priede. </w:t>
      </w:r>
    </w:p>
    <w:p w14:paraId="333149E3" w14:textId="3C38FD3E"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Ši</w:t>
      </w:r>
      <w:r w:rsidR="00AA1437">
        <w:rPr>
          <w:rFonts w:ascii="Times New Roman" w:hAnsi="Times New Roman"/>
          <w:sz w:val="24"/>
        </w:rPr>
        <w:t>oje formoje</w:t>
      </w:r>
      <w:r>
        <w:rPr>
          <w:rFonts w:ascii="Times New Roman" w:hAnsi="Times New Roman"/>
          <w:sz w:val="24"/>
        </w:rPr>
        <w:t xml:space="preserve"> įstaigos atskleidžia informaciją apie įstaigų paskolų ir kitų išankstinių mokėjimų, skolos vertybinių popierių ir nuosavybės priemonių savo bankinėje knygoje bendrą balansinę vertę, išskaidydamos informaciją pagal sandorio šalies, įskaitant finansų bendroves, ne finansų bendroves, namų ūkius, vietos valdžios institucijas, rūšį, taip pat skolinimą namų ūkiams nekilnojamajam turtui įsigyti, ir apie tai, kokiu mastu pozicijos yra taksonominės veiklos ir kriterijus atitinkančios taksonominės veiklos pozicijos, kiek tai susiję su klimato kaitos švelninimo ir prisitaikymo prie klimato kaitos aplinkos tikslais, kaip nurodyta Reglamento (ES) 2020/852 9 straipsnio a ir b punktuose.</w:t>
      </w:r>
    </w:p>
    <w:p w14:paraId="04EC4D6E" w14:textId="4BCD4A55"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Visų pirma į š</w:t>
      </w:r>
      <w:r w:rsidR="00AA1437">
        <w:rPr>
          <w:rFonts w:ascii="Times New Roman" w:hAnsi="Times New Roman"/>
          <w:sz w:val="24"/>
        </w:rPr>
        <w:t>ią formą</w:t>
      </w:r>
      <w:r>
        <w:rPr>
          <w:rFonts w:ascii="Times New Roman" w:hAnsi="Times New Roman"/>
          <w:sz w:val="24"/>
        </w:rPr>
        <w:t xml:space="preserve"> įstaigos įtraukia informaciją, būtiną ŽTR apskaičiuoti pagal Deleguotąjį reglamentą (ES) 2021/2178. Pagal Deleguotąjį reglamentą (ES) 2021/2178 įstaigų reikalaujama įvertinti ir atskleisti ŽTR du kartus: vieną kartą remiantis sandorio šalies (ne finansų bendrovės) kriterijus atitinkančios taksonominės veiklos apyvarta tų pozicijų, kurių tikslas nėra finansuoti konkrečią nustatytą veiklą (bendrosios paskirties skolinimas), atveju ir dar kartą remiantis sandorio šalies kriterijus atitinkančios taksonominės veiklos CapEx tų pačių bendrosios paskirties skolinimo pozicijų atveju, tačiau ši</w:t>
      </w:r>
      <w:r w:rsidR="00AA1437">
        <w:rPr>
          <w:rFonts w:ascii="Times New Roman" w:hAnsi="Times New Roman"/>
          <w:sz w:val="24"/>
        </w:rPr>
        <w:t>oje formoje</w:t>
      </w:r>
      <w:r>
        <w:rPr>
          <w:rFonts w:ascii="Times New Roman" w:hAnsi="Times New Roman"/>
          <w:sz w:val="24"/>
        </w:rPr>
        <w:t xml:space="preserve"> įstaigos ŽTR atskleidžia tik vieną kartą, remdamosi tik sandorio šalies </w:t>
      </w:r>
      <w:r>
        <w:rPr>
          <w:rFonts w:ascii="Times New Roman" w:hAnsi="Times New Roman"/>
          <w:sz w:val="24"/>
        </w:rPr>
        <w:lastRenderedPageBreak/>
        <w:t>kriterijus atitinkančios taksonominės veiklos apyvarta bendrosios paskirties skolinimo atveju.</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Remdamosi ta informacija įstaigos apskaičiuoja ir atskleidžia savo ŽTR, kaip nurodyta Deleguotajame reglamente (ES) 2021/2178. Įtraukiama informacija yra susijusi su klimato kaitos švelninimu ir prisitaikymu prie klimato kaitos, kaip nurodyta Reglamento (ES) 2020/852 9 straipsnio a ir b punktuose.</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Įstaigos atskleidžia šią informaciją, kurios pirmoji ataskaitinė data – 2023 m. gruodžio 31 d., t. y. pirmoji informacijos apie ŽTR atskleidimo data, kaip nurodyta Deleguotajame reglamente (ES)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Skiltys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Nurodymai</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Bendra balansinė vertė</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bendrą balansinę vertę, kaip apibrėžta Įgyvendinimo reglamento (ES) 2021/451 V priedo 1 dalyje.</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Iš jos: pozicijos taksonominių sektorių atžvilgiu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bendrą balansinę vertę, kaip apibrėžta Įgyvendinimo reglamento (ES) 2021/451 V priedo 1 dalyje.</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taksonominės veiklos pozicijų sektorių (4 lygio NACE kodai), kurie yra svarbūs atitinkamam aplinkos tikslui pagal taksonomiją, kaip nurodyta Komisijos deleguotojo reglamento (ES) 2021/2139</w:t>
            </w:r>
            <w:r>
              <w:rPr>
                <w:rFonts w:ascii="Times New Roman" w:hAnsi="Times New Roman"/>
                <w:sz w:val="24"/>
                <w:vertAlign w:val="superscript"/>
              </w:rPr>
              <w:t>*22</w:t>
            </w:r>
            <w:r>
              <w:rPr>
                <w:rFonts w:ascii="Times New Roman" w:hAnsi="Times New Roman"/>
                <w:sz w:val="24"/>
              </w:rPr>
              <w:t xml:space="preserve"> I priede, atžvilgiu bendrą balansinę vertę.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pozicijas sektorių, svarbių pagal klimato kaitos švelninimo tikslą, nustatytą Reglamento (ES) 2020/852 9 straipsnio a punkte ir 10 straipsnyje, atžvilgiu.</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11AE4DE3"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w:t>
            </w:r>
            <w:r w:rsidR="00340D55">
              <w:rPr>
                <w:rFonts w:ascii="Times New Roman" w:hAnsi="Times New Roman"/>
                <w:b/>
                <w:sz w:val="24"/>
                <w:u w:val="single"/>
              </w:rPr>
              <w:t>os</w:t>
            </w:r>
            <w:r>
              <w:rPr>
                <w:rFonts w:ascii="Times New Roman" w:hAnsi="Times New Roman"/>
                <w:b/>
                <w:sz w:val="24"/>
                <w:u w:val="single"/>
              </w:rPr>
              <w:t xml:space="preserve">: aplinkos atžvilgiu tvari veikla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bendrą balansinę vertę, kaip apibrėžta Įgyvendinimo reglamento (ES) 2021/451 V priedo 1 dalyje.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taksonominės veiklos pozicijų, kurios yra aplinkos atžvilgiu tvarios, kaip nurodyta Deleguotojo reglamento (ES) 2021/2139 I priede, bendrą balansinę vertę.</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Įstaigos atskleidžia pozicijas, kurios yra aplinkos atžvilgiu tvarios pagal klimato kaitos švelninimo tikslą, nustatytą Reglamento (ES) 2020/852 9 straipsnio a punkte ir 10 straipsnyje.</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Kai pajamų panaudojimas yra žinomas (specializuotas skolinimas, įskaitant projektų finansavimo paskolas, kaip nurodyta Įgyvendinimo reglamento (ES) 2021/451 V priede), įstaigos atskleidžia, kokiu mastu pozicija yra tvari aplinkos atžvilgiu. Toks atskleidimas grindžiamas tuo, kokiu mastu finansuojamu projektu svariai prisidedama prie klimato kaitos švelninimo pagal Reglamento (ES) 2020/852 10 straipsnį arba jis yra sąlygas sudaranti veikla pagal to reglamento 16 straipsnį ir atitinka to reglamento 3 straipsnyje nurodytus kriterijus. Kai pajamų panaudojimas nežinomas, įstaigos atskleidžia, kokiu mastu pozicija yra tvari aplinkos atžvilgiu, naudodamosi pagal Reglamento (ES) 2020/852 8 straipsnį iš sandorio šalies gauta informacija apie tai, kokia jų apyvartos dalis gaunama iš produktų ar paslaugų, susijusių su </w:t>
            </w:r>
            <w:r>
              <w:rPr>
                <w:rFonts w:ascii="Times New Roman" w:hAnsi="Times New Roman"/>
                <w:sz w:val="24"/>
              </w:rPr>
              <w:lastRenderedPageBreak/>
              <w:t>ekonomine veikla, kuri laikoma aplinkos atžvilgiu tvaria pagal to reglamento 3 straipsnį.</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 kiekvieną poziciją atsižvelgiama tik vieną kartą ir ji priskiriama tik prie vieno aplinkos tikslo. Kai pozicijos svarbios daugiau nei vienam aplinkos tikslui, jos priskiriamos prie svarbiausio tikslo.</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specializuotas skolinimas</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bendrą balansinę vertę, kaip apibrėžta Įgyvendinimo reglamento (ES) 2021/451 V priedo 1 dalyje.</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Specializuoto skolinimo pozicijos suprantamos taip, kaip nurodyta Reglamento (ES) Nr. 575/2013 147 straipsnio 8 dalyje. Ji apima pozicijas, kurios yra aplinkos atžvilgiu tvarios pagal klimato kaitos švelninimo tikslą, nustatytą Reglamento (ES) 2020/852 9 straipsnio a punkte ir 10 straipsnyje.</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Kai pajamų panaudojimas žinomas, specializuoto skolinimo atveju įstaigos atskleidžia, kokiu mastu pozicija yra tvari aplinkos atžvilgu, remdamosi tuo, kokiu mastu ir kokia proporcine dalimi konkretus finansuojamas projektas laikomas svariai prisidedančiu prie klimato kaitos švelninimo (konkretaus projekto informacija) pagal Reglamento (ES) 2020/852 10 straipsnį arba sąlygas sudarančia veikla pagal 16 straipsnį ir atitinka to reglamento 3 straipsnyje nurodytus kriterijus. Įstaigos pateikia skaidrią informaciją apie ekonominės veiklos, finansuojamos specializuoto skolinimo lėšomis, rūšį. Kai ta pati specializuoto skolinimo pozicija svarbi dviem aplinkos tikslams, įstaigos ją priskiria prie svarbiausio tikslo.</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perėjimo veikla</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Reglamento (ES) 2020/852 10 straipsnis.</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sąlygas sudaranti veikla</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Reglamento (ES) 2020/852 16 straipsnis.</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pozicijos taksonominių sektorių atžvilgiu</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bendrą balansinę vertę, kaip apibrėžta Įgyvendinimo reglamento (ES) 2021/451 V priedo 1 dalyje.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taksonominės veiklos pozicijų sektorių (4 lygio NACE kodai), kurie yra svarbūs atitinkamam aplinkos tikslui pagal taksonomiją, kaip nurodyta Deleguotojo reglamento (ES) 2021/2139 II priede, atžvilgiu bendrą balansinę vertę.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pozicijas sektorių, svarbių pagal prisitaikymo prie klimato kaitos tikslą, nustatytą Reglamento (ES) 2020/852 9 straipsnio b punkte ir 11 straipsnyje, atžvilgiu.</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2CA5FA9C" w14:textId="0E90613F"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w:t>
            </w:r>
            <w:r w:rsidR="00340D55">
              <w:rPr>
                <w:rFonts w:ascii="Times New Roman" w:hAnsi="Times New Roman"/>
                <w:b/>
                <w:sz w:val="24"/>
                <w:u w:val="single"/>
              </w:rPr>
              <w:t>os</w:t>
            </w:r>
            <w:r>
              <w:rPr>
                <w:rFonts w:ascii="Times New Roman" w:hAnsi="Times New Roman"/>
                <w:b/>
                <w:sz w:val="24"/>
                <w:u w:val="single"/>
              </w:rPr>
              <w:t xml:space="preserve">: aplinkos atžvilgiu tvari veikla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bendrą balansinę vertę, kaip apibrėžta Įgyvendinimo reglamento (ES) 2021/451 V priedo 1 dalyje.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taksonominės veiklos pozicijų, kurios yra aplinkos atžvilgiu tvarios, kaip nurodyta Deleguotojo reglamento (ES) 2021/2139 II priede, </w:t>
            </w:r>
            <w:r>
              <w:rPr>
                <w:rFonts w:ascii="Times New Roman" w:hAnsi="Times New Roman"/>
                <w:sz w:val="24"/>
              </w:rPr>
              <w:lastRenderedPageBreak/>
              <w:t>bendrą balansinę vertę.</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Įstaigos atskleidžia pozicijas, kurios yra aplinkos atžvilgiu tvarios pagal prisitaikymo prie klimato kaitos tikslą, nustatytą Reglamento (ES) 2020/852 9 straipsnio b punkte ir 11 straipsnyje.</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Kai pajamų panaudojimas žinomas, specializuoto skolinimo atveju įstaigos atskleidžia, kokiu mastu pozicija yra tvari aplinkos atžvilgiu, remdamosi tuo, kokiu mastu ir kokia dalimi finansuojamas projektas laikomas svariai prisidedančiu prie prisitaikymo prie klimato kaitos pagal Reglamento (ES) 2020/852 11 straipsnį arba sąlygas sudarančia veikla pagal to reglamento 16 straipsnį ir atitinka to reglamento 3 straipsnyje nurodytus kriterijus.</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Kai pajamų panaudojimas nežinomas, įstaigos atskleidžia, kokiu mastu pozicija yra tvari aplinkos atžvilgiu, naudodamosi pagal Reglamento (ES) 2020/852 8 straipsnį iš sandorio šalies gauta informacija apie tai, kokia jų apyvartos dalis gaunama iš produktų ar paslaugų, susijusių su ekonomine veikla, kuri laikoma aplinkos atžvilgiu tvaria pagal to reglamento 3 straipsnį.</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 kiekvieną poziciją atsižvelgiama tik vieną kartą ir ji priskiriama tik prie vieno aplinkos tikslo. Kai pozicijos svarbios daugiau nei vienam aplinkos tikslui, pozicijos priskiriamos prie svarbiausio tikslo.</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specializuotas skolinimas</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bendrą balansinę vertę, kaip apibrėžta Įgyvendinimo reglamento (ES) 2021/451 V priedo 1 dalyje.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Specializuoto skolinimo pozicijos suprantamos taip, kaip nurodyta Reglamento (ES) Nr. 575/2013 147 straipsnio 8 dalyje.</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Įstaigos atskleidžia specializuoto skolinimo pozicijas, kurios yra aplinkos atžvilgiu tvarios pagal prisitaikymo prie klimato kaitos tikslą, nustatytą Reglamento (ES) 2020/852 9 straipsnio b punkte ir 11 straipsnyje.</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Įstaigos atskleidžia, kokiu mastu pozicija yra tvari aplinkos atžvilgiu, naudodamosi iš sandorio šalies gauta informacija.</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Kai pajamų panaudojimas žinomas, specializuoto skolinimo atveju įstaigos atskleidžia, kokiu mastu pozicija yra tvari aplinkos atžvilgu, remdamosi tuo, kokiu mastu ir kokia dalimi konkretus finansuojamas projektas laikomas svariai prisidedančiu prie prisitaikymo prie klimato kaitos (konkretaus projekto informacija) pagal Reglamento (ES) 2020/852 11 straipsnį arba sąlygas sudarančia veikla pagal to reglamento 16 straipsnį ir atitinka to reglamento 3 straipsnyje nurodytus kriterijus. Įstaigos pateikia skaidrią informaciją apie ekonominės veiklos, finansuojamos specializuoto skolinimo lėšomis, rūšį. Kai ta pati specializuoto skolinimo pozicija gali būti svarbi dviem aplinkos tikslams, pozicija priskiriama prie svarbiausio tikslo.</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prisitaikymo veikla</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Reglamento (ES) 2020/852 11 straipsnis. Ši veikla apima veiklą, kuri nėra sąlygas sudaranti veikla.</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sąlygas sudaranti veikla</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Reglamento (ES) 2020/852 16 straipsnis.</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Iš jos: pozicijos taksonominių sektorių atžvilgiu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bendrą balansinę vertę, kaip apibrėžta Įgyvendinimo reglamento (ES) 2021/451 V priedo 1 dalyje. </w:t>
            </w:r>
          </w:p>
          <w:p w14:paraId="24EE13DB" w14:textId="3400EE6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įtraukia šio</w:t>
            </w:r>
            <w:r w:rsidR="00AA1437">
              <w:rPr>
                <w:rFonts w:ascii="Times New Roman" w:hAnsi="Times New Roman"/>
                <w:sz w:val="24"/>
              </w:rPr>
              <w:t>s formos</w:t>
            </w:r>
            <w:r>
              <w:rPr>
                <w:rFonts w:ascii="Times New Roman" w:hAnsi="Times New Roman"/>
                <w:sz w:val="24"/>
              </w:rPr>
              <w:t xml:space="preserve"> b ir g skilčių sumą.</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458D7955"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w:t>
            </w:r>
            <w:r w:rsidR="00340D55">
              <w:rPr>
                <w:rFonts w:ascii="Times New Roman" w:hAnsi="Times New Roman"/>
                <w:b/>
                <w:sz w:val="24"/>
                <w:u w:val="single"/>
              </w:rPr>
              <w:t>os</w:t>
            </w:r>
            <w:r>
              <w:rPr>
                <w:rFonts w:ascii="Times New Roman" w:hAnsi="Times New Roman"/>
                <w:b/>
                <w:sz w:val="24"/>
                <w:u w:val="single"/>
              </w:rPr>
              <w:t xml:space="preserve">: aplinkos atžvilgiu tvari veikla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bendrą balansinę vertę, kaip apibrėžta Įgyvendinimo reglamento (ES) 2021/451 V priedo 1 dalyje. </w:t>
            </w:r>
          </w:p>
          <w:p w14:paraId="1EE69432" w14:textId="486E7372"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įtraukia šio</w:t>
            </w:r>
            <w:r w:rsidR="00AA1437">
              <w:rPr>
                <w:rFonts w:ascii="Times New Roman" w:hAnsi="Times New Roman"/>
                <w:sz w:val="24"/>
              </w:rPr>
              <w:t>s formos</w:t>
            </w:r>
            <w:r>
              <w:rPr>
                <w:rFonts w:ascii="Times New Roman" w:hAnsi="Times New Roman"/>
                <w:sz w:val="24"/>
              </w:rPr>
              <w:t xml:space="preserve"> c ir h skilčių sumą.</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specializuotas skolinimas</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bendrą balansinę vertę, kaip apibrėžta Įgyvendinimo reglamento (ES) 2021/451 V priedo 1 dalyje.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Specializuoto skolinimo pozicijos suprantamos taip, kaip nurodyta Reglamento (ES) Nr. 575/2013 147 straipsnio 8 dalyje.</w:t>
            </w:r>
          </w:p>
          <w:p w14:paraId="12C3D5AE" w14:textId="157F7298"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įtraukia šio</w:t>
            </w:r>
            <w:r w:rsidR="00AA1437">
              <w:rPr>
                <w:rFonts w:ascii="Times New Roman" w:hAnsi="Times New Roman"/>
                <w:sz w:val="24"/>
              </w:rPr>
              <w:t>s formos</w:t>
            </w:r>
            <w:r>
              <w:rPr>
                <w:rFonts w:ascii="Times New Roman" w:hAnsi="Times New Roman"/>
                <w:sz w:val="24"/>
              </w:rPr>
              <w:t xml:space="preserve"> d ir i skilčių sumą.</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perėjimo / prisitaikymo veikla</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10 ir 11 straipsniai.</w:t>
            </w:r>
          </w:p>
          <w:p w14:paraId="578DC7E8" w14:textId="1FC9201B"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įtraukia šio</w:t>
            </w:r>
            <w:r w:rsidR="00AA1437">
              <w:rPr>
                <w:rFonts w:ascii="Times New Roman" w:hAnsi="Times New Roman"/>
                <w:sz w:val="24"/>
              </w:rPr>
              <w:t>s formos</w:t>
            </w:r>
            <w:r>
              <w:rPr>
                <w:rFonts w:ascii="Times New Roman" w:hAnsi="Times New Roman"/>
                <w:sz w:val="24"/>
              </w:rPr>
              <w:t xml:space="preserve"> e ir j skilčių sumą.</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sąlygas sudaranti veikla</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16 straipsnis.</w:t>
            </w:r>
          </w:p>
          <w:p w14:paraId="2FB1A643" w14:textId="79858842"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įtraukia šio</w:t>
            </w:r>
            <w:r w:rsidR="00AA1437">
              <w:rPr>
                <w:rFonts w:ascii="Times New Roman" w:hAnsi="Times New Roman"/>
                <w:sz w:val="24"/>
              </w:rPr>
              <w:t>s formos</w:t>
            </w:r>
            <w:r>
              <w:rPr>
                <w:rFonts w:ascii="Times New Roman" w:hAnsi="Times New Roman"/>
                <w:sz w:val="24"/>
              </w:rPr>
              <w:t xml:space="preserve"> f ir k skilčių sumą.</w:t>
            </w:r>
          </w:p>
        </w:tc>
      </w:tr>
    </w:tbl>
    <w:p w14:paraId="4B432C06" w14:textId="77777777" w:rsidR="00183989" w:rsidRPr="00340D55"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Eilutės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Nurodymai</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ŽTR. Į skaitiklį ir vardiklį įtraukiamas turtas</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Taksonominės veiklos pozicijos yra tos pozicijos, kurios yra susijusios su sandorio šalimis ir turto klasėmis, kurioms taikomi informacijos atskleidimo reikalavimai pagal Reglamento (ES) 2020/852 8 straipsnį.</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ŽTR tinkamos prekybai nelaikomos paskolos ir kiti išankstiniai mokėjimai, skolos vertybiniai popieriai ir nuosavybės priemonės</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bankininkystės knygoje klasifikuojamas paskolas ir kitus išankstinius mokėjimus, skolos vertybinius popierius ir nuosavybės priemones, nelaikomus prekybai ir nelaikomus parduoti, kaip apibrėžta Įgyvendinimo reglamento (ES) 2021/451 V priede.</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Finansų bendrovės</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pozicijas, nurodytas Įgyvendinimo reglamento (ES) 2021/451 V priedo 1 dalies 42 punkto c ir d papunkčiuose.</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Kredito įstaigos</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pozicijas, nurodytas Įgyvendinimo reglamento (ES) 2021/451 V priedo 1 dalies 42 punkto c papunktyje.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Paskolos ir kiti išankstiniai mokėjimai</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paskolas ir kitus išankstinius mokėjimus, nurodytus Įgyvendinimo reglamento (ES) 2021/451 V priedo 1 dalies 32 punkte.</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Skolos vertybiniai popieriai</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atskleidžia skolos vertybinius popierius, kaip nurodyta Įgyvendinimo reglamento (ES) 2021/451 V priedo 1 dalies 31 punkte.</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Nuosavybės priemonės</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atskleidžia nuosavybės priemones, kaip nurodyta Įgyvendinimo reglamento (ES) 2021/451 V priede. Nuosavybės priemonės bankinėje knygoje apima investicijas į asocijuotąsias įmones, bendrąsias įmones ir patronuojamąsias įmones, kurios nėra visiškai arba proporcingai konsoliduojamos.</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Kitos finansų bendrovės</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atskleidžia pozicijas kitų finansų bendrovių atžvilgiu, kaip nurodyta Įgyvendinimo reglamento (ES) 2021/451 V priedo 1 dalies 42 punkto d papunktyje.</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investicinės įmonės</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pozicijas investicinių įmonių, apibrėžtų Reglamento (ES) Nr. 575/2013 4 straipsnio 1 dalies 2 punkte, atžvilgiu.</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valdymo bendrovės</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Įstaigos atskleidžia pozicijas valdymo bendrovių, apibrėžtų Reglamento (ES) Nr. 575/2013 4 straipsnio 1 dalies 19 punkte, atžvilgiu.</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draudimo įmonės</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pozicijas draudimo įmonių, apibrėžtų Reglamento (ES) Nr. 575/2013 4 straipsnio 1 dalies 5 punkte, atžvilgiu.</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Ne finansų bendrovės, kurioms taikomos Nefinansinės informacijos atskleidimo direktyvos (NIAD) informacijos atskleidimo prievolės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atskleidžia pozicijas ne finansų bendrovių, kaip nurodyta Įgyvendinimo reglamento (ES) 2021/451 V priedo 1 dalies 42 punkto e papunktyje, kurioms taikomos informacijos atskleidimo prievolės pagal Direktyvą 2014/95/ES, atžvilgiu.</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komercinės paskirties nekilnojamojo turto paskolos</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pozicijas, nurodytas Įgyvendinimo reglamento (ES) 2021/451 V priedo 2 dalies 173 punkto a papunktyje ir 239ix punkte.</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Namų ūkiai</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paskolas ir kitus išankstinius mokėjimus, kaip nurodyta Įgyvendinimo reglamento (ES) 2021/451 V priedo 1 dalies 42 punkto f papunktyje.</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turi rinkti informaciją iš savo sandorio šalių dvišaliu pagrindu per paskolos išdavimo procesą ir reguliarios kredito peržiūros ir stebėsenos procesą.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paskolos, užtikrintos gyvenamosios paskirties nekilnojamuoju turtu</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paskolas ir kitus išankstinius mokėjimus, užtikrintus gyvenamosios paskirties nekilnojamuoju turtu, kaip nurodyta Įgyvendinimo reglamento (ES) 2021/451 V priedo 2 dalies 173 punkto a papunktyje.</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Tų pozicijų atitiktis Reglamentui (ES) 2020/852 siekiant klimato kaitos švelninimo tikslo vertinama tik taikant supaprastintą metodą pagal pastatų, visų pirma jų renovacijos ir įsigijimo bei nuosavybės, techninės analizės kriterijus pagal Deleguotojo reglamento (ES) 2021/2139 I priedo atitinkamai 7.2, 7.3, 7.4, 7.5, 7.6 ir 7.7 punktus, remiantis pagrindinės užtikrinimo priemonės energijos vartojimo efektyvumu.</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pastatų renovacijos paskolos</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paskolas, kurios suteikiamos namų ūkiams jų būstui renovuoti.</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Šių pozicijų atitiktis Reglamentui (ES) 2020/852 siekiant klimato kaitos švelninimo tikslo vertinama tik taikant supaprastintą metodą pagal pastatų, visų pirma jų renovacijos ir įsigijimo bei nuosavybės, techninės analizės kriterijus pagal Deleguotojo reglamento (ES) 2021/2139 I priedo atitinkamai 7.2, 7.3, 7.4, 7.5, 7.6 ir 7.7 punktus, remiantis pagrindinės užtikrinimo priemonės energijos vartojimo efektyvumu.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motorinių transporto priemonių paskolos</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motorinių transporto priemonių paskolas, kaip nurodyta Įgyvendinimo reglamento (ES) 2021/451 V priedo 2 dalies 173 punkto b papunkčio ii įtraukoje, ir kitas paskolas, suteiktas motorinei transporto priemonei įsigyti, siekiant klimato kaitos švelninimo tikslo vertinamas taikant supaprastintą metodą pagal transporto priemonių finansavimo, nuomos ir išperkamosios nuomos techninės analizės kriterijus pagal Deleguotojo reglamento (ES) 2021/2139 I priedo 6.5 skirsnį, remiantis pagrindinės transporto priemonės energijos vartojimo efektyvumu.</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Vietos valdžios institucijų finansavimas</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 ir 30 eilučių verčių suma.</w:t>
            </w:r>
          </w:p>
          <w:p w14:paraId="2D7809A8" w14:textId="77777777" w:rsidR="00183989" w:rsidRPr="00340D55" w:rsidRDefault="00183989" w:rsidP="00D0691F">
            <w:pPr>
              <w:spacing w:before="120" w:after="120"/>
              <w:jc w:val="both"/>
              <w:rPr>
                <w:rFonts w:ascii="Times New Roman" w:eastAsia="Times New Roman" w:hAnsi="Times New Roman" w:cs="Times New Roman"/>
                <w:b/>
                <w:noProof/>
                <w:sz w:val="24"/>
                <w:u w:val="single"/>
                <w:lang w:val="es-ES"/>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Būsto finansavimas</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vietos valdžios institucijoms suteiktas paskolas, skirtas viešojo būsto įsigijimui finansuoti.</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Kitas vietos valdžios institucijų finansavimas</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Įstaigos atskleidžia vietos valdžios institucijoms suteiktas paskolas, skirtas specializuoto skolinimo pozicijoms, išskyrus tas, kurios atsiranda dėl viešojo būsto įsigijimo, finansuoti.</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Užtikrinimo priemonės, perimtos realizuojant nuosavybės teisę: gyvenamosios ir komercinės paskirties nekilnojamasis turtas</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užtikrinimo priemonę, perimtą realizuojant nuosavybės teisę, kaip nurodyta Įgyvendinimo reglamento (ES) 2021/451 V priedo 2 dalies 341 punkte.</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Visas ŽTR turtas</w:t>
            </w:r>
          </w:p>
          <w:p w14:paraId="048BF4C0" w14:textId="395AD1D4"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Šios eilutės vertė yra lygi šio</w:t>
            </w:r>
            <w:r w:rsidR="00AA1437">
              <w:rPr>
                <w:rFonts w:ascii="Times New Roman" w:hAnsi="Times New Roman"/>
                <w:sz w:val="24"/>
              </w:rPr>
              <w:t>s formos</w:t>
            </w:r>
            <w:r>
              <w:rPr>
                <w:rFonts w:ascii="Times New Roman" w:hAnsi="Times New Roman"/>
                <w:sz w:val="24"/>
              </w:rPr>
              <w:t xml:space="preserve"> 1 eilutės vertei.</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340D55"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Turtas, apskaičiuojant ŽTR neįtrauktas į skaitiklį (įtrauktas į vardiklį)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ES ne finansų bendrovės (kurioms netaikomos Nefinansinės informacijos atskleidimo direktyvos (NIAD) informacijos atskleidimo prievolės)</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pozicijas ne finansų bendrovių, apibrėžtų Įgyvendinimo reglamento (ES) 2021/451 V priedo 1 dalies 42 punkto e papunktyje, kurios yra Sąjungoje ir kurioms informacijos atskleidimo prievolės pagal Direktyvą 2014/95/ES netaikomos, atžvilgiu.</w:t>
            </w:r>
          </w:p>
          <w:p w14:paraId="4E60C6B4" w14:textId="77777777" w:rsidR="00183989" w:rsidRPr="00340D55"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 ES ne finansų bendrovės (kurioms netaikomos Nefinansinės informacijos atskleidimo direktyvos (NIAD) informacijos atskleidimo prievolės)</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pozicijas ne finansų bendrovių, apibrėžtų Įgyvendinimo reglamento (ES) 2021/451 V priedo 1 dalies 42 punkto e papunktyje, kurios yra ne Sąjungoje ir kurioms informacijos atskleidimo prievolės pagal Direktyvą 2014/95/ES netaikomos, atžvilgiu.</w:t>
            </w:r>
          </w:p>
          <w:p w14:paraId="7242C1A3" w14:textId="77777777" w:rsidR="00183989" w:rsidRPr="00340D5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340D55"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Turtas, apskaičiuojant ŽTR neįtrauktas į skaitiklį (įtrauktas į vardiklį)</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Išvestinės finansinės priemonės</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Įstaigos atskleidžia prekybai nelaikomas išvestines finansines priemones, nurodytas Įgyvendinimo reglamento (ES) 2021/451 V priedo 1 dalies 10 skirsnyje.</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Tarpbankinės paskolos pagal pareikalavimą</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Įstaigos atskleidžia „Kitus indėlius iki pareikalavimo“, nurodytus Įgyvendinimo reglamento (ES) 2021/451 V priedo 2 dalies 3 punkte.</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Pinigai ir piniginis turtas</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Įstaigos atskleidžia „Grynuosius pinigus“, nurodytus Įgyvendinimo reglamento </w:t>
            </w:r>
            <w:r>
              <w:rPr>
                <w:rFonts w:ascii="Times New Roman" w:hAnsi="Times New Roman"/>
                <w:sz w:val="24"/>
              </w:rPr>
              <w:lastRenderedPageBreak/>
              <w:t>(ES) 2021/451 V priedo 2 dalies 1 punkte.</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Kitas turtas (įskaitant prestižą, biržos prekes ir pan.)</w:t>
            </w:r>
          </w:p>
          <w:p w14:paraId="1EB1678E" w14:textId="67362441"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Įstaigos atskleidžia kitą įstaigos balanse nurodytą turtą, neįtrauktą į šio</w:t>
            </w:r>
            <w:r w:rsidR="00AA1437">
              <w:rPr>
                <w:rFonts w:ascii="Times New Roman" w:hAnsi="Times New Roman"/>
                <w:sz w:val="24"/>
              </w:rPr>
              <w:t>s formos</w:t>
            </w:r>
            <w:r>
              <w:rPr>
                <w:rFonts w:ascii="Times New Roman" w:hAnsi="Times New Roman"/>
                <w:sz w:val="24"/>
              </w:rPr>
              <w:t xml:space="preserve"> 41, 42 ir 43 eilutes.</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Visas turtas vardiklyje (ŽTR)</w:t>
            </w:r>
          </w:p>
          <w:p w14:paraId="2A0835E1" w14:textId="4D3947F1"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Šioje eilutėje nurodoma šio</w:t>
            </w:r>
            <w:r w:rsidR="00AA1437">
              <w:rPr>
                <w:rFonts w:ascii="Times New Roman" w:hAnsi="Times New Roman"/>
                <w:sz w:val="24"/>
              </w:rPr>
              <w:t>s formos</w:t>
            </w:r>
            <w:r>
              <w:rPr>
                <w:rFonts w:ascii="Times New Roman" w:hAnsi="Times New Roman"/>
                <w:sz w:val="24"/>
              </w:rPr>
              <w:t xml:space="preserve"> 32, 33, 37 ir 41–44 eilučių verčių suma.</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340D55"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Kitas turtas, apskaičiuojant ŽTR neįtrauktas nei į skaitiklį, nei į vardiklį</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Valstybinių subjektų pozicijos</w:t>
            </w:r>
          </w:p>
          <w:p w14:paraId="6B11DAD6" w14:textId="19F3F703"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Įstaigos atskleidžia valdžios sektoriaus institucijas, nurodytas Įgyvendinimo reglamento (ES) 2021/451 V priedo 1 dalies 42 punkte, išskyrus pozicijas, įtrauktas į šio</w:t>
            </w:r>
            <w:r w:rsidR="00AA1437">
              <w:rPr>
                <w:rFonts w:ascii="Times New Roman" w:hAnsi="Times New Roman"/>
                <w:sz w:val="24"/>
              </w:rPr>
              <w:t>s formos</w:t>
            </w:r>
            <w:r>
              <w:rPr>
                <w:rFonts w:ascii="Times New Roman" w:hAnsi="Times New Roman"/>
                <w:sz w:val="24"/>
              </w:rPr>
              <w:t xml:space="preserve"> 29 ir 30 eilutes.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Centrinio banko pozicijos</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Įstaigos atskleidžia pozicijas centrinių bankų atžvilgiu.</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Prekybos knyga</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Įstaigos atskleidžia prekybai laikomą finansinį turtą arba prekybinį finansinį turtą, apibrėžtą pagal taikytinus apskaitos principus.</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Visas turtas, apskaičiuojant ŽTR neįtrauktas į skaitiklį ir vardiklį</w:t>
            </w:r>
          </w:p>
          <w:p w14:paraId="6893A96E" w14:textId="3670A90A"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Šioje eilutėje nurodoma šio</w:t>
            </w:r>
            <w:r w:rsidR="00AA1437">
              <w:rPr>
                <w:rFonts w:ascii="Times New Roman" w:hAnsi="Times New Roman"/>
                <w:sz w:val="24"/>
              </w:rPr>
              <w:t>s formos</w:t>
            </w:r>
            <w:r>
              <w:rPr>
                <w:rFonts w:ascii="Times New Roman" w:hAnsi="Times New Roman"/>
                <w:sz w:val="24"/>
              </w:rPr>
              <w:t xml:space="preserve"> 46, 47 ir 48 eilučių verčių suma.</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Visas turtas</w:t>
            </w:r>
          </w:p>
          <w:p w14:paraId="670556A2" w14:textId="3CA1EEBE"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Šioje eilutėje nurodoma šio</w:t>
            </w:r>
            <w:r w:rsidR="00AA1437">
              <w:rPr>
                <w:rFonts w:ascii="Times New Roman" w:hAnsi="Times New Roman"/>
                <w:sz w:val="24"/>
              </w:rPr>
              <w:t>s formos</w:t>
            </w:r>
            <w:r>
              <w:rPr>
                <w:rFonts w:ascii="Times New Roman" w:hAnsi="Times New Roman"/>
                <w:sz w:val="24"/>
              </w:rPr>
              <w:t xml:space="preserve"> 45 ir 49 eilučių verčių suma.</w:t>
            </w:r>
          </w:p>
        </w:tc>
      </w:tr>
    </w:tbl>
    <w:p w14:paraId="7DD51BA0" w14:textId="77777777" w:rsidR="00183989" w:rsidRPr="00340D55" w:rsidRDefault="00183989" w:rsidP="00183989">
      <w:pPr>
        <w:jc w:val="both"/>
        <w:rPr>
          <w:rFonts w:ascii="Times New Roman" w:hAnsi="Times New Roman" w:cs="Times New Roman"/>
          <w:b/>
          <w:noProof/>
          <w:sz w:val="24"/>
        </w:rPr>
      </w:pPr>
    </w:p>
    <w:p w14:paraId="7391C4C1" w14:textId="77777777" w:rsidR="00183989" w:rsidRPr="00340D55" w:rsidRDefault="00183989" w:rsidP="00183989">
      <w:pPr>
        <w:jc w:val="both"/>
        <w:rPr>
          <w:rFonts w:ascii="Times New Roman" w:hAnsi="Times New Roman"/>
          <w:noProof/>
          <w:sz w:val="24"/>
        </w:rPr>
      </w:pPr>
    </w:p>
    <w:p w14:paraId="3A36153A" w14:textId="55A22945"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8 </w:t>
      </w:r>
      <w:r w:rsidR="00AA1437">
        <w:rPr>
          <w:rFonts w:ascii="Times New Roman" w:hAnsi="Times New Roman"/>
          <w:b/>
          <w:sz w:val="24"/>
        </w:rPr>
        <w:t>forma</w:t>
      </w:r>
      <w:r>
        <w:rPr>
          <w:rFonts w:ascii="Times New Roman" w:hAnsi="Times New Roman"/>
          <w:b/>
          <w:sz w:val="24"/>
        </w:rPr>
        <w:t xml:space="preserve">. </w:t>
      </w:r>
      <w:bookmarkStart w:id="14" w:name="_Hlk86261561"/>
      <w:r>
        <w:rPr>
          <w:rFonts w:ascii="Times New Roman" w:hAnsi="Times New Roman"/>
          <w:b/>
          <w:sz w:val="24"/>
        </w:rPr>
        <w:t>ŽTR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5E74360D"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Įstaigos naudojasi toliau pateikiamais įrodymais atskleisdamos informaciją, kurios reikalaujama „8 </w:t>
      </w:r>
      <w:r w:rsidR="00125CE9">
        <w:rPr>
          <w:rFonts w:ascii="Times New Roman" w:hAnsi="Times New Roman"/>
          <w:sz w:val="24"/>
        </w:rPr>
        <w:t>formoje</w:t>
      </w:r>
      <w:r>
        <w:rPr>
          <w:rFonts w:ascii="Times New Roman" w:hAnsi="Times New Roman"/>
          <w:sz w:val="24"/>
        </w:rPr>
        <w:t xml:space="preserve">. ŽTR (%)“, pateiktame šio reglamento XXXIX priede. </w:t>
      </w:r>
    </w:p>
    <w:p w14:paraId="37663110" w14:textId="19AD2E21"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Remdamosi 7 </w:t>
      </w:r>
      <w:r w:rsidR="00125CE9">
        <w:rPr>
          <w:rFonts w:ascii="Times New Roman" w:hAnsi="Times New Roman"/>
          <w:sz w:val="24"/>
        </w:rPr>
        <w:t>formoje</w:t>
      </w:r>
      <w:r>
        <w:rPr>
          <w:rFonts w:ascii="Times New Roman" w:hAnsi="Times New Roman"/>
          <w:sz w:val="24"/>
        </w:rPr>
        <w:t xml:space="preserve"> nurodyta informacija, ši</w:t>
      </w:r>
      <w:r w:rsidR="00125CE9">
        <w:rPr>
          <w:rFonts w:ascii="Times New Roman" w:hAnsi="Times New Roman"/>
          <w:sz w:val="24"/>
        </w:rPr>
        <w:t>oje formoje</w:t>
      </w:r>
      <w:r>
        <w:rPr>
          <w:rFonts w:ascii="Times New Roman" w:hAnsi="Times New Roman"/>
          <w:sz w:val="24"/>
        </w:rPr>
        <w:t xml:space="preserve"> įstaigos atskleidžia ŽTR, kaip nurodyta Deleguotajame reglamente (ES) 2021/2178. </w:t>
      </w:r>
    </w:p>
    <w:p w14:paraId="6675157E" w14:textId="0D8775EB"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Šio</w:t>
      </w:r>
      <w:r w:rsidR="00125CE9">
        <w:rPr>
          <w:rFonts w:ascii="Times New Roman" w:hAnsi="Times New Roman"/>
          <w:sz w:val="24"/>
        </w:rPr>
        <w:t>s formos</w:t>
      </w:r>
      <w:r>
        <w:rPr>
          <w:rFonts w:ascii="Times New Roman" w:hAnsi="Times New Roman"/>
          <w:sz w:val="24"/>
        </w:rPr>
        <w:t xml:space="preserve"> tikslas yra parodyti, kokiu mastu įstaigos veikla gali būti laikoma aplinkos atžvilgiu tvaria pagal Reglamento (ES) 2020/852 3 ir 9 straipsnius, kad akcininkai galėtų suprasti, kokių veiksmų įstaigos ėmėsi siekdamos sušvelninti su klimato kaita susijusią pertvarkos ir fizinę riziką. </w:t>
      </w:r>
    </w:p>
    <w:p w14:paraId="34C66515" w14:textId="6B44A741"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Pagal Deleguotąjį reglamentą (ES) 2021/2178 įstaigų reikalaujama įvertinti ir atskleisti ŽTR du kartus. Vieną kartą atskleidimas grindžiamas sandorio šalies (ne finansų bendrovės) tų pozicijų, kurių tikslas nėra finansuoti konkrečią nustatytą veiklą (bendrosios paskirties skolinimo), kriterijus atitinkančios taksonominės veiklos apyvarta. Antrą kartą atskleidimas grindžiamas sandorio šalies tų pačių bendrosios paskirties skolinimo pozicijų </w:t>
      </w:r>
      <w:r>
        <w:rPr>
          <w:rFonts w:ascii="Times New Roman" w:hAnsi="Times New Roman"/>
          <w:i/>
          <w:iCs/>
          <w:sz w:val="24"/>
        </w:rPr>
        <w:t>CapEx</w:t>
      </w:r>
      <w:r>
        <w:rPr>
          <w:rFonts w:ascii="Times New Roman" w:hAnsi="Times New Roman"/>
          <w:sz w:val="24"/>
        </w:rPr>
        <w:t xml:space="preserve"> atitiktimi Reglamentui (ES) 2020/852. Ši</w:t>
      </w:r>
      <w:r w:rsidR="00125CE9">
        <w:rPr>
          <w:rFonts w:ascii="Times New Roman" w:hAnsi="Times New Roman"/>
          <w:sz w:val="24"/>
        </w:rPr>
        <w:t>oje formoje</w:t>
      </w:r>
      <w:r>
        <w:rPr>
          <w:rFonts w:ascii="Times New Roman" w:hAnsi="Times New Roman"/>
          <w:sz w:val="24"/>
        </w:rPr>
        <w:t xml:space="preserve"> įstaigos ŽTR atskleidžia tik </w:t>
      </w:r>
      <w:r>
        <w:rPr>
          <w:rFonts w:ascii="Times New Roman" w:hAnsi="Times New Roman"/>
          <w:sz w:val="24"/>
        </w:rPr>
        <w:lastRenderedPageBreak/>
        <w:t>vieną kartą, remdamosi tik sandorio šalies kriterijus atitinkančios taksonominės veiklos apyvarta bendrosios paskirties skolinimo atveju.</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Įstaigos pradeda atskleisti informaciją, kurios pirmoji ataskaitinė data yra 2023 m. gruodžio 31 d. ir atitinka pirmąją informacijos apie ŽTR atskleidimo datą, nurodytą Deleguotajame reglamente (ES)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Skiltys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Nurodymai</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Turto, kuriuo finansuojami taksonominiai sektoriai, dalis</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turto atsargų, kuriomis finansuojama Reglamente (ES) 2020/852 nurodyta veikla</w:t>
            </w:r>
            <w:r>
              <w:rPr>
                <w:rFonts w:ascii="Helvetica" w:hAnsi="Helvetica"/>
                <w:color w:val="666666"/>
                <w:sz w:val="21"/>
                <w:shd w:val="clear" w:color="auto" w:fill="FFFFFF"/>
              </w:rPr>
              <w:t xml:space="preserve"> </w:t>
            </w:r>
            <w:r>
              <w:rPr>
                <w:rFonts w:ascii="Times New Roman" w:hAnsi="Times New Roman"/>
                <w:sz w:val="24"/>
              </w:rPr>
              <w:t>(t. y. taksonominės veiklos turto), dalį, palyginti su visomis įtraukto turto atsargomis. Šis punktas išreiškiamas procentais.</w:t>
            </w:r>
          </w:p>
          <w:p w14:paraId="51CA9800" w14:textId="76E49A91"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PVRR skaitiklis yra taksonominės veiklos turto, kuriuo finansuojami Reglamente (ES) 2020/852 nurodyti taksonominiai sektoriai</w:t>
            </w:r>
            <w:r>
              <w:rPr>
                <w:rFonts w:ascii="Helvetica" w:hAnsi="Helvetica"/>
                <w:color w:val="666666"/>
                <w:sz w:val="21"/>
                <w:shd w:val="clear" w:color="auto" w:fill="FFFFFF"/>
              </w:rPr>
              <w:t xml:space="preserve"> </w:t>
            </w:r>
            <w:r>
              <w:rPr>
                <w:rFonts w:ascii="Times New Roman" w:hAnsi="Times New Roman"/>
                <w:sz w:val="24"/>
              </w:rPr>
              <w:t xml:space="preserve">siekiant klimato kaitos švelninimo tikslo, bendra balansinė vertė, kaip nurodyta 7 </w:t>
            </w:r>
            <w:r w:rsidR="00125CE9">
              <w:rPr>
                <w:rFonts w:ascii="Times New Roman" w:hAnsi="Times New Roman"/>
                <w:sz w:val="24"/>
              </w:rPr>
              <w:t>formos</w:t>
            </w:r>
            <w:r>
              <w:rPr>
                <w:rFonts w:ascii="Times New Roman" w:hAnsi="Times New Roman"/>
                <w:sz w:val="24"/>
              </w:rPr>
              <w:t xml:space="preserve"> b skilties pildymo nurodymuose.</w:t>
            </w:r>
          </w:p>
          <w:p w14:paraId="643611D6" w14:textId="32DE9E22"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įtraukto turto bendra balansinė vertė, kaip nurodyta 7 </w:t>
            </w:r>
            <w:r w:rsidR="00125CE9">
              <w:rPr>
                <w:rFonts w:ascii="Times New Roman" w:hAnsi="Times New Roman"/>
                <w:sz w:val="24"/>
              </w:rPr>
              <w:t>formos</w:t>
            </w:r>
            <w:r>
              <w:rPr>
                <w:rFonts w:ascii="Times New Roman" w:hAnsi="Times New Roman"/>
                <w:sz w:val="24"/>
              </w:rPr>
              <w:t xml:space="preserve"> a skilties pildymo nurodymuose.</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5F749695"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w:t>
            </w:r>
            <w:r w:rsidR="00340D55">
              <w:rPr>
                <w:rFonts w:ascii="Times New Roman" w:hAnsi="Times New Roman"/>
                <w:b/>
                <w:sz w:val="24"/>
                <w:u w:val="single"/>
              </w:rPr>
              <w:t>s</w:t>
            </w:r>
            <w:r>
              <w:rPr>
                <w:rFonts w:ascii="Times New Roman" w:hAnsi="Times New Roman"/>
                <w:b/>
                <w:sz w:val="24"/>
                <w:u w:val="single"/>
              </w:rPr>
              <w:t xml:space="preserve">: aplinkos atžvilgiu tvari veikla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turto atsargų, kuriomis finansuojama aplinkos atžvilgiu tvari veikla (t. y. kriterijus atitinkančio turto), dalį, palyginti su visomis taksonominės veiklos turto atsargomis. Šis punktas išreiškiamas procentais.</w:t>
            </w:r>
          </w:p>
          <w:p w14:paraId="0FA65D0D" w14:textId="7449A4E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taksonominės veiklos turto, kuriuo finansuojama aplinkos atžvilgiu tvari veikla siekiant klimato kaitos švelninimo tikslo, bendra balansinė vertė, kaip nurodyta 7 </w:t>
            </w:r>
            <w:r w:rsidR="00125CE9">
              <w:rPr>
                <w:rFonts w:ascii="Times New Roman" w:hAnsi="Times New Roman"/>
                <w:sz w:val="24"/>
              </w:rPr>
              <w:t>formos</w:t>
            </w:r>
            <w:r>
              <w:rPr>
                <w:rFonts w:ascii="Times New Roman" w:hAnsi="Times New Roman"/>
                <w:sz w:val="24"/>
              </w:rPr>
              <w:t xml:space="preserve"> c skilties pildymo nurodymuose.</w:t>
            </w:r>
          </w:p>
          <w:p w14:paraId="7C4C763D" w14:textId="7D974988"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įtrauktų pozicijų bendra balansinė vertė, kaip nurodyta 7 </w:t>
            </w:r>
            <w:r w:rsidR="00125CE9">
              <w:rPr>
                <w:rFonts w:ascii="Times New Roman" w:hAnsi="Times New Roman"/>
                <w:sz w:val="24"/>
              </w:rPr>
              <w:t>formos</w:t>
            </w:r>
            <w:r>
              <w:rPr>
                <w:rFonts w:ascii="Times New Roman" w:hAnsi="Times New Roman"/>
                <w:sz w:val="24"/>
              </w:rPr>
              <w:t xml:space="preserve"> a skilties pildymo nurodymuose.</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specializuotas skolinimas</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specializuoto skolinimo kategorijai priskiriamo turto atsargų, kuriomis finansuojama aplinkos atžvilgiu tvari veikla siekiant klimato kaitos švelninimo tikslo, dalį, palyginti su visomis turto atsargomis, kuriomis finansuojama aplinkos atžvilgiu tvari veikla. Šis punktas išreiškiamas procentais.</w:t>
            </w:r>
          </w:p>
          <w:p w14:paraId="09797B95" w14:textId="4918585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turto bendra balansinė vertė, kaip nurodyta 7 </w:t>
            </w:r>
            <w:r w:rsidR="00125CE9">
              <w:rPr>
                <w:rFonts w:ascii="Times New Roman" w:hAnsi="Times New Roman"/>
                <w:sz w:val="24"/>
              </w:rPr>
              <w:t>formos</w:t>
            </w:r>
            <w:r>
              <w:rPr>
                <w:rFonts w:ascii="Times New Roman" w:hAnsi="Times New Roman"/>
                <w:sz w:val="24"/>
              </w:rPr>
              <w:t xml:space="preserve"> d skilties pildymo nurodymuose.</w:t>
            </w:r>
          </w:p>
          <w:p w14:paraId="1486A5F9" w14:textId="58688A2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įtraukto turto bendra balansinė vertė, kaip nurodyta 7 </w:t>
            </w:r>
            <w:r w:rsidR="00125CE9">
              <w:rPr>
                <w:rFonts w:ascii="Times New Roman" w:hAnsi="Times New Roman"/>
                <w:sz w:val="24"/>
              </w:rPr>
              <w:t>formos</w:t>
            </w:r>
            <w:r>
              <w:rPr>
                <w:rFonts w:ascii="Times New Roman" w:hAnsi="Times New Roman"/>
                <w:sz w:val="24"/>
              </w:rPr>
              <w:t xml:space="preserve"> a skilties pildymo nurodymuose.</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perėjimo veikla</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10 straipsnis.</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turto atsargų, susijusių su perėjimo veikla siekiant klimato </w:t>
            </w:r>
            <w:r>
              <w:rPr>
                <w:rFonts w:ascii="Times New Roman" w:hAnsi="Times New Roman"/>
                <w:sz w:val="24"/>
              </w:rPr>
              <w:lastRenderedPageBreak/>
              <w:t>kaitos švelninimo tikslo, dalį, palyginti su visomis turto atsargomis, kuriomis finansuojama aplinkos atžvilgiu tvari veikla. Šis punktas išreiškiamas procentais.</w:t>
            </w:r>
          </w:p>
          <w:p w14:paraId="47E12B18" w14:textId="2610427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turto bendra balansinė vertė, kaip nurodyta 8 </w:t>
            </w:r>
            <w:r w:rsidR="00125CE9">
              <w:rPr>
                <w:rFonts w:ascii="Times New Roman" w:hAnsi="Times New Roman"/>
                <w:sz w:val="24"/>
              </w:rPr>
              <w:t>formos</w:t>
            </w:r>
            <w:r>
              <w:rPr>
                <w:rFonts w:ascii="Times New Roman" w:hAnsi="Times New Roman"/>
                <w:sz w:val="24"/>
              </w:rPr>
              <w:t xml:space="preserve"> e skilties pildymo nurodymuose.</w:t>
            </w:r>
          </w:p>
          <w:p w14:paraId="243F0845" w14:textId="026CBF4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įtraukto turto bendra balansinė vertė, kaip nurodyta 7 </w:t>
            </w:r>
            <w:r w:rsidR="00125CE9">
              <w:rPr>
                <w:rFonts w:ascii="Times New Roman" w:hAnsi="Times New Roman"/>
                <w:sz w:val="24"/>
              </w:rPr>
              <w:t>formos</w:t>
            </w:r>
            <w:r>
              <w:rPr>
                <w:rFonts w:ascii="Times New Roman" w:hAnsi="Times New Roman"/>
                <w:sz w:val="24"/>
              </w:rPr>
              <w:t xml:space="preserve"> a skilties pildymo nurodymuose.</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sąlygas sudaranti veikla</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16 straipsnis.</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turto atsargų, susijusių su sąlygas sudarančia veikla siekiant klimato kaitos švelninimo tikslo, dalį, palyginti su visomis turto atsargomis, kuriomis finansuojama aplinkos atžvilgiu tvari veikla. Šis punktas išreiškiamas procentais.</w:t>
            </w:r>
          </w:p>
          <w:p w14:paraId="697DDC0E" w14:textId="68FDA33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turto bendra balansinė vertė, kaip nurodyta 7 </w:t>
            </w:r>
            <w:r w:rsidR="00125CE9">
              <w:rPr>
                <w:rFonts w:ascii="Times New Roman" w:hAnsi="Times New Roman"/>
                <w:sz w:val="24"/>
              </w:rPr>
              <w:t>formos</w:t>
            </w:r>
            <w:r>
              <w:rPr>
                <w:rFonts w:ascii="Times New Roman" w:hAnsi="Times New Roman"/>
                <w:sz w:val="24"/>
              </w:rPr>
              <w:t xml:space="preserve"> f skilties pildymo nurodymuose.</w:t>
            </w:r>
          </w:p>
          <w:p w14:paraId="1C6FFCAD" w14:textId="37482FC0"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PVRR vardiklis yra įtraukto turto bendra balansinė vertė, kaip nurodyta 7 </w:t>
            </w:r>
            <w:r w:rsidR="00125CE9">
              <w:rPr>
                <w:rFonts w:ascii="Times New Roman" w:hAnsi="Times New Roman"/>
                <w:sz w:val="24"/>
              </w:rPr>
              <w:t>formos</w:t>
            </w:r>
            <w:r>
              <w:rPr>
                <w:rFonts w:ascii="Times New Roman" w:hAnsi="Times New Roman"/>
                <w:sz w:val="24"/>
              </w:rPr>
              <w:t xml:space="preserve"> a skilties pildymo nurodymuose.</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Turto, kuriuo finansuojami taksonominiai sektoriai, dalis</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turto atsargų, kuriomis finansuojama taksonominė veikla (t. y. taksonominės veiklos turto), dalį, palyginti su visomis įtraukto turto atsargomis. Šis punktas išreiškiamas procentais.</w:t>
            </w:r>
          </w:p>
          <w:p w14:paraId="514F2445" w14:textId="1F50CF18"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taksonominės veiklos turto, kuriuo finansuojami taksonominiai sektoriai siekiant pritaikymo prie klimato kaitos tikslo, bendra balansinė vertė, kaip nurodyta 7 </w:t>
            </w:r>
            <w:r w:rsidR="00125CE9">
              <w:rPr>
                <w:rFonts w:ascii="Times New Roman" w:hAnsi="Times New Roman"/>
                <w:sz w:val="24"/>
              </w:rPr>
              <w:t>formos</w:t>
            </w:r>
            <w:r>
              <w:rPr>
                <w:rFonts w:ascii="Times New Roman" w:hAnsi="Times New Roman"/>
                <w:sz w:val="24"/>
              </w:rPr>
              <w:t xml:space="preserve"> g skilties pildymo nurodymuose.</w:t>
            </w:r>
          </w:p>
          <w:p w14:paraId="642F5AB5" w14:textId="11D02F01"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įtraukto turto bendra balansinė vertė, kaip nurodyta 7 </w:t>
            </w:r>
            <w:r w:rsidR="00125CE9">
              <w:rPr>
                <w:rFonts w:ascii="Times New Roman" w:hAnsi="Times New Roman"/>
                <w:sz w:val="24"/>
              </w:rPr>
              <w:t>formos</w:t>
            </w:r>
            <w:r>
              <w:rPr>
                <w:rFonts w:ascii="Times New Roman" w:hAnsi="Times New Roman"/>
                <w:sz w:val="24"/>
              </w:rPr>
              <w:t xml:space="preserve"> a skilties pildymo nurodymuose.</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16C1B0C4"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w:t>
            </w:r>
            <w:r w:rsidR="00340D55">
              <w:rPr>
                <w:rFonts w:ascii="Times New Roman" w:hAnsi="Times New Roman"/>
                <w:b/>
                <w:sz w:val="24"/>
                <w:u w:val="single"/>
              </w:rPr>
              <w:t>s</w:t>
            </w:r>
            <w:r>
              <w:rPr>
                <w:rFonts w:ascii="Times New Roman" w:hAnsi="Times New Roman"/>
                <w:b/>
                <w:sz w:val="24"/>
                <w:u w:val="single"/>
              </w:rPr>
              <w:t xml:space="preserve">: aplinkos atžvilgiu tvari veikla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turto atsargų, kuriomis finansuojama aplinkos atžvilgiu tvari veikla (t. y. kriterijus atitinkančio turto), dalį, palyginti su visomis taksonominės veiklos turto atsargomis. Šis punktas išreiškiamas procentais.</w:t>
            </w:r>
          </w:p>
          <w:p w14:paraId="5DA72D8F" w14:textId="5DAD518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taksonominės veiklos turto, kuriuo finansuojama aplinkos atžvilgiu tvari veikla siekiant prisitaikymo prie klimato kaitos tikslo, bendra balansinė vertė, kaip nurodyta 7 </w:t>
            </w:r>
            <w:r w:rsidR="00125CE9">
              <w:rPr>
                <w:rFonts w:ascii="Times New Roman" w:hAnsi="Times New Roman"/>
                <w:sz w:val="24"/>
              </w:rPr>
              <w:t>formos</w:t>
            </w:r>
            <w:r>
              <w:rPr>
                <w:rFonts w:ascii="Times New Roman" w:hAnsi="Times New Roman"/>
                <w:sz w:val="24"/>
              </w:rPr>
              <w:t xml:space="preserve"> h skilties pildymo nurodymuose.</w:t>
            </w:r>
          </w:p>
          <w:p w14:paraId="718BAFD9" w14:textId="2AD95E92"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PVRR vardiklis yra įtrauktų pozicijų bendra balansinė vertė, kaip nurodyta 7 </w:t>
            </w:r>
            <w:r w:rsidR="00125CE9">
              <w:rPr>
                <w:rFonts w:ascii="Times New Roman" w:hAnsi="Times New Roman"/>
                <w:sz w:val="24"/>
              </w:rPr>
              <w:t>formos</w:t>
            </w:r>
            <w:r>
              <w:rPr>
                <w:rFonts w:ascii="Times New Roman" w:hAnsi="Times New Roman"/>
                <w:sz w:val="24"/>
              </w:rPr>
              <w:t xml:space="preserve"> a skilties pildymo nurodymuose.</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specializuotas skolinimas</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specializuoto skolinimo kategorijai priskiriamo turto atsargų, kuriomis finansuojama aplinkos atžvilgiu tvari veikla siekiant prisitaikymo prie klimato kaitos tikslo, dalį, palyginti su visomis turto atsargomis, kuriomis finansuojama aplinkos atžvilgiu tvari veikla. Šis punktas išreiškiamas procentais.</w:t>
            </w:r>
          </w:p>
          <w:p w14:paraId="74970068" w14:textId="53A850D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PVRR skaitiklis yra turto bendra balansinė vertė, kaip nurodyta </w:t>
            </w:r>
            <w:r w:rsidR="00125CE9">
              <w:rPr>
                <w:rFonts w:ascii="Times New Roman" w:hAnsi="Times New Roman"/>
                <w:sz w:val="24"/>
              </w:rPr>
              <w:t>7 formos</w:t>
            </w:r>
            <w:r>
              <w:rPr>
                <w:rFonts w:ascii="Times New Roman" w:hAnsi="Times New Roman"/>
                <w:sz w:val="24"/>
              </w:rPr>
              <w:t xml:space="preserve"> i skilties pildymo nurodymuose.</w:t>
            </w:r>
          </w:p>
          <w:p w14:paraId="5FF79263" w14:textId="5EB57234"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įtraukto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prisitaikymo veikla</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11 straipsnis.</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turto atsargų, susijusių su prisitaikymo veikla siekiant prisitaikymo prie klimato kaitos tikslo, dalį, palyginti su visomis turto atsargomis, kuriomis finansuojama aplinkos atžvilgiu tvari veikla. Šis punktas išreiškiamas procentais.</w:t>
            </w:r>
          </w:p>
          <w:p w14:paraId="254BA959" w14:textId="6355D9F2"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turto bendra balansinė vertė, kaip nurodyta </w:t>
            </w:r>
            <w:r w:rsidR="00125CE9">
              <w:rPr>
                <w:rFonts w:ascii="Times New Roman" w:hAnsi="Times New Roman"/>
                <w:sz w:val="24"/>
              </w:rPr>
              <w:t>7 formos</w:t>
            </w:r>
            <w:r>
              <w:rPr>
                <w:rFonts w:ascii="Times New Roman" w:hAnsi="Times New Roman"/>
                <w:sz w:val="24"/>
              </w:rPr>
              <w:t xml:space="preserve"> j skilties pildymo nurodymuose.</w:t>
            </w:r>
          </w:p>
          <w:p w14:paraId="62AC92EC" w14:textId="10BCFBD1"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PVRR vardiklis yra įtraukto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sąlygas sudaranti veikla</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16 straipsnis.</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turto atsargų, susijusių su sąlygas sudarančia veikla siekiant prisitaikymo prie klimato kaitos tikslo, dalį, palyginti su visomis turto atsargomis, kuriomis finansuojama aplinkos atžvilgiu tvari veikla. Šis punktas išreiškiamas procentais.</w:t>
            </w:r>
          </w:p>
          <w:p w14:paraId="07DBA8B2" w14:textId="743A060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turto bendra balansinė vertė, kaip nurodyta </w:t>
            </w:r>
            <w:r w:rsidR="00125CE9">
              <w:rPr>
                <w:rFonts w:ascii="Times New Roman" w:hAnsi="Times New Roman"/>
                <w:sz w:val="24"/>
              </w:rPr>
              <w:t>7 formos</w:t>
            </w:r>
            <w:r>
              <w:rPr>
                <w:rFonts w:ascii="Times New Roman" w:hAnsi="Times New Roman"/>
                <w:sz w:val="24"/>
              </w:rPr>
              <w:t xml:space="preserve"> k skilties pildymo nurodymuose.</w:t>
            </w:r>
          </w:p>
          <w:p w14:paraId="10E35ABB" w14:textId="34F7EA5A"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PVRR vardiklis yra įtraukto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Turto, kuriuo finansuojami taksonominiai sektoriai, dalis</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turto atsargų, kuriomis finansuojama taksonominė veikla (t. y. taksonominės veiklos turto) siekiant klimato kaitos švelninimo ir prisitaikymo prie klimato kaitos tikslų, dalį, palyginti su visomis įtraukto turto atsargomis. Šis punktas išreiškiamas procentais.</w:t>
            </w:r>
          </w:p>
          <w:p w14:paraId="29E1D9DD" w14:textId="0FA31FA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taksonominės veiklos turto, kuriuo finansuojami taksonominiai sektoriai, bendra balansinė vertė, kaip nurodyta </w:t>
            </w:r>
            <w:r w:rsidR="00125CE9">
              <w:rPr>
                <w:rFonts w:ascii="Times New Roman" w:hAnsi="Times New Roman"/>
                <w:sz w:val="24"/>
              </w:rPr>
              <w:t>7 formos</w:t>
            </w:r>
            <w:r>
              <w:rPr>
                <w:rFonts w:ascii="Times New Roman" w:hAnsi="Times New Roman"/>
                <w:sz w:val="24"/>
              </w:rPr>
              <w:t xml:space="preserve"> l skilties pildymo nurodymuose.</w:t>
            </w:r>
          </w:p>
          <w:p w14:paraId="586FB885" w14:textId="02F887F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įtraukto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6F031576" w14:textId="1FA7127E"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w:t>
            </w:r>
            <w:r w:rsidR="00340D55">
              <w:rPr>
                <w:rFonts w:ascii="Times New Roman" w:hAnsi="Times New Roman"/>
                <w:b/>
                <w:sz w:val="24"/>
                <w:u w:val="single"/>
              </w:rPr>
              <w:t>s</w:t>
            </w:r>
            <w:r>
              <w:rPr>
                <w:rFonts w:ascii="Times New Roman" w:hAnsi="Times New Roman"/>
                <w:b/>
                <w:sz w:val="24"/>
                <w:u w:val="single"/>
              </w:rPr>
              <w:t xml:space="preserve">: aplinkos atžvilgiu tvari veikla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turto atsargų, kuriomis finansuojama aplinkos atžvilgiu tvari veikla siekiant klimato kaitos švelninimo ir prisitaikymo prie klimato kaitos tikslų, dalį, palyginti su visomis taksonominės veiklos turto atsargomis. Šis punktas išreiškiamas procentais.</w:t>
            </w:r>
          </w:p>
          <w:p w14:paraId="1D667C5C" w14:textId="76CDD5F6"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taksonominės veiklos turto, kuriuo finansuojama aplinkos atžvilgiu tvari veikla, bendra balansinė vertė, kaip nurodyta </w:t>
            </w:r>
            <w:r w:rsidR="00125CE9">
              <w:rPr>
                <w:rFonts w:ascii="Times New Roman" w:hAnsi="Times New Roman"/>
                <w:sz w:val="24"/>
              </w:rPr>
              <w:t>7 formos</w:t>
            </w:r>
            <w:r>
              <w:rPr>
                <w:rFonts w:ascii="Times New Roman" w:hAnsi="Times New Roman"/>
                <w:sz w:val="24"/>
              </w:rPr>
              <w:t xml:space="preserve"> m skilties </w:t>
            </w:r>
            <w:r>
              <w:rPr>
                <w:rFonts w:ascii="Times New Roman" w:hAnsi="Times New Roman"/>
                <w:sz w:val="24"/>
              </w:rPr>
              <w:lastRenderedPageBreak/>
              <w:t>pildymo nurodymuose.</w:t>
            </w:r>
          </w:p>
          <w:p w14:paraId="7FBDA5E4" w14:textId="0AE5A47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įtrauktų pozicijų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specializuotas skolinimas</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specializuoto skolinimo kategorijai priskiriamo turto atsargų, kuriomis finansuojama aplinkos atžvilgiu tvari veikla siekiant klimato kaitos švelninimo ir prisitaikymo prie klimato kaitos tikslų, dalį, palyginti su visomis turto atsargomis, kuriomis finansuojama aplinkos atžvilgiu tvari veikla. Šis punktas išreiškiamas procentais.</w:t>
            </w:r>
          </w:p>
          <w:p w14:paraId="38940EEF" w14:textId="0D340201"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turto bendra balansinė vertė, kaip nurodyta </w:t>
            </w:r>
            <w:r w:rsidR="00125CE9">
              <w:rPr>
                <w:rFonts w:ascii="Times New Roman" w:hAnsi="Times New Roman"/>
                <w:sz w:val="24"/>
              </w:rPr>
              <w:t>7 formos</w:t>
            </w:r>
            <w:r>
              <w:rPr>
                <w:rFonts w:ascii="Times New Roman" w:hAnsi="Times New Roman"/>
                <w:sz w:val="24"/>
              </w:rPr>
              <w:t xml:space="preserve"> n skilties pildymo nurodymuose.</w:t>
            </w:r>
          </w:p>
          <w:p w14:paraId="230DB0DB" w14:textId="184951A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įtraukto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perėjimo / prisitaikymo veikla</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10 ir 11 straipsniai.</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Procentinė dalis atitinka d ir i skilčių vertes.</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sąlygas sudaranti veikla</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16 straipsnis.</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Procentinė dalis atitinka e ir j skilčių vertes.</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Įtraukta viso turto dalis</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viso turto dalį, įtrauktą į ŽTR. Šis punktas išreiškiamas procentais.</w:t>
            </w:r>
          </w:p>
          <w:p w14:paraId="7D810F56" w14:textId="64FFE561"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įtraukto turto atsargų bendra balansinė vertė, kaip nurodyta </w:t>
            </w:r>
            <w:r w:rsidR="00125CE9">
              <w:rPr>
                <w:rFonts w:ascii="Times New Roman" w:hAnsi="Times New Roman"/>
                <w:sz w:val="24"/>
              </w:rPr>
              <w:t>7 formos</w:t>
            </w:r>
            <w:r>
              <w:rPr>
                <w:rFonts w:ascii="Times New Roman" w:hAnsi="Times New Roman"/>
                <w:sz w:val="24"/>
              </w:rPr>
              <w:t xml:space="preserve"> 1 skilties pildymo nurodymuose.</w:t>
            </w:r>
          </w:p>
          <w:p w14:paraId="5B366428" w14:textId="1A45E2B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vardiklis yra įstaigos balanse nurodyto viso turto bendra balansinė vertė, kaip nurodyta </w:t>
            </w:r>
            <w:r w:rsidR="00125CE9">
              <w:rPr>
                <w:rFonts w:ascii="Times New Roman" w:hAnsi="Times New Roman"/>
                <w:sz w:val="24"/>
              </w:rPr>
              <w:t>7 formos</w:t>
            </w:r>
            <w:r>
              <w:rPr>
                <w:rFonts w:ascii="Times New Roman" w:hAnsi="Times New Roman"/>
                <w:sz w:val="24"/>
              </w:rPr>
              <w:t xml:space="preserve"> 50 eilutės pildymo nurodymuose.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Naujo turto, kuriuo finansuojami taksonominiai sektoriai, dalis</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naujo turto (t. y. per einamąjį informacijos atskleidimo laikotarpį sukurto turto), kuriuo finansuojama taksonominė veikla (t. y. taksonominės veiklos turto) siekiant klimato kaitos švelninimo tikslo, dalį, palyginti su visu nauju taksonominės veiklos turtu (t. y. per einamąjį informacijos atskleidimo laikotarpį sukurtu taksonominės veiklos turtu). Naujas turtas apskaičiuojamas atėmus grąžinimus ir kitus sumažinimus.</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0839FB89" w14:textId="37AEEC9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kuriuo finansuojami taksonominiai sektoriai, bendra balansinė vertė, kaip nurodyta </w:t>
            </w:r>
            <w:r w:rsidR="00125CE9">
              <w:rPr>
                <w:rFonts w:ascii="Times New Roman" w:hAnsi="Times New Roman"/>
                <w:sz w:val="24"/>
              </w:rPr>
              <w:t>7 formos</w:t>
            </w:r>
            <w:r>
              <w:rPr>
                <w:rFonts w:ascii="Times New Roman" w:hAnsi="Times New Roman"/>
                <w:sz w:val="24"/>
              </w:rPr>
              <w:t xml:space="preserve"> b skilties pildymo nurodymuose.</w:t>
            </w:r>
          </w:p>
          <w:p w14:paraId="33736FDE" w14:textId="1E719555"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r</w:t>
            </w:r>
          </w:p>
        </w:tc>
        <w:tc>
          <w:tcPr>
            <w:tcW w:w="7879" w:type="dxa"/>
            <w:tcBorders>
              <w:top w:val="single" w:sz="4" w:space="0" w:color="auto"/>
              <w:left w:val="single" w:sz="4" w:space="0" w:color="auto"/>
              <w:bottom w:val="single" w:sz="4" w:space="0" w:color="auto"/>
              <w:right w:val="single" w:sz="4" w:space="0" w:color="auto"/>
            </w:tcBorders>
          </w:tcPr>
          <w:p w14:paraId="7FB80609" w14:textId="677D2398"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w:t>
            </w:r>
            <w:r w:rsidR="00340D55">
              <w:rPr>
                <w:rFonts w:ascii="Times New Roman" w:hAnsi="Times New Roman"/>
                <w:b/>
                <w:sz w:val="24"/>
                <w:u w:val="single"/>
              </w:rPr>
              <w:t>s</w:t>
            </w:r>
            <w:r>
              <w:rPr>
                <w:rFonts w:ascii="Times New Roman" w:hAnsi="Times New Roman"/>
                <w:b/>
                <w:sz w:val="24"/>
                <w:u w:val="single"/>
              </w:rPr>
              <w:t xml:space="preserve">: aplinkos atžvilgiu tvari veikla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naujo turto (t. y. per einamąjį informacijos atskleidimo laikotarpį sukurto turto), kuriuo finansuojama aplinkos atžvilgiu tvari veikla siekiant klimato kaitos švelninimo tikslo, dalį, palyginti su visu nauju taksonominės veiklos turtu (t. y. per einamąjį informacijos atskleidimo laikotarpį sukurtu taksonominės veiklos turtu). Naujas turtas apskaičiuojamas atėmus grąžinimus ir kitus sumažinimus.</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6E40A3B9" w14:textId="278BBD3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taksonominės veiklos naujo turto bendra balansinė vertė, kaip nurodyta </w:t>
            </w:r>
            <w:r w:rsidR="00125CE9">
              <w:rPr>
                <w:rFonts w:ascii="Times New Roman" w:hAnsi="Times New Roman"/>
                <w:sz w:val="24"/>
              </w:rPr>
              <w:t>7 formos</w:t>
            </w:r>
            <w:r>
              <w:rPr>
                <w:rFonts w:ascii="Times New Roman" w:hAnsi="Times New Roman"/>
                <w:sz w:val="24"/>
              </w:rPr>
              <w:t xml:space="preserve"> c skilties pildymo nurodymuose.</w:t>
            </w:r>
          </w:p>
          <w:p w14:paraId="40D5D297" w14:textId="3D91217A"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specializuotas skolinimas</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prie specializuoto skolinimo kategorijos priskiriamo naujo turto (t. y. per einamąjį informacijos atskleidimo laikotarpį sukurto turto), kuriuo finansuojama aplinkos atžvilgiu tvari veikla siekiant klimato kaitos švelninimo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54BD5802" w14:textId="222A4ED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bendra balansinė vertė, kaip nurodyta </w:t>
            </w:r>
            <w:r w:rsidR="00125CE9">
              <w:rPr>
                <w:rFonts w:ascii="Times New Roman" w:hAnsi="Times New Roman"/>
                <w:sz w:val="24"/>
              </w:rPr>
              <w:t>8 formos</w:t>
            </w:r>
            <w:r>
              <w:rPr>
                <w:rFonts w:ascii="Times New Roman" w:hAnsi="Times New Roman"/>
                <w:sz w:val="24"/>
              </w:rPr>
              <w:t xml:space="preserve"> d skilties pildymo nurodymuose.</w:t>
            </w:r>
          </w:p>
          <w:p w14:paraId="7EE615A5" w14:textId="2C687FFA"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perėjimo veikla</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10 straipsnis.</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naujo turto (t. y. per einamąjį informacijos atskleidimo laikotarpį sukurto turto), susijusio su perėjimo veikla siekiant klimato kaitos švelninimo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2BDC4F5C" w14:textId="284ABCD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bendra balansinė vertė, kaip nurodyta </w:t>
            </w:r>
            <w:r w:rsidR="00125CE9">
              <w:rPr>
                <w:rFonts w:ascii="Times New Roman" w:hAnsi="Times New Roman"/>
                <w:sz w:val="24"/>
              </w:rPr>
              <w:t>8 formos</w:t>
            </w:r>
            <w:r>
              <w:rPr>
                <w:rFonts w:ascii="Times New Roman" w:hAnsi="Times New Roman"/>
                <w:sz w:val="24"/>
              </w:rPr>
              <w:t xml:space="preserve"> e skilties pildymo nurodymuose.</w:t>
            </w:r>
          </w:p>
          <w:p w14:paraId="3DDD43D4" w14:textId="387DD32E"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įtraukto naujo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sąlygas sudaranti veikla</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16 straipsnis.</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naujo turto (t. y. per einamąjį informacijos atskleidimo </w:t>
            </w:r>
            <w:r>
              <w:rPr>
                <w:rFonts w:ascii="Times New Roman" w:hAnsi="Times New Roman"/>
                <w:sz w:val="24"/>
              </w:rPr>
              <w:lastRenderedPageBreak/>
              <w:t>laikotarpį sukurto turto), susijusio su sąlygas sudarančia veikla siekiant klimato kaitos švelninimo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7CC7B130" w14:textId="44A018C0"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bendra balansinė vertė, kaip nurodyta </w:t>
            </w:r>
            <w:r w:rsidR="00125CE9">
              <w:rPr>
                <w:rFonts w:ascii="Times New Roman" w:hAnsi="Times New Roman"/>
                <w:sz w:val="24"/>
              </w:rPr>
              <w:t>8 formos</w:t>
            </w:r>
            <w:r>
              <w:rPr>
                <w:rFonts w:ascii="Times New Roman" w:hAnsi="Times New Roman"/>
                <w:sz w:val="24"/>
              </w:rPr>
              <w:t xml:space="preserve"> f skilties pildymo nurodymuose.</w:t>
            </w:r>
          </w:p>
          <w:p w14:paraId="13E575A7" w14:textId="0B7B4AC1"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įtraukto naujo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Naujo turto, kuriuo finansuojami taksonominiai sektoriai, dalis</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naujo turto (t. y. per einamąjį informacijos atskleidimo laikotarpį sukurto turto), kuriuo finansuojama į Reglamento (ES) 2020/852 taikymo sritį įtraukta veikla siekiant prisitaikymo prie klimato kaitos tikslo, dalį, palyginti su visu nauju taksonominės veiklos turtu (t. y. per einamąjį informacijos atskleidimo laikotarpį sukurtu taksonominės veiklos turtu). Naujas turtas apskaičiuojamas atėmus grąžinimus ir kitus sumažinimus.</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2601D6A2" w14:textId="6476C49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kuriuo finansuojami taksonominiai sektoriai, bendra balansinė vertė, kaip nurodyta </w:t>
            </w:r>
            <w:r w:rsidR="00125CE9">
              <w:rPr>
                <w:rFonts w:ascii="Times New Roman" w:hAnsi="Times New Roman"/>
                <w:sz w:val="24"/>
              </w:rPr>
              <w:t>7 formos</w:t>
            </w:r>
            <w:r>
              <w:rPr>
                <w:rFonts w:ascii="Times New Roman" w:hAnsi="Times New Roman"/>
                <w:sz w:val="24"/>
              </w:rPr>
              <w:t xml:space="preserve"> g skilties pildymo nurodymuose.</w:t>
            </w:r>
          </w:p>
          <w:p w14:paraId="2F93DE3E" w14:textId="20F6AA80"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46CB646C"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w:t>
            </w:r>
            <w:r w:rsidR="00340D55">
              <w:rPr>
                <w:rFonts w:ascii="Times New Roman" w:hAnsi="Times New Roman"/>
                <w:b/>
                <w:sz w:val="24"/>
                <w:u w:val="single"/>
              </w:rPr>
              <w:t>s</w:t>
            </w:r>
            <w:r>
              <w:rPr>
                <w:rFonts w:ascii="Times New Roman" w:hAnsi="Times New Roman"/>
                <w:b/>
                <w:sz w:val="24"/>
                <w:u w:val="single"/>
              </w:rPr>
              <w:t xml:space="preserve">: aplinkos atžvilgiu tvari veikla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naujo turto (t. y. per einamąjį informacijos atskleidimo laikotarpį sukurto turto), kuriuo finansuojama aplinkos atžvilgiu tvari veikla siekiant prisitaikymo prie klimato kaitos tikslo, dalį, palyginti su visu nauju taksonominės veiklos turtu (t. y. per einamąjį informacijos atskleidimo laikotarpį sukurtu taksonominės veiklos turtu). Naujas turtas apskaičiuojamas atėmus grąžinimus ir kitus sumažinimus.</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51AC169A" w14:textId="07C7380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bendra balansinė vertė, kaip nurodyta </w:t>
            </w:r>
            <w:r w:rsidR="00125CE9">
              <w:rPr>
                <w:rFonts w:ascii="Times New Roman" w:hAnsi="Times New Roman"/>
                <w:sz w:val="24"/>
              </w:rPr>
              <w:t>7 formos</w:t>
            </w:r>
            <w:r>
              <w:rPr>
                <w:rFonts w:ascii="Times New Roman" w:hAnsi="Times New Roman"/>
                <w:sz w:val="24"/>
              </w:rPr>
              <w:t xml:space="preserve"> h skilties pildymo nurodymuose.</w:t>
            </w:r>
          </w:p>
          <w:p w14:paraId="51EC0363" w14:textId="15184D54"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specializuotas skolinimas</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prie specializuoto skolinimo kategorijos priskiriamo naujo turto (t. y. per einamąjį informacijos atskleidimo laikotarpį sukurto turto), kuriuo finansuojama aplinkos atžvilgiu tvari veikla siekiant prisitaikymo prie klimato kaitos tikslo, dalį, palyginti su visu nauju taksonominės veiklos turtu (t. y. per einamąjį informacijos atskleidimo laikotarpį sukurtu turtu), kuriuo finansuojama aplinkos atžvilgiu tvari veikla. Naujas taksonominės veiklos </w:t>
            </w:r>
            <w:r>
              <w:rPr>
                <w:rFonts w:ascii="Times New Roman" w:hAnsi="Times New Roman"/>
                <w:sz w:val="24"/>
              </w:rPr>
              <w:lastRenderedPageBreak/>
              <w:t>turtas apskaičiuojamas atėmus grąžinimus ir kitus sumažinimus.</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7965CF86" w14:textId="2BCC1D6B"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bendra balansinė vertė, kaip nurodyta </w:t>
            </w:r>
            <w:r w:rsidR="00125CE9">
              <w:rPr>
                <w:rFonts w:ascii="Times New Roman" w:hAnsi="Times New Roman"/>
                <w:sz w:val="24"/>
              </w:rPr>
              <w:t>7 formos</w:t>
            </w:r>
            <w:r>
              <w:rPr>
                <w:rFonts w:ascii="Times New Roman" w:hAnsi="Times New Roman"/>
                <w:sz w:val="24"/>
              </w:rPr>
              <w:t xml:space="preserve"> i skilties pildymo nurodymuose.</w:t>
            </w:r>
          </w:p>
          <w:p w14:paraId="51D752AC" w14:textId="72C1BA9C"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prisitaikymo veikla</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11 straipsnis.</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naujo turto (t. y. per einamąjį informacijos atskleidimo laikotarpį sukurto turto), susijusio su perėjimo veikla siekiant prisitaikymo prie klimato kaitos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56ADD606" w14:textId="4299BDF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bendra balansinė vertė, kaip nurodyta </w:t>
            </w:r>
            <w:r w:rsidR="00125CE9">
              <w:rPr>
                <w:rFonts w:ascii="Times New Roman" w:hAnsi="Times New Roman"/>
                <w:sz w:val="24"/>
              </w:rPr>
              <w:t>7 formos</w:t>
            </w:r>
            <w:r>
              <w:rPr>
                <w:rFonts w:ascii="Times New Roman" w:hAnsi="Times New Roman"/>
                <w:sz w:val="24"/>
              </w:rPr>
              <w:t xml:space="preserve"> j skilties pildymo nurodymuose.</w:t>
            </w:r>
          </w:p>
          <w:p w14:paraId="65F8995E" w14:textId="5423EF69"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sąlygas sudaranti veikla</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16 straipsnis.</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naujo turto (t. y. per einamąjį informacijos atskleidimo laikotarpį sukurto turto), susijusio su sąlygas sudarančia veikla siekiant prisitaikymo prie klimato kaitos tikslo, dalį, palyginti su visu nauju taksonominės veiklos turtu (t. y. per einamąjį informacijos atskleidimo laikotarpį sukurtu turtu), kuriuo finansuojama aplinkos atžvilgiu tvari veikla. Naujas taksonominės veiklos turtas apskaičiuojamas atėmus grąžinimus ir kitus sumažinimus.</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3B0F9BC0" w14:textId="1F2511A3"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bendra balansinė vertė, kaip nurodyta </w:t>
            </w:r>
            <w:r w:rsidR="00125CE9">
              <w:rPr>
                <w:rFonts w:ascii="Times New Roman" w:hAnsi="Times New Roman"/>
                <w:sz w:val="24"/>
              </w:rPr>
              <w:t>7 formos</w:t>
            </w:r>
            <w:r>
              <w:rPr>
                <w:rFonts w:ascii="Times New Roman" w:hAnsi="Times New Roman"/>
                <w:sz w:val="24"/>
              </w:rPr>
              <w:t xml:space="preserve"> k skilties pildymo nurodymuose.</w:t>
            </w:r>
          </w:p>
          <w:p w14:paraId="60D6E1D9" w14:textId="7F91C85A"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Turto, kuriuo finansuojami taksonominiai sektoriai, dalis</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naujo turto (t. y. per einamąjį informacijos atskleidimo laikotarpį sukurto turto), kuriuo finansuojama veikla, kuria siekiama Reglamente (ES) 2020/852 nustatytų klimato kaitos švelninimo ir prisitaikymo prie klimato kaitos tikslų, dalį, palyginti su visu nauju taksonominės veiklos turtu (t. y. per einamąjį informacijos atskleidimo laikotarpį sukurtu taksonominės veiklos turtu). Naujas turtas apskaičiuojamas atėmus grąžinimus ir kitus sumažinimus.</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Šis punktas išreiškiamas procentais.</w:t>
            </w:r>
          </w:p>
          <w:p w14:paraId="4F566ABC" w14:textId="64CD17D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kuriuo finansuojami taksonominiai sektoriai, bendra balansinė vertė, kaip nurodyta </w:t>
            </w:r>
            <w:r w:rsidR="00125CE9">
              <w:rPr>
                <w:rFonts w:ascii="Times New Roman" w:hAnsi="Times New Roman"/>
                <w:sz w:val="24"/>
              </w:rPr>
              <w:t>7 formos</w:t>
            </w:r>
            <w:r>
              <w:rPr>
                <w:rFonts w:ascii="Times New Roman" w:hAnsi="Times New Roman"/>
                <w:sz w:val="24"/>
              </w:rPr>
              <w:t xml:space="preserve"> l skilties pildymo nurodymuose.</w:t>
            </w:r>
          </w:p>
          <w:p w14:paraId="414983DD" w14:textId="0F1F3681"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ab</w:t>
            </w:r>
          </w:p>
        </w:tc>
        <w:tc>
          <w:tcPr>
            <w:tcW w:w="7879" w:type="dxa"/>
            <w:tcBorders>
              <w:top w:val="single" w:sz="4" w:space="0" w:color="auto"/>
              <w:left w:val="single" w:sz="4" w:space="0" w:color="auto"/>
              <w:bottom w:val="single" w:sz="4" w:space="0" w:color="auto"/>
              <w:right w:val="single" w:sz="4" w:space="0" w:color="auto"/>
            </w:tcBorders>
          </w:tcPr>
          <w:p w14:paraId="2BD360BA" w14:textId="03D853C9"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w:t>
            </w:r>
            <w:r w:rsidR="00340D55">
              <w:rPr>
                <w:rFonts w:ascii="Times New Roman" w:hAnsi="Times New Roman"/>
                <w:b/>
                <w:sz w:val="24"/>
                <w:u w:val="single"/>
              </w:rPr>
              <w:t>s</w:t>
            </w:r>
            <w:r>
              <w:rPr>
                <w:rFonts w:ascii="Times New Roman" w:hAnsi="Times New Roman"/>
                <w:b/>
                <w:sz w:val="24"/>
                <w:u w:val="single"/>
              </w:rPr>
              <w:t xml:space="preserve">: aplinkos atžvilgiu tvari veikla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naujo turto (t. y. per einamąjį informacijos atskleidimo laikotarpį sukurto turto), kuriuo finansuojama aplinkos atžvilgiu tvari veikla siekiant klimato kaitos švelninimo ir prisitaikymo prie klimato kaitos tikslų, dalį, palyginti su visu nauju taksonominės veiklos turtu (t. y. per einamąjį informacijos atskleidimo laikotarpį sukurtu taksonominės veiklos turtu). Naujas turtas apskaičiuojamas atėmus grąžinimus ir kitus sumažinimus.</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012DFADD" w14:textId="6A12D75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bendra balansinė vertė, kaip nurodyta </w:t>
            </w:r>
            <w:r w:rsidR="00125CE9">
              <w:rPr>
                <w:rFonts w:ascii="Times New Roman" w:hAnsi="Times New Roman"/>
                <w:sz w:val="24"/>
              </w:rPr>
              <w:t>7 formos</w:t>
            </w:r>
            <w:r>
              <w:rPr>
                <w:rFonts w:ascii="Times New Roman" w:hAnsi="Times New Roman"/>
                <w:sz w:val="24"/>
              </w:rPr>
              <w:t xml:space="preserve"> m skilties pildymo nurodymuose.</w:t>
            </w:r>
          </w:p>
          <w:p w14:paraId="5BFDA4A9" w14:textId="17BD4D33"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specializuotas skolinimas</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prie specializuoto skolinimo kategorijos priskiriamo naujo turto (t. y. per einamąjį informacijos atskleidimo laikotarpį sukurto turto), kuriuo finansuojama aplinkos atžvilgiu tvari veikla siekiant klimato kaitos švelninimo ir prisitaikymo prie klimato kaitos tikslų, dalį, palyginti su visu nauju turtu (t. y. per einamąjį informacijos atskleidimo laikotarpį sukurtu turtu), kuriuo finansuojama aplinkos atžvilgiu tvari veikla. Naujas turtas apskaičiuojamas atėmus grąžinimus ir kitus sumažinimus.</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5E55997D" w14:textId="52AA3A9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PVRR skaitiklis yra naujo taksonominės veiklos turto bendra balansinė vertė, kaip nurodyta </w:t>
            </w:r>
            <w:r w:rsidR="00125CE9">
              <w:rPr>
                <w:rFonts w:ascii="Times New Roman" w:hAnsi="Times New Roman"/>
                <w:sz w:val="24"/>
              </w:rPr>
              <w:t>7 formos</w:t>
            </w:r>
            <w:r>
              <w:rPr>
                <w:rFonts w:ascii="Times New Roman" w:hAnsi="Times New Roman"/>
                <w:sz w:val="24"/>
              </w:rPr>
              <w:t xml:space="preserve"> n skilties pildymo nurodymuose.</w:t>
            </w:r>
          </w:p>
          <w:p w14:paraId="14EE3172" w14:textId="3C745B21"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PVRR vardiklis yra naujo įtraukto turto iš to turto bendra balansinė vertė, kaip nurodyta </w:t>
            </w:r>
            <w:r w:rsidR="00125CE9">
              <w:rPr>
                <w:rFonts w:ascii="Times New Roman" w:hAnsi="Times New Roman"/>
                <w:sz w:val="24"/>
              </w:rPr>
              <w:t>7 formos</w:t>
            </w:r>
            <w:r>
              <w:rPr>
                <w:rFonts w:ascii="Times New Roman" w:hAnsi="Times New Roman"/>
                <w:sz w:val="24"/>
              </w:rPr>
              <w:t xml:space="preserve"> a skilties pildymo nurodymuose.</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perėjimo / prisitaikymo veikla</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10 ir 11 straipsniai.</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Procentinė dalis atitinka t ir y skilčių vertes.</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jos: sąlygas sudaranti veikla</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Reglamento (ES) 2020/852 16 straipsnis.</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Procentinė dalis atitinka u ir z skilčių vertes.</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Įtraukta naujo viso turto dalis</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Įstaigos atskleidžia naujo viso turto dalį, įtrauktą į ŽTR. Naujas turtas </w:t>
            </w:r>
            <w:r>
              <w:rPr>
                <w:rFonts w:ascii="Times New Roman" w:hAnsi="Times New Roman"/>
                <w:sz w:val="24"/>
              </w:rPr>
              <w:lastRenderedPageBreak/>
              <w:t>apskaičiuojamas atėmus grąžinimus ir kitus sumažinimus.</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Šis punktas išreiškiamas procentais.</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PVRR skaitiklis yra einamojo informacijos atskleidimo laikotarpio (t) ir ankstesnio informacijos atskleidimo laikotarpio (t-1) įtraukto turto bendros balansinės vertės, nurodytos 7 formos 1 eilutės pildymo nurodymuose, skirtumas.</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PVRR vardiklis yra einamojo informacijos atskleidimo laikotarpio (t) ir ankstesnio informacijos atskleidimo laikotarpio (t-1) naujo viso turto bendros balansinės vertės, nurodytos 7 formos 53 eilutės pildymo nurodymuose, skirtumas.</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Eilutės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Nurodymai</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Deleguotajame reglamente (ES) 2021/2178 nurodytas </w:t>
            </w:r>
            <w:r>
              <w:rPr>
                <w:rFonts w:ascii="Times New Roman" w:hAnsi="Times New Roman"/>
                <w:b/>
                <w:sz w:val="24"/>
                <w:u w:val="single"/>
              </w:rPr>
              <w:t>ŽTR</w:t>
            </w:r>
            <w:r>
              <w:rPr>
                <w:rFonts w:ascii="Times New Roman" w:hAnsi="Times New Roman"/>
                <w:sz w:val="24"/>
              </w:rPr>
              <w:t>.</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Apskaičiuojant ŽTR įtraukiamos prekybai nelaikomos paskolos ir kiti išankstiniai mokėjimai, skolos vertybiniai popieriai ir nuosavybės priemonės.</w:t>
            </w:r>
          </w:p>
          <w:p w14:paraId="6E932B59" w14:textId="5592683E" w:rsidR="00183989" w:rsidRPr="00E50FA4" w:rsidRDefault="00125CE9" w:rsidP="00D0691F">
            <w:pPr>
              <w:spacing w:before="120" w:after="120"/>
              <w:jc w:val="both"/>
              <w:rPr>
                <w:rFonts w:ascii="Times New Roman" w:eastAsia="Times New Roman" w:hAnsi="Times New Roman" w:cs="Times New Roman"/>
                <w:noProof/>
                <w:sz w:val="24"/>
              </w:rPr>
            </w:pPr>
            <w:r>
              <w:rPr>
                <w:rFonts w:ascii="Times New Roman" w:hAnsi="Times New Roman"/>
                <w:sz w:val="24"/>
              </w:rPr>
              <w:t>7 formos</w:t>
            </w:r>
            <w:r w:rsidR="00183989">
              <w:rPr>
                <w:rFonts w:ascii="Times New Roman" w:hAnsi="Times New Roman"/>
                <w:sz w:val="24"/>
              </w:rPr>
              <w:t xml:space="preserve"> 1 eilutėje nurodytų pozicijų ŽTR (%).</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Finansų bendrovės</w:t>
            </w:r>
          </w:p>
          <w:p w14:paraId="1855846A" w14:textId="1B5EB045"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2 eilutėje nurodytų pozicijų ŽTR (%).</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Kredito įstaigos</w:t>
            </w:r>
          </w:p>
          <w:p w14:paraId="7E9FFEF0" w14:textId="1372761A"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3 eilutėje nurodytų pozicijų ŽTR (%).</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Kitos finansų bendrovės</w:t>
            </w:r>
          </w:p>
          <w:p w14:paraId="02B3D153" w14:textId="3850BB8F"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7 eilutėje nurodytų pozicijų ŽTR (%).</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investicinės įmonės</w:t>
            </w:r>
          </w:p>
          <w:p w14:paraId="5888AAAC" w14:textId="648C2A30"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8 eilutėje nurodytų pozicijų ŽTR (%).</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valdymo bendrovės</w:t>
            </w:r>
          </w:p>
          <w:p w14:paraId="12ADCE07" w14:textId="339C6E94"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12 eilutėje nurodytų pozicijų ŽTR (%).</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draudimo įmonės</w:t>
            </w:r>
          </w:p>
          <w:p w14:paraId="32A54331" w14:textId="3E7CFA27"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16 eilutėje nurodytų pozicijų ŽTR (%).</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 finansų įmonės, kurioms taikomos Nefinansinės informacijos atskleidimo direktyvos (NIAD) informacijos atskleidimo prievolės</w:t>
            </w:r>
          </w:p>
          <w:p w14:paraId="57B834FA" w14:textId="1399BF85" w:rsidR="00183989" w:rsidRPr="00E50FA4" w:rsidRDefault="00125CE9" w:rsidP="00D0691F">
            <w:pPr>
              <w:spacing w:before="120" w:after="120"/>
              <w:jc w:val="both"/>
              <w:rPr>
                <w:rFonts w:ascii="Times New Roman" w:eastAsia="Times New Roman" w:hAnsi="Times New Roman" w:cs="Times New Roman"/>
                <w:noProof/>
                <w:sz w:val="24"/>
              </w:rPr>
            </w:pPr>
            <w:r>
              <w:rPr>
                <w:rFonts w:ascii="Times New Roman" w:hAnsi="Times New Roman"/>
                <w:sz w:val="24"/>
              </w:rPr>
              <w:t>7 formos</w:t>
            </w:r>
            <w:r w:rsidR="00183989">
              <w:rPr>
                <w:rFonts w:ascii="Times New Roman" w:hAnsi="Times New Roman"/>
                <w:sz w:val="24"/>
              </w:rPr>
              <w:t xml:space="preserve"> 20 eilutėje nurodytų pozicijų ŽTR (%).</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Namų ūkiai</w:t>
            </w:r>
          </w:p>
          <w:p w14:paraId="55D3EA8D" w14:textId="36661D3E"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24 eilutėje nurodytų pozicijų ŽTR (%).</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paskolos, užtikrintos gyvenamosios paskirties nekilnojamuoju turtu</w:t>
            </w:r>
          </w:p>
          <w:p w14:paraId="13916334" w14:textId="7966CB32"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7 formos</w:t>
            </w:r>
            <w:r w:rsidR="00183989">
              <w:rPr>
                <w:rFonts w:ascii="Times New Roman" w:hAnsi="Times New Roman"/>
                <w:sz w:val="24"/>
              </w:rPr>
              <w:t xml:space="preserve"> 25 eilutėje nurodytų pozicijų ŽTR (%).</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pastatų renovacijos paskolos</w:t>
            </w:r>
          </w:p>
          <w:p w14:paraId="60CFD055" w14:textId="22E13E6C"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26 eilutėje nurodytų pozicijų ŽTR (%).</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motorinių transporto priemonių paskolos</w:t>
            </w:r>
          </w:p>
          <w:p w14:paraId="15347FB4" w14:textId="2DBAE0D3"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27 eilutėje nurodytų pozicijų ŽTR (%).</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Vietos valdžios finansavimas</w:t>
            </w:r>
          </w:p>
          <w:p w14:paraId="02D3B148" w14:textId="1250F589"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28 eilutėje nurodytų pozicijų ŽTR (%).</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Būsto finansavimas</w:t>
            </w:r>
          </w:p>
          <w:p w14:paraId="2F913C4F" w14:textId="5878763E"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29 eilutėje nurodytų pozicijų ŽTR (%).</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Kitas vietos valdžios institucijų finansavimas</w:t>
            </w:r>
          </w:p>
          <w:p w14:paraId="7ABA42E8" w14:textId="2FBF86F4"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30 eilutėje nurodytų pozicijų ŽTR (%).</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Užtikrinimo priemonės, perimtos realizuojant nuosavybės teisę: gyvenamosios ir komercinės paskirties nekilnojamasis turtas</w:t>
            </w:r>
          </w:p>
          <w:p w14:paraId="089C74CD" w14:textId="2B8521BE" w:rsidR="00183989" w:rsidRPr="00E50FA4" w:rsidRDefault="00125CE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7 formos</w:t>
            </w:r>
            <w:r w:rsidR="00183989">
              <w:rPr>
                <w:rFonts w:ascii="Times New Roman" w:hAnsi="Times New Roman"/>
                <w:sz w:val="24"/>
              </w:rPr>
              <w:t xml:space="preserve"> 31 eilutėje nurodytų pozicijų ŽTR (%).</w:t>
            </w:r>
          </w:p>
        </w:tc>
      </w:tr>
    </w:tbl>
    <w:p w14:paraId="3F596C29" w14:textId="77777777" w:rsidR="00183989" w:rsidRPr="00340D55" w:rsidRDefault="00183989" w:rsidP="00183989">
      <w:pPr>
        <w:spacing w:before="120" w:after="120"/>
        <w:jc w:val="both"/>
        <w:rPr>
          <w:rFonts w:ascii="Times New Roman" w:hAnsi="Times New Roman"/>
          <w:noProof/>
          <w:sz w:val="24"/>
        </w:rPr>
      </w:pPr>
    </w:p>
    <w:p w14:paraId="64973E54" w14:textId="175529FA"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9 </w:t>
      </w:r>
      <w:r w:rsidR="00125CE9">
        <w:rPr>
          <w:rFonts w:ascii="Times New Roman" w:hAnsi="Times New Roman"/>
          <w:b/>
          <w:sz w:val="24"/>
        </w:rPr>
        <w:t>forma</w:t>
      </w:r>
      <w:r>
        <w:rPr>
          <w:rFonts w:ascii="Times New Roman" w:hAnsi="Times New Roman"/>
          <w:b/>
          <w:sz w:val="24"/>
        </w:rPr>
        <w:t>. Švelninimo veiksmai: BATR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Įgyvendinimo reglamento (ES) 2021/2178 9 straipsnyje nustatyta, kad ne vėliau kaip 2024 m. birželio 30 d. Komisija peržiūri to reglamento taikymą. Visų pirma Komisija turi įvertinti papildomų pakeitimų poreikį, jei prireiktų įtraukti:</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tab/>
      </w:r>
      <w:r>
        <w:rPr>
          <w:rFonts w:ascii="Times New Roman" w:hAnsi="Times New Roman"/>
          <w:sz w:val="24"/>
        </w:rPr>
        <w:t>centrinės valdžios ir centrinių bankų pozicijas į finansų įmonių pagrindinių veiklos rezultatų rodiklių skaitiklį ir vardiklį;</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tab/>
      </w:r>
      <w:r>
        <w:rPr>
          <w:rFonts w:ascii="Times New Roman" w:hAnsi="Times New Roman"/>
          <w:sz w:val="24"/>
        </w:rPr>
        <w:t>įmonių, kurios pagal Direktyvos 2013/34/ES 19a arba 29a straipsnį neskelbia nefinansinės ataskaitos, pozicijas į finansų įmonių pagrindinių veiklos rezultatų rodiklių skaitiklį.</w:t>
      </w:r>
    </w:p>
    <w:p w14:paraId="4773F08F" w14:textId="39BAA53C"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Įstaigos gali pasirinkti į </w:t>
      </w:r>
      <w:r w:rsidR="00125CE9">
        <w:rPr>
          <w:rFonts w:ascii="Times New Roman" w:hAnsi="Times New Roman"/>
          <w:sz w:val="24"/>
        </w:rPr>
        <w:t>šią formą</w:t>
      </w:r>
      <w:r>
        <w:rPr>
          <w:rFonts w:ascii="Times New Roman" w:hAnsi="Times New Roman"/>
          <w:sz w:val="24"/>
        </w:rPr>
        <w:t xml:space="preserve"> įtraukti toliau nurodytą informaciją. Jei sandorio šalys yra ne finansų bendrovės ir neturi informacijos atskleidimo prievolių, įstaigos, dėdamos pagrįstas pastangas ir remdamosi jau turima ir savanorišku bei dvišaliu pagrindu iš savo sandorio šalių surinkta arba naudojant įverčius apskaičiuota informacija, gali atskleisti išsamesnę informaciją apie taksonominės veiklos ir kriterijus atitinkančios taksonominės veiklos, kaip nurodyta Reglamente (ES) 2020/852, kiek tai susiję su klimato kaitos švelninimo ir prisitaikymo prie klimato kaitos tikslais, nurodytais Reglamento (ES) 2020/852 9 straipsnio a ir b punktuose, pozicijas Europos ne finansų bendrovių, kurioms Direktyvoje 2013/34/ES nustatytos informacijos atskleidimo prievolės netaikomos, atžvilgiu ir pozicijas ne Europos ne finansų bendrovių, kurioms Direktyvoje 2013/34/ES nustatytos informacijos atskleidimo prievolės netaikomos, atžvilgiu. Ta informacija gali būti atskleista tik kartą, remiantis sandorio šalių kriterijus atitinkančios taksonominės veiklos apyvarta bendrosios paskirties skolinimo paskolų atveju, kaip ir ŽTR atveju.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lastRenderedPageBreak/>
        <w:t>Pirmoji šiame šablone reikalaujamos informacijos atskleidimo ataskaitinė data yra 2024 m. gruodžio 31 d. Iš įstaigų nereikalaujama šią informaciją atskleisti iki 2025 m. sausio 1 d.</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9.1 šablonas. Švelninimo veiksmai: apskaičiuojant BATR aktualus turtas</w:t>
      </w:r>
    </w:p>
    <w:p w14:paraId="0B7C6AF5" w14:textId="77777777" w:rsidR="00183989" w:rsidRPr="00340D55"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Šiame šablone įstaigos gali atskleisti turto, kuris yra svarbus apskaičiuojant BATR, bendrą balansinę vertę. Šis šablonas taikomas tik toms sandorio šalims, kurioms informacijos atskleidimo prievolės netaikomos.</w:t>
      </w:r>
    </w:p>
    <w:p w14:paraId="48AB863E" w14:textId="77777777" w:rsidR="00183989" w:rsidRPr="00340D55"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VISAS ŽTR TURTAS</w:t>
            </w:r>
          </w:p>
          <w:p w14:paraId="43D9B84A" w14:textId="2B978D1E"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Kaip atskleista </w:t>
            </w:r>
            <w:r w:rsidR="00125CE9">
              <w:rPr>
                <w:rFonts w:ascii="Times New Roman" w:hAnsi="Times New Roman"/>
                <w:color w:val="000000"/>
                <w:sz w:val="24"/>
                <w:u w:val="single"/>
              </w:rPr>
              <w:t>7 formos</w:t>
            </w:r>
            <w:r>
              <w:rPr>
                <w:rFonts w:ascii="Times New Roman" w:hAnsi="Times New Roman"/>
                <w:color w:val="000000"/>
                <w:sz w:val="24"/>
                <w:u w:val="single"/>
              </w:rPr>
              <w:t xml:space="preserve"> 32 eilutėje.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ES ne finansų bendrovės (kurioms netaikomos Nefinansinės informacijos atskleidimo direktyvos (NIAD) informacijos atskleidimo prievolės)</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pozicijas ne finansų bendrovių, apibrėžtų Įgyvendinimo reglamento (ES) 2021/451 V priedo 1 dalies 42 punkto e papunktyje, kurios yra Sąjungoje ir kurioms informacijos atskleidimo prievolės pagal Direktyvą 2013/34/ES netaikomos, atžvilgiu.</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Jeigu sandorio šaliai atskleidimo reikalavimai pagal Reglamento (ES) 2020/852 8 straipsnį netaikomi, siekdamos apskaičiuoti kriterijus atitinkančios taksonominės veiklos pozicijų procentinę dalį, kaip nurodyta Reglamente (ES) 2020/852, įstaigos gali, dėdamos pagrįstas pastangas, rinkti informaciją iš savo sandorio šalių savanorišku ir dvišaliu pagrindu per paskolos išdavimo procesą ir reguliarios kredito peržiūros ir stebėsenos procesą. Tik tuomet, kai sandorio šalis negali arba nenori pateikti atitinkamų duomenų, kredito įstaigos naudoja vidaus įverčius ir pakaitinius duomenis ir prie šablono pridedamame aiškinamajame rašte paaiškina, kokiu mastu tie įverčiai naudojami ir kokios rūšies įverčiai taikomi. Jei įstaigos negali savanorišku ir dvišaliu pagrindu surinkti ar įvertinti atitinkamos informacijos arba negali to padaryti pagrįstu būdu taip, kad nesukeltų per didelės naštos sau ir savo sandorio šalims, jos paaiškina tą faktą prie šablono pridedamame aiškinamajame rašte, nurodydamos priežastis ir susijusias sandorio šalis.</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Kai atskleidžiama informacija susijusi su įmonėmis, kurioms pagal Direktyvą 2013/34/ES informacijos atskleidimo prievolės netaikomos, įskaitant mažąsias ir vidutines įmones (MVĮ), vertindamos bendrosios paskirties skolinimą ir (arba) finansavimą, kurio pajamų panaudojimas nežinomas, įstaigos taiko supaprastintą metodą ir daugiausia dėmesio skiria įmonės pagrindinei ekonominei veiklai, tai yra, pagrindiniam apyvartos šaltiniui, kad nustatytų bendrą pozicijų atitiktį Reglamentui (ES) 2020/852. Specializuoto skolinimo atveju vertinimas grindžiamas tuo, kokiu mastu konkretus finansuojamas projektas laikomas svariai prisidedančiu prie klimato kaitos švelninimo ar prisitaikymo prie jos (konkretaus projekto informacija). </w:t>
            </w:r>
          </w:p>
          <w:p w14:paraId="2FBC7A11" w14:textId="77777777" w:rsidR="00183989" w:rsidRPr="00340D55"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paskolos, užtikrintos komercinės paskirties nekilnojamuoju turtu</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Pozicijos, nurodytos Įgyvendinimo reglamento (ES) 2021/451 V priedo 2 </w:t>
            </w:r>
            <w:r>
              <w:rPr>
                <w:rFonts w:ascii="Times New Roman" w:hAnsi="Times New Roman"/>
                <w:sz w:val="24"/>
              </w:rPr>
              <w:lastRenderedPageBreak/>
              <w:t>dalies 173 punkto a papunktyje ir 239ix punkte.</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Tų pozicijų atitiktis taksonomijai, kaip nurodyta Reglamente (ES) 2020/852, siekiant klimato kaitos švelninimo tikslo vertinama tik taikant supaprastintą metodą pagal pastatų, visų pirma jų renovacijos ir įsigijimo bei nuosavybės, techninės analizės kriterijus pagal Deleguotojo reglamento (ES) 2021/2139 I priedo atitinkamai 7.2, 7.3, 7.4, 7.5, 7.6 ir 7.7 punktus, remiantis pagrindinės užtikrinimo priemonės energijos vartojimo efektyvumu.</w:t>
            </w:r>
          </w:p>
          <w:p w14:paraId="3BADEF70" w14:textId="77777777" w:rsidR="00183989" w:rsidRPr="00340D5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Iš jų: pastatų renovacijos paskolos</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Pastatui renovuoti skirtos paskolos, suteiktos MVĮ ir kitoms ne finansų bendrovėms, kurioms informacijos atskleidimo prievolės pagal Direktyvą 2014/95/ES netaikomos.</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Šių pozicijų atitiktis taksonomijai, kaip nurodyta Reglamente (ES) 2020/852, siekiant klimato kaitos švelninimo tikslo vertinama tik taikant supaprastintą metodą pagal pastatų, visų pirma jų renovacijos ir įsigijimo bei nuosavybės, techninės analizės kriterijus pagal Deleguotojo reglamento (ES) 2021/2139 I priedo atitinkamai 7.2, 7.3, 7.4, 7.5, 7.6 ir 7.7 punktus, remiantis pagrindinės užtikrinimo priemonės energijos vartojimo efektyvumu.</w:t>
            </w:r>
          </w:p>
          <w:p w14:paraId="0F3F5D7F" w14:textId="77777777" w:rsidR="00183989" w:rsidRPr="00340D5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Ne ES ne finansų bendrovės (kurioms netaikomos NIAD informacijos atskleidimo prievolės)</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Pozicijos ne finansų bendrovių, kaip nurodyta Įgyvendinimo reglamento (ES) 2021/451 V priedo 1 dalies 42 punkto e papunktyje, kurios yra ne Sąjungoje ir kurioms informacijos atskleidimo prievolės pagal Direktyvą 2014/95/ES netaikomos, atžvilgiu.</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Kai įstaigos tą informaciją teikia vykdydamos informacijos atskleidimo prievoles pagal Reglamento (ES) 2020/852 8 straipsnį, laikydamosi Deleguotojo reglamento (ES) 2021/2178 7 straipsnio 7 dalies, jos čia atskleidžia tą pačią informaciją. Kitu atveju įstaigos renka informaciją iš savo sandorio šalių dvišaliu pagrindu per paskolos išdavimo procesą ir reguliarios kredito peržiūros ir stebėsenos procesą arba naudoja toliau nurodytus pakaitinius duomenis siekdamos atskleisti informaciją apie ne ES pozicijas, dėdamos visas pastangas:</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tab/>
            </w:r>
            <w:r>
              <w:rPr>
                <w:rFonts w:ascii="Times New Roman" w:hAnsi="Times New Roman"/>
                <w:sz w:val="24"/>
              </w:rPr>
              <w:t>savo pačių modelius ir pozicijų klasifikaciją pagal juos; šiuo atveju įstaigos paaiškina pagrindines taikomų modelių ypatybes;</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tab/>
            </w:r>
            <w:r>
              <w:rPr>
                <w:rFonts w:ascii="Times New Roman" w:hAnsi="Times New Roman"/>
                <w:sz w:val="24"/>
              </w:rPr>
              <w:t xml:space="preserve">kai yra, sandorio šalių viešai atskleistą informaciją pagal tarptautinius standartus (įskaitant TCFD); tuo atveju įstaigos paaiškina, kokios rūšies informacija yra prieinama ir kokie standartai taikomi;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tab/>
            </w:r>
            <w:r>
              <w:rPr>
                <w:rFonts w:ascii="Times New Roman" w:hAnsi="Times New Roman"/>
                <w:sz w:val="24"/>
              </w:rPr>
              <w:t>kitus viešai prieinamus duomenis.</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Prie šio šablono pridedamame aiškinamajame rašte įstaigos turi paaiškinti, kokius šaltinius naudojo šiai informacijai atskleisti. Jei įstaigos negali dvišaliu pagrindu surinkti ar įvertinti atitinkamos informacijos arba negali to padaryti pagrįstu būdu taip, kad nesukeltų per didelės naštos sau ir savo sandorio šalims, jos paaiškina tą faktą prie šablono pridedamame aiškinamajame rašte, </w:t>
            </w:r>
            <w:r>
              <w:rPr>
                <w:rFonts w:ascii="Times New Roman" w:hAnsi="Times New Roman"/>
                <w:sz w:val="24"/>
              </w:rPr>
              <w:lastRenderedPageBreak/>
              <w:t>nurodydamos priežastis ir susijusias sandorio šalis.</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Šios rūšies sandorio šalių atveju vertindamos bendrosios paskirties skolinimą ir (arba) finansavimą, kurio pajamų panaudojimas nežinomas, įstaigos taiko supaprastintą metodą ir daugiausia dėmesio skiria įmonės pagrindinei ekonominei veiklai, tai yra, pagrindiniam apyvartos šaltiniui, kad nustatytų bendrą pozicijų atitiktį Reglamentui (ES) 2020/852. Specializuoto skolinimo atveju vertinimas grindžiamas tuo, kokiu mastu ir kokia dalimi konkretus finansuojamas projektas laikomas svariai prisidedančiu prie klimato kaitos švelninimo ar prisitaikymo prie jos (konkretaus projekto informacija), o nekilnojamojo turto portfelio vertinimas atliekamas klimato kaitos švelninimo tikslo atžvilgiu remiantis pagrindinės užtikrinimo priemonės energijos vartojimo efektyvumu ir jos atitiktimi Reglamente (ES) 2020/852 atitinkamai veiklai nustatytais kriterijais.</w:t>
            </w:r>
          </w:p>
          <w:p w14:paraId="4DEC21F9" w14:textId="77777777" w:rsidR="00183989" w:rsidRPr="00340D5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12 eilutė</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VISAS BATR TURTAS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1, 2 ir 8 eilučių suma</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13–19 eilutės</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Žr. apibrėžtis 7 šablone (41–50 eilutės)</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9.2 šablonas. BATR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Šiame šablone įstaigos gali atskleisti BATR turto, atskleisto 1 šablone, procentinę dalį, palyginti su visu turtu BATR vardiklyje, atskleistu 9.1. šablono 17 eilutėje.</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9.3 šablonas. BATR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Šiame šablone pateikiama BATR PVRR santrauka, išskaidant duomenis pagal klimato kaitos aplinkos tikslą, taip pat bendra suma, ir išskaidant atsargų ir srautų duomenis.</w:t>
      </w:r>
    </w:p>
    <w:p w14:paraId="3FE48325" w14:textId="77777777" w:rsidR="00183989" w:rsidRPr="00340D55"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10 šablonas. Kiti klimato kaitos švelninimo veiksmai, neįtraukti į Reglamentą (ES) 2020/852</w:t>
      </w:r>
    </w:p>
    <w:p w14:paraId="45960278" w14:textId="77777777" w:rsidR="00183989" w:rsidRPr="00340D55"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Šis šablonas apima kitus klimato kaitos švelninimo veiksmus ir įstaigų pozicijas, kurie Reglamente (ES) 2020/852 nurodytų taksonominės veiklos kriterijų neatitinka ir nėra įtraukti į 7 ir 8 šablonus, tačiau vis tiek padeda sandorio šalims perėjimo ir prisitaikymo procese siekiant klimato kaitos švelninimo ir prisitaikymo prie klimato kaitos tikslų. Tie švelninimo veiksmai apima obligacijas ir paskolas, išleistas ir suteiktas pagal kitus standartus nei Sąjungos standartai, įskaitant žaliąsias obligacijas; tvarias obligacijas, susietas su klimato kaitos aspektais; su tvarumu susijusias obligacijas, susietas su klimato kaitos aspektais; žaliąsias paskolas; su tvarumu susijusias paskolas, susietas su klimato kaitos aspektais; su tvarumu susijusias paskolas, susietas su klimato kaitos aspektais.</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Įstaigos į aiškinamąjį raštą, pridedamą prie šio šablono, įtraukia išsamų paaiškinimą apie šiame šablone nurodytų švelninimo veiksmų pobūdį ir rūšį, įskaitant informaciją apie rizikos, kurią jos siekia mažinti, rūšį, klimato kaitos tikslus, kuriuos jos remia, ir informaciją apie susijusias sandorio šalis ir veiksmų laiką. Jos taip pat paaiškina, kodėl tos pozicijos ne visiškai atitinka Reglamente (ES) 2020/852 nustatytus kriterijus ir nėra tvarios </w:t>
      </w:r>
      <w:r>
        <w:rPr>
          <w:rFonts w:ascii="Times New Roman" w:hAnsi="Times New Roman"/>
          <w:sz w:val="24"/>
        </w:rPr>
        <w:lastRenderedPageBreak/>
        <w:t>pagal Reglamentą (ES) 2020/852, tačiau vis tiek prisideda prie su klimato kaita susijusios pertvarkos rizikos arba fizinės rizikos mažinimo, taip pat pateikia visą kitą svarbią informaciją, kuri gali padėti suprasti įstaigos rizikos valdymo sistemą.</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Įstaigos pradeda atskleisti į šablonus įtrauktą informaciją, kurios pirmoji informacijos atskleidimo ataskaitinė data yra 2022 m. gruodžio 31 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Skiltys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Nurodymai</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Finansinės priemonės rūšis</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finansinių priemonių rūšį, kaip nurodyta Įgyvendinimo reglamento (ES) 2021/451 V priede.</w:t>
            </w:r>
          </w:p>
          <w:p w14:paraId="3D74D2CE" w14:textId="77777777" w:rsidR="00183989" w:rsidRPr="00340D55"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Sandorio šalies rūšis</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sandorio šalies rūšį, kaip nurodyta Įgyvendinimo reglamento (ES) 2021/451 V priedo 1 dalies 42 punkte.</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Bendra balansinė vertė (mln.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Įstaigos atskleidžia bendrą balansinę vertę, kaip nurodyta Įgyvendinimo reglamento (ES) 2021/451 V priedo 1 dalies 34 punkte.</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Mažinamos rizikos rūšis (su klimato kaita susijusi pertvarkos rizika)</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Įstaigos atskleidžia rizikos, kuri mažinama tuo veiksmu, rūšį: su klimato kaita susijusi pertvarkos rizika.</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Mažinamos rizikos rūšis (su klimato kaita susijusi fizinė rizika)</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Įstaigos atskleidžia rizikos, kuri mažinama tuo veiksmu, rūšį: su klimato kaita susijusi fizinė rizika.</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Kokybinė informacija apie švelninimo veiksmų pobūdį</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Įstaigos aprašo švelninimo veiksmų, kuriais prisidedama prie klimato kaitos švelninimo, kaip nurodyta Reglamento (ES) 2020/852 10 straipsnyje, ir prie prisitaikymo prie klimato kaitos, kaip nurodyta to reglamento 11 straipsnyje, pobūdį ir priežastis, kodėl pozicijos nelaikomos atitinkančiomis taksonominės veiklos kriterijus ŽTR tikslu.</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tab/>
      </w:r>
      <w:r>
        <w:rPr>
          <w:rFonts w:ascii="Times New Roman" w:hAnsi="Times New Roman"/>
          <w:sz w:val="20"/>
        </w:rPr>
        <w:t>OL L 282, 2016 10 19, p.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tab/>
      </w:r>
      <w:r>
        <w:rPr>
          <w:rFonts w:ascii="Times New Roman" w:hAnsi="Times New Roman"/>
          <w:sz w:val="20"/>
        </w:rPr>
        <w:t xml:space="preserve">COM(2019) 640 </w:t>
      </w:r>
      <w:r>
        <w:rPr>
          <w:rFonts w:ascii="Times New Roman" w:hAnsi="Times New Roman"/>
          <w:i/>
          <w:iCs/>
          <w:sz w:val="20"/>
        </w:rPr>
        <w:t>final</w:t>
      </w:r>
      <w:r>
        <w:rPr>
          <w:rFonts w:ascii="Times New Roman" w:hAnsi="Times New Roman"/>
          <w:sz w:val="20"/>
        </w:rPr>
        <w:t>.</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tab/>
      </w:r>
      <w:r>
        <w:rPr>
          <w:rFonts w:ascii="Times New Roman" w:hAnsi="Times New Roman"/>
          <w:sz w:val="20"/>
        </w:rPr>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tab/>
      </w:r>
      <w:r>
        <w:rPr>
          <w:rFonts w:ascii="Times New Roman" w:hAnsi="Times New Roman"/>
          <w:sz w:val="20"/>
        </w:rPr>
        <w:t>2014 m. spalio 22 d. Europos Parlamento ir Tarybos direktyva 2014/95/ES, kuria iš dalies keičiamos Direktyvos 2013/34/ES nuostatos dėl tam tikrų didžiųjų įmonių ir grupių nefinansinės ir įvairovės informacijos atskleidimo, (OL L 330, 2014 11 15, p.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tab/>
      </w:r>
      <w:r>
        <w:rPr>
          <w:rFonts w:ascii="Times New Roman" w:hAnsi="Times New Roman"/>
          <w:sz w:val="20"/>
        </w:rPr>
        <w:t>C/2019/4490 (OL C 209, 2019 6 20, p.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tab/>
      </w:r>
      <w:r>
        <w:rPr>
          <w:rFonts w:ascii="Times New Roman" w:hAnsi="Times New Roman"/>
          <w:sz w:val="20"/>
        </w:rPr>
        <w:t xml:space="preserve">Su klimatu susijusios finansinės informacijos atskleidimo darbo grupės rekomendacijos,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tab/>
      </w:r>
      <w:r>
        <w:rPr>
          <w:rFonts w:ascii="Times New Roman" w:hAnsi="Times New Roman"/>
          <w:sz w:val="20"/>
        </w:rPr>
        <w:t xml:space="preserve">Jungtinių Tautų aplinkos programos finansų iniciatyva (angl. UNEP FI),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lastRenderedPageBreak/>
        <w:t>*8</w:t>
      </w:r>
      <w:r>
        <w:tab/>
      </w:r>
      <w:r>
        <w:rPr>
          <w:rFonts w:ascii="Times New Roman" w:hAnsi="Times New Roman"/>
          <w:sz w:val="20"/>
        </w:rPr>
        <w:t xml:space="preserve">Pasaulinės atsiskaitymo iniciatyvos informacijos apie tvarumą teikimo standartai,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tab/>
      </w:r>
      <w:r>
        <w:rPr>
          <w:rFonts w:ascii="Times New Roman" w:hAnsi="Times New Roman"/>
          <w:sz w:val="20"/>
        </w:rPr>
        <w:t xml:space="preserve">Jungtinių Tautų atsakingo investavimo principai (angl. UNPRI),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tab/>
      </w:r>
      <w:r>
        <w:rPr>
          <w:rFonts w:ascii="Times New Roman" w:hAnsi="Times New Roman"/>
          <w:sz w:val="20"/>
        </w:rPr>
        <w:t>2013 m. birželio 26 d. Europos Parlamento ir Tarybos direktyva 2013/36/ES dėl galimybės verstis kredito įstaigų veikla ir dėl riziką ribojančios kredito įstaigų priežiūros, kuria iš dalies keičiama Direktyva 2002/87/EB ir panaikinamos direktyvos 2006/48/EB bei 2006/49/EB, (OL L 176, 2013 6 27, p.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tab/>
      </w:r>
      <w:r>
        <w:rPr>
          <w:rFonts w:ascii="Times New Roman" w:hAnsi="Times New Roman"/>
          <w:sz w:val="20"/>
        </w:rPr>
        <w:t>2006 m. gruodžio 20 d. Europos Parlamento ir Tarybos reglamentas (EB) Nr. 1893/2006, nustatantis statistinį ekonominės veiklos rūšių klasifikatorių NACE 2 red. ir iš dalies keičiantis Tarybos reglamentą (EEB) Nr. 3037/90 bei tam tikrus EB reglamentus dėl konkrečių statistikos sričių, (OL L 393, 2006 12 30, p.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tab/>
      </w:r>
      <w:r>
        <w:rPr>
          <w:rFonts w:ascii="Times New Roman" w:hAnsi="Times New Roman"/>
          <w:sz w:val="20"/>
        </w:rPr>
        <w:t>2020 m. liepos 17 d. Komisijos deleguotasis reglamentas (ES) 2020/1818, kuriuo Europos Parlamento ir Tarybos reglamentas (ES) 2016/1011 papildomas ES prisitaikymo prie klimato kaitos lyginamųjų indeksų ir ES su Paryžiaus susitarimu suderintų lyginamųjų indeksų minimaliaisiais standartais, (OL L 406, 2020 12 3, p.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tab/>
      </w:r>
      <w:r>
        <w:rPr>
          <w:rFonts w:ascii="Times New Roman" w:hAnsi="Times New Roman"/>
          <w:sz w:val="20"/>
        </w:rPr>
        <w:t>1986 m. gruodžio 8 d. Tarybos direktyva 86/635/EEB dėl bankų ir kitų finansų įstaigų metinės finansinės atskaitomybės ir konsoliduotos finansinės atskaitomybės (OL L 372, 1986 12 31, p.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tab/>
      </w:r>
      <w:r>
        <w:rPr>
          <w:rFonts w:ascii="Times New Roman" w:hAnsi="Times New Roman"/>
          <w:sz w:val="20"/>
        </w:rPr>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tab/>
      </w:r>
      <w:r>
        <w:rPr>
          <w:rFonts w:ascii="Times New Roman" w:hAnsi="Times New Roman"/>
          <w:sz w:val="20"/>
        </w:rPr>
        <w:t>2010 m. gegužės 19 d. Europos Parlamento ir Tarybos direktyva 2010/31/ES dėl pastatų energinio naudingumo (OL L 153, 2010 6 18, p.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tab/>
      </w:r>
      <w:r>
        <w:rPr>
          <w:rFonts w:ascii="Times New Roman" w:hAnsi="Times New Roman"/>
          <w:sz w:val="20"/>
        </w:rPr>
        <w:t>2012 m. spalio 25 d. Europos Parlamento ir Tarybos direktyva 2012/27/ES dėl energijos vartojimo efektyvumo, kuria iš dalies keičiamos direktyvos 2009/125/EB ir 2010/30/ES bei kuria panaikinamos direktyvos 2004/8/EB ir 2006/32/EB, (OL L 315, 2012 11 14, p.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tab/>
      </w:r>
      <w:r>
        <w:rPr>
          <w:rFonts w:ascii="Times New Roman" w:hAnsi="Times New Roman"/>
          <w:sz w:val="20"/>
        </w:rPr>
        <w:t xml:space="preserve">Net Zero Emissions by 2050 Scenario (NZE) – IEA (2021), World Energy Model, IEA, Paryžius, </w:t>
      </w:r>
      <w:hyperlink r:id="rId12" w:history="1">
        <w:r>
          <w:rPr>
            <w:rStyle w:val="Hyperlink"/>
            <w:rFonts w:ascii="Times New Roman" w:hAnsi="Times New Roman"/>
            <w:sz w:val="20"/>
          </w:rPr>
          <w:t>https://www.iea.org/reports/world-energy-model</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tab/>
      </w:r>
      <w:r>
        <w:rPr>
          <w:rFonts w:ascii="Times New Roman" w:hAnsi="Times New Roman"/>
          <w:sz w:val="20"/>
        </w:rPr>
        <w:t xml:space="preserve">2021 m. ataskaitą galima rasti paspaudus šią </w:t>
      </w:r>
      <w:hyperlink r:id="rId13" w:history="1">
        <w:r>
          <w:rPr>
            <w:rStyle w:val="Hyperlink"/>
            <w:rFonts w:ascii="Times New Roman" w:hAnsi="Times New Roman"/>
            <w:sz w:val="20"/>
          </w:rPr>
          <w:t>nuorodą</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tab/>
      </w:r>
      <w:r>
        <w:rPr>
          <w:rFonts w:ascii="Times New Roman" w:hAnsi="Times New Roman"/>
          <w:sz w:val="20"/>
        </w:rPr>
        <w:t xml:space="preserve">Daugiau pavyzdžių pateikta UNEP FI ir </w:t>
      </w:r>
      <w:r>
        <w:rPr>
          <w:rFonts w:ascii="Times New Roman" w:hAnsi="Times New Roman"/>
          <w:i/>
          <w:iCs/>
          <w:sz w:val="20"/>
        </w:rPr>
        <w:t>Acclimatise</w:t>
      </w:r>
      <w:r>
        <w:rPr>
          <w:rFonts w:ascii="Times New Roman" w:hAnsi="Times New Roman"/>
          <w:sz w:val="20"/>
        </w:rPr>
        <w:t xml:space="preserve"> ataskaitoje „Chartering New Climate. State-of-the-art tools and data for banks to assess credit risks and opportunities from physical climate change impacts“, 2020 m. rugsėjo mėn.,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xml:space="preserve"> Ataskaitoje pateikiama išsami informacija apie apimamus laikotarpius, ateities scenarijų naudojimą, erdvinę skiriamąją gebą ir aprėptį, iš atitinkamų duomenų rinkinių gautinų rezultatų formatą, taip pat licencijavimą ir išlaidas (atkreipkite dėmesį, kad dauguma portalų ir duomenų bazių yra laisvai prieinami). Be to, ataskaitoje išsamiau aprašomi skirtingi fizinės rizikos vertinimo ir matavimo metodai, kaip antai spalvų intensyvumo žemėlapis, koreliacijos analizė, specialios priemonės ir analizės.</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tab/>
      </w:r>
      <w:r>
        <w:rPr>
          <w:rFonts w:ascii="Times New Roman" w:hAnsi="Times New Roman"/>
          <w:sz w:val="20"/>
        </w:rPr>
        <w:t>2021 m. liepos 6 d. Komisijos deleguotasis reglamentas (ES) 2021/2178, kuriuo Europos Parlamento ir Tarybos reglamentas (ES) 2020/852 papildomas nustatant įmonių, kurioms taikomas Direktyvos 2013/34/ES 19a arba 29a straipsnis, atskleistinos informacijos apie aplinkos atžvilgiu tvarią veiklą turinį bei pateikimą ir nustatant metodiką, taikytiną vykdant tą informacijos atskleidimo prievolę, (OL L 443, 2021 12 10, p. 9).</w:t>
      </w:r>
    </w:p>
    <w:p w14:paraId="7B63B872" w14:textId="77777777" w:rsidR="00183989" w:rsidRPr="00755439" w:rsidRDefault="00183989" w:rsidP="00183989">
      <w:pPr>
        <w:ind w:left="567" w:hanging="567"/>
        <w:jc w:val="both"/>
        <w:rPr>
          <w:rFonts w:ascii="Times New Roman" w:hAnsi="Times New Roman"/>
          <w:sz w:val="20"/>
        </w:rPr>
      </w:pPr>
      <w:r w:rsidRPr="00755439">
        <w:rPr>
          <w:rFonts w:ascii="Times New Roman" w:hAnsi="Times New Roman"/>
          <w:sz w:val="20"/>
        </w:rPr>
        <w:t>*22</w:t>
      </w:r>
      <w:r w:rsidRPr="00755439">
        <w:rPr>
          <w:rFonts w:ascii="Times New Roman" w:hAnsi="Times New Roman"/>
          <w:sz w:val="20"/>
        </w:rPr>
        <w:tab/>
        <w:t>2021 m. birželio 4 d. Komisijos deleguotasis reglamentas (ES) 2021/2139, kuriuo Europos Parlamento ir Tarybos reglamentas (ES) 2020/852 papildomas nustatant techninės analizės kriterijus, pagal kuriuos nustatoma, kokiomis sąlygomis ekonominė veikla laikoma svariai prisidedančia prie klimato kaitos švelninimo arba prisitaikymo prie jos ir ar ta ekonominė veikla nedaro reikšmingos žalos kitiems aplinkos tikslams, (OL L 442, 2021 12 9, p. 1).</w:t>
      </w:r>
    </w:p>
    <w:p w14:paraId="6FD0C4F3" w14:textId="77777777" w:rsidR="00E240EE" w:rsidRPr="00755439" w:rsidRDefault="00E240EE">
      <w:pPr>
        <w:rPr>
          <w:rFonts w:ascii="Times New Roman" w:hAnsi="Times New Roman"/>
          <w:sz w:val="20"/>
        </w:rPr>
      </w:pPr>
    </w:p>
    <w:sectPr w:rsidR="00E240EE" w:rsidRPr="00755439"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D5ECE" w14:textId="77777777" w:rsidR="0026373F" w:rsidRDefault="0026373F">
      <w:r>
        <w:separator/>
      </w:r>
    </w:p>
  </w:endnote>
  <w:endnote w:type="continuationSeparator" w:id="0">
    <w:p w14:paraId="0E884CAC" w14:textId="77777777" w:rsidR="0026373F" w:rsidRDefault="00263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AF398" w14:textId="77777777" w:rsidR="0026373F" w:rsidRDefault="0026373F">
      <w:r>
        <w:separator/>
      </w:r>
    </w:p>
  </w:footnote>
  <w:footnote w:type="continuationSeparator" w:id="0">
    <w:p w14:paraId="21E1476C" w14:textId="77777777" w:rsidR="0026373F" w:rsidRDefault="00263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755439">
    <w:pPr>
      <w:pStyle w:val="Header"/>
    </w:pPr>
    <w:r>
      <w:pict w14:anchorId="47C7C94C">
        <v:shapetype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755439">
    <w:pPr>
      <w:pStyle w:val="Header"/>
    </w:pPr>
    <w:r>
      <w:pict w14:anchorId="260D80EA">
        <v:shapetype id="_x0000_t202" coordsize="21600,21600" o:spt="202" path="m,l,21600r21600,l21600,xe">
          <v:stroke joinstyle="miter"/>
          <v:path gradientshapeok="t" o:connecttype="rect"/>
        </v:shapetype>
        <v:shape id="Text Box 4" o:spid="_x0000_s1025"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25CE9"/>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6373F"/>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0D55"/>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52F9B"/>
    <w:rsid w:val="00666009"/>
    <w:rsid w:val="00690B62"/>
    <w:rsid w:val="006E036B"/>
    <w:rsid w:val="006E1AED"/>
    <w:rsid w:val="006E3D74"/>
    <w:rsid w:val="006F3E70"/>
    <w:rsid w:val="007005D8"/>
    <w:rsid w:val="00710C86"/>
    <w:rsid w:val="00735613"/>
    <w:rsid w:val="00736B6B"/>
    <w:rsid w:val="0074313A"/>
    <w:rsid w:val="00747E54"/>
    <w:rsid w:val="00755439"/>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1437"/>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lt-LT"/>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lt-LT"/>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lt-LT"/>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lt-LT"/>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lt-LT"/>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lt-LT"/>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lt-LT"/>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lt-LT"/>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lt-LT"/>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lt-LT"/>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lt-LT"/>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lt-LT"/>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lt-LT"/>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lt-LT"/>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lt-LT"/>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lt-LT"/>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lt-LT"/>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lt-LT"/>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lt-LT"/>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lt-LT"/>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lt-LT"/>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725192-DF67-4C13-9B42-706F208629F0}"/>
</file>

<file path=customXml/itemProps2.xml><?xml version="1.0" encoding="utf-8"?>
<ds:datastoreItem xmlns:ds="http://schemas.openxmlformats.org/officeDocument/2006/customXml" ds:itemID="{1E5CC176-2C2C-41BD-AA54-027B6C012679}"/>
</file>

<file path=customXml/itemProps3.xml><?xml version="1.0" encoding="utf-8"?>
<ds:datastoreItem xmlns:ds="http://schemas.openxmlformats.org/officeDocument/2006/customXml" ds:itemID="{120F775F-DBC0-4443-B11E-8536EA5DE554}"/>
</file>

<file path=docProps/app.xml><?xml version="1.0" encoding="utf-8"?>
<Properties xmlns="http://schemas.openxmlformats.org/officeDocument/2006/extended-properties" xmlns:vt="http://schemas.openxmlformats.org/officeDocument/2006/docPropsVTypes">
  <Template>Normal.dotm</Template>
  <TotalTime>34</TotalTime>
  <Pages>46</Pages>
  <Words>18411</Words>
  <Characters>104949</Characters>
  <Application>Microsoft Office Word</Application>
  <DocSecurity>0</DocSecurity>
  <Lines>2186</Lines>
  <Paragraphs>956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MONKUNAS Vytautas (DGT)</cp:lastModifiedBy>
  <cp:revision>7</cp:revision>
  <dcterms:created xsi:type="dcterms:W3CDTF">2024-06-28T09:37:00Z</dcterms:created>
  <dcterms:modified xsi:type="dcterms:W3CDTF">2024-10-18T15:58:00Z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