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E59E" w14:textId="77777777" w:rsidR="00965CEB" w:rsidRPr="007F4CC8" w:rsidRDefault="00965CEB" w:rsidP="00965CEB">
      <w:pPr>
        <w:pStyle w:val="Annexetitre"/>
        <w:spacing w:after="240"/>
        <w:rPr>
          <w:u w:val="none"/>
        </w:rPr>
      </w:pPr>
      <w:r>
        <w:rPr>
          <w:u w:val="none"/>
        </w:rPr>
        <w:t>PŘÍLOHA XXXIV – Pokyny k šablonám pro zveřejňování informací o zásadách odměňování</w:t>
      </w:r>
    </w:p>
    <w:p w14:paraId="27BC952C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  <w:lang w:val="en-GB"/>
        </w:rPr>
      </w:pPr>
    </w:p>
    <w:p w14:paraId="08B38A5D" w14:textId="77777777" w:rsidR="00965CEB" w:rsidRPr="00DD0C4D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Tabulka EU REMA – Zásady odměňování: </w:t>
      </w:r>
      <w:r>
        <w:rPr>
          <w:rFonts w:ascii="Times New Roman" w:hAnsi="Times New Roman"/>
          <w:color w:val="auto"/>
          <w:sz w:val="24"/>
        </w:rPr>
        <w:t>Flexibilní formát</w:t>
      </w:r>
    </w:p>
    <w:p w14:paraId="6ACFB470" w14:textId="1A85C375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Informace uvedené v čl. 450 odst. 1 písm. a), b), c), d), e), f), j) a k) a čl. 450 odst. 2 CRR</w:t>
      </w:r>
      <w:r w:rsidRPr="007F4CC8"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  <w:footnoteReference w:id="1"/>
      </w:r>
      <w:r>
        <w:rPr>
          <w:rFonts w:ascii="Times New Roman" w:hAnsi="Times New Roman"/>
          <w:color w:val="auto"/>
          <w:sz w:val="24"/>
        </w:rPr>
        <w:t xml:space="preserve"> zpřístupňují instituce podle následujících pokynů k vyplnění tabulky EU REMA, obsažené v příloze XXXIII IT řešení orgánu EBA.</w:t>
      </w:r>
    </w:p>
    <w:p w14:paraId="3D4A1A0C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Tato tabulka má flexibilní formát. V případě, že instituce použijí jiný formát, poskytnou informace srovnatelné s informacemi požadovanými v této tabulce, s podobnou úrovní členění a včetně všech požadovaných podstatných informací.</w:t>
      </w:r>
    </w:p>
    <w:p w14:paraId="5ED60910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Pro účely této tabulky a šablon vysvětlených v této příloze se přiznáním rozumí poskytnutí pohyblivé složky odměny za určité akruální období bez ohledu na okamžik, kdy je přiznaná částka skutečně vyplacena.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6548A600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268852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65CEB" w:rsidRPr="007F4CC8" w14:paraId="284F051F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F1543A4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D0A4CC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366273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606" w14:textId="72CD0925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42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Informace týkající se orgánů, jež dohlíží na odměňování. včetně:</w:t>
            </w:r>
          </w:p>
          <w:p w14:paraId="1488B17D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názvu, složení a mandátu hlavního orgánu (vedoucího orgánu, resp. výboru pro odměňování, byl-li zřízen), který dohlíží na uplatňování zásad odměňování, a kolikrát v daném účetním období zasedal,</w:t>
            </w:r>
          </w:p>
          <w:p w14:paraId="5B0DD549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informací o externích poradcích, kteří v souvislosti se zásadami odměňování poskytli poradenství, o tom, který orgán si jejich služby vyžádal a které oblasti rámce odměňování se poradenství týkalo,</w:t>
            </w:r>
          </w:p>
          <w:p w14:paraId="3CBC394C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popisu působnosti zásad odměňování dané instituce (např. podle regionů, předmětu činnosti), a do jaké míry platí i pro její dceřiné společnosti a pobočky ve třetích zemích,</w:t>
            </w:r>
          </w:p>
          <w:p w14:paraId="1BEEE20B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popisu pracovníků či kategorií pracovníků, jejichž pracovní činnosti mají podstatný dopad na rizikový profil instituce (vybraní zaměstnanci).</w:t>
            </w:r>
          </w:p>
        </w:tc>
      </w:tr>
      <w:tr w:rsidR="00965CEB" w:rsidRPr="007F4CC8" w14:paraId="2FEF2CF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A1C" w14:textId="3EE4B824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37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Informace týkající se koncepce a struktury systému odměňování vybraných zaměstnanců, včetně:</w:t>
            </w:r>
          </w:p>
          <w:p w14:paraId="363C45D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přehledu hlavních rysů a cílů zásad odměňování a informací o tom, jaký rozhodovací proces byl použit pro jejich stanovení a jaké jsou úlohy příslušných zainteresovaných subjektů (např. valná hromada akcionářů),</w:t>
            </w:r>
          </w:p>
          <w:p w14:paraId="415080E8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informací o kritériích používaných k měření výkonnosti a při předem stanovených a následných úpravách po zohlednění rizik,</w:t>
            </w:r>
          </w:p>
          <w:p w14:paraId="486E0D69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informace, zda vedoucí orgán nebo výbor pro odměňování (pokud byl zřízen) během uplynulého roku zásady odměňování instituce </w:t>
            </w:r>
            <w:r>
              <w:rPr>
                <w:rFonts w:ascii="Times New Roman" w:hAnsi="Times New Roman"/>
                <w:sz w:val="24"/>
              </w:rPr>
              <w:lastRenderedPageBreak/>
              <w:t>přezkoumal, a pokud ano, přehled provedených změn, důvodů k nim a jejich dopad na odměny,</w:t>
            </w:r>
          </w:p>
          <w:p w14:paraId="410559C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informací o tom, jakým způsobem instituce zajišťuje, aby pracovníci zastávající funkce interní kontroly byli odměňováni nezávisle na obchodních útvarech, nad nimiž vykonávají dohled,</w:t>
            </w:r>
          </w:p>
          <w:p w14:paraId="0551D89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zásad a kritérií poskytování zaručené pohyblivé složky odměny a přiznávání odstupného.</w:t>
            </w:r>
          </w:p>
        </w:tc>
      </w:tr>
      <w:tr w:rsidR="00965CEB" w:rsidRPr="007F4CC8" w14:paraId="6A1C951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3B9" w14:textId="677925E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39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Popis, jak jsou ve způsobech odměňování zohledňována stávající a budoucí rizika </w:t>
            </w:r>
          </w:p>
          <w:p w14:paraId="5A14C6D4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Zpřístupňované informace zahrnují přehled hlavních rizik, jejich měření a jejich dopad na odměňování.</w:t>
            </w:r>
          </w:p>
        </w:tc>
      </w:tr>
      <w:tr w:rsidR="00965CEB" w:rsidRPr="007F4CC8" w14:paraId="7E128A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01" w14:textId="2DAFED2E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53C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Poměry mezi stálou a pohyblivou složkou odměny stanovené podle čl. 94 odst. 1 písm. g) směrnice (EU) 2013/36 (dále jen „CRD“)</w:t>
            </w:r>
            <w:r w:rsidRPr="007F4CC8">
              <w:rPr>
                <w:rStyle w:val="FootnoteReference"/>
                <w:rFonts w:ascii="Times New Roman" w:hAnsi="Times New Roman"/>
                <w:sz w:val="24"/>
              </w:rPr>
              <w:footnoteReference w:id="2"/>
            </w:r>
          </w:p>
        </w:tc>
      </w:tr>
      <w:tr w:rsidR="00965CEB" w:rsidRPr="007F4CC8" w14:paraId="55F04AE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3B" w14:textId="512AC484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F48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způsobu, jakým instituce zajišťuje provázanost výkonnosti během období měření výkonnosti s úrovní odměn,</w:t>
            </w:r>
          </w:p>
          <w:p w14:paraId="2C4FFE4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včetně:</w:t>
            </w:r>
          </w:p>
          <w:p w14:paraId="13DAA83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přehledu hlavních kritérií a ukazatelů výkonnosti instituce, obchodních útvarů a jednotlivců,</w:t>
            </w:r>
          </w:p>
          <w:p w14:paraId="4673DED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přehledu provázanosti výše jednotlivých pohyblivých složek odměny s výkonností instituce jako celku a výkonností jednotlivce,</w:t>
            </w:r>
          </w:p>
          <w:p w14:paraId="66395D1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kritérií používaných ke stanovení rovnováhy mezi různými druhy poskytovaných nástrojů, jako jsou akcie, rovnocenné vlastnické podíly, opce a další,</w:t>
            </w:r>
          </w:p>
          <w:p w14:paraId="41B4F38D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informace o opatřeních, která instituce provede pro úpravu pohyblivé složky odměny v případě, že je výkonnostní ukazatel slabý, včetně kritérií instituce pro stanovení výkonnostních ukazatelů, pokud jsou výkonnostní ukazatelé považovány za „slabé“. V souladu s čl. 94 odst. 1 písm. n) CRD musí být pohyblivá složka odměny, která má být vyplacena nebo přiznána, odůvodněna na základě výsledků instituce, obchodního útvaru a dotyčného jednotlivce. Instituce vysvětlí kritéria / prahové hodnoty, podle nichž určuje, že výkonnost je slabá, a jež neopravňují k vyplacení nebo přiznání pohyblivé složky odměny.</w:t>
            </w:r>
          </w:p>
        </w:tc>
      </w:tr>
      <w:tr w:rsidR="00965CEB" w:rsidRPr="007F4CC8" w14:paraId="1F6FE8C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238" w14:textId="70C1EEBE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A8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způsobu, jakým instituce upravuje odměny tak, aby zohledňovaly dlouhodobou výkonnost,</w:t>
            </w:r>
          </w:p>
          <w:p w14:paraId="6FD7FDE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včetně:</w:t>
            </w:r>
          </w:p>
          <w:p w14:paraId="4C34D32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přehledu zásad instituce týkajících se oddálení nároku na pohyblivou složku odměny, výplaty v podobě nástrojů, období zadržování a kritérií pro její přiznání, včetně případů, kdy se </w:t>
            </w:r>
            <w:proofErr w:type="gramStart"/>
            <w:r>
              <w:rPr>
                <w:rFonts w:ascii="Times New Roman" w:hAnsi="Times New Roman"/>
                <w:sz w:val="24"/>
              </w:rPr>
              <w:t>liší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pro jednotlivé pracovníky nebo kategorie pracovníků,</w:t>
            </w:r>
          </w:p>
          <w:p w14:paraId="21961ED2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kritérií instituce pro úpravy ex post (malus během oddálení a zpětné vymáhání po přiznání, pokud to vnitrostátní právo umožňuje),</w:t>
            </w:r>
          </w:p>
          <w:p w14:paraId="17291DF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 relevantních případech požadavky na držení podílů, jež mohou být uvaleny na vybrané zaměstnance.</w:t>
            </w:r>
          </w:p>
        </w:tc>
      </w:tr>
      <w:tr w:rsidR="00965CEB" w:rsidRPr="007F4CC8" w14:paraId="67C1F1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FF2" w14:textId="5AF0D35A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57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hlavních parametrů a zdůvodnění všech systémů pohyblivých složek odměny a dalších nepeněžních výhod podle čl. 450 odst. 1 písm. f) CRR, včetně:</w:t>
            </w:r>
          </w:p>
          <w:p w14:paraId="41EACCD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informací o specifických rizicích / zvláštních ukazatelích výkonnosti používaných ke stanovení pohyblivé složky odměny a kritérií používaných ke stanovení rovnováhy mezi různými druhy poskytovaných nástrojů, jako jsou akcie, rovnocenné vlastnické podíly, nástroje navázané na akcie, rovnocenné nepeněžní nástroje, opce a další.</w:t>
            </w:r>
          </w:p>
        </w:tc>
      </w:tr>
      <w:tr w:rsidR="00965CEB" w:rsidRPr="007F4CC8" w14:paraId="1226A1B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D91" w14:textId="63E905ED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F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 žádost příslušného členského státu nebo příslušného orgánu celková odměna každého člena vedoucího orgánu nebo vrcholného vedení podle čl. 450 odst. 1 písm. j) CRR.</w:t>
            </w:r>
          </w:p>
        </w:tc>
      </w:tr>
      <w:tr w:rsidR="00965CEB" w:rsidRPr="007F4CC8" w14:paraId="55274E1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305" w14:textId="7D9533F4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i)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0BF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Informace o tom, zda instituce využívá odchylky stanovené v čl. 94 odst. 3 CRD, jak je uvedeno v čl. 450 odst. 1 písm. k) CRR</w:t>
            </w:r>
          </w:p>
          <w:p w14:paraId="43880B5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 účely tohoto bodu uvedou instituce, které takové odchylky využívají, zda tak činí na základě čl. 94 odst. 3 písmene a) nebo b) CRD. Uvedou rovněž, u kterých požadavků na odměňování uplatňují odchylku (odchylky), (tj. čl. 94 odst. 1 písm. l) a/nebo m) a/nebo o) CRD), počet zaměstnanců, kteří využívají odchylku (odchylky), a jejich celkovou odměnu rozdělenou na pevnou a pohyblivou složku odměny.</w:t>
            </w:r>
          </w:p>
        </w:tc>
      </w:tr>
      <w:tr w:rsidR="00965CEB" w:rsidRPr="007F4CC8" w14:paraId="2297665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126" w14:textId="5FF71631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2D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Velké instituce zpřístupní rovněž kvantitativní informace o odměňování svého kolektivního vedoucího orgánu v členění na výkonné a nevýkonné členy v souladu s čl. 450 odst. 2 CRR.</w:t>
            </w:r>
          </w:p>
        </w:tc>
      </w:tr>
    </w:tbl>
    <w:p w14:paraId="253E4D29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22D5CA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D70938D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12D97B04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3C51066B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REM1 – Výše odměn v účetním období: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0B701908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Při vyplňování šablony EU REM1, obsažené v příloze XXXIII tohoto prováděcího nařízení, pro účely čl. 450 odst. 1 písm. h) bodů i) až ii) CRR se instituce řídí níže uvedenými pokyny.</w:t>
      </w:r>
    </w:p>
    <w:p w14:paraId="667CF96F" w14:textId="77777777" w:rsidR="00965CEB" w:rsidRPr="002A6596" w:rsidRDefault="00965CEB" w:rsidP="00965CEB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88485A9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9F3A2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65CEB" w:rsidRPr="007F4CC8" w14:paraId="6BE5DB3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088F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6C181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796E366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0AB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a 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E45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Počet vybraných zaměstnanců</w:t>
            </w:r>
          </w:p>
          <w:p w14:paraId="23AE869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Počet zaměstnanců, jejichž pracovní činnosti mají podstatný dopad na rizikový profil institucí v souladu s článkem 92 CRD a nařízením Komise v </w:t>
            </w:r>
            <w:r>
              <w:rPr>
                <w:rFonts w:ascii="Times New Roman" w:hAnsi="Times New Roman"/>
                <w:sz w:val="24"/>
              </w:rPr>
              <w:lastRenderedPageBreak/>
              <w:t>přenesené pravomoci o vybraných zaměstnancích</w:t>
            </w:r>
            <w:r w:rsidRPr="007F4CC8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, kterým se provádí čl. 94 odst. 2 CRD (dále jen „vybraní zaměstnanci“), a kteří jsou příjemci složek odměn uvedených v této šabloně. Vypočítá se pomocí přístupu FTE (ekvivalent plného pracovního úvazku) pro vybrané zaměstnance jiné než členy vedoucího orgánu, kde se čísla uvádějí jako počet zaměstnanců.</w:t>
            </w:r>
          </w:p>
        </w:tc>
      </w:tr>
      <w:tr w:rsidR="00965CEB" w:rsidRPr="007F4CC8" w14:paraId="6023846F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0EAC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9CB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Pevná složka odměny celkem</w:t>
            </w:r>
          </w:p>
          <w:p w14:paraId="03654C0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v řádcích 3 až 7 této šablony</w:t>
            </w:r>
          </w:p>
        </w:tc>
      </w:tr>
      <w:tr w:rsidR="00965CEB" w:rsidRPr="007F4CC8" w14:paraId="5807918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DE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D5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peněžitá</w:t>
            </w:r>
          </w:p>
          <w:p w14:paraId="1A2351D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peněžité odměny v rámci pevné odměny</w:t>
            </w:r>
          </w:p>
        </w:tc>
      </w:tr>
      <w:tr w:rsidR="00965CEB" w:rsidRPr="007F4CC8" w14:paraId="7596F3C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BB8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4a</w:t>
            </w:r>
            <w:proofErr w:type="gram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77C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akcie nebo rovnocenné vlastnické podíly</w:t>
            </w:r>
          </w:p>
          <w:p w14:paraId="14E3789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akcií nebo rovnocenných vlastnických podílů, s výhradou právní struktury dotčené instituce uvedené v čl. 94 odst. 1 písm. l) bodě i) CRD, v rámci pevné odměny.</w:t>
            </w:r>
          </w:p>
        </w:tc>
      </w:tr>
      <w:tr w:rsidR="00965CEB" w:rsidRPr="007F4CC8" w14:paraId="048B3C4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03D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345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 toho: nástroje spojené s akciemi nebo rovnocenné nepeněžní nástroje </w:t>
            </w:r>
          </w:p>
          <w:p w14:paraId="54EF89E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nástrojů vázaných na akcie nebo rovnocenných nepeněžních nástrojů uvedených v čl. 94 odst. 1 písm. l) bodě i) CRD v rámci pevné odměny.</w:t>
            </w:r>
          </w:p>
        </w:tc>
      </w:tr>
      <w:tr w:rsidR="00965CEB" w:rsidRPr="007F4CC8" w14:paraId="67599F4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725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FA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ostatní nástroje</w:t>
            </w:r>
          </w:p>
          <w:p w14:paraId="06C24EE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ostatních nástrojů uvedených v čl. 94 odst. 1 písm. l) bodě ii) CRD v rámci pevné složky odměny.</w:t>
            </w:r>
          </w:p>
        </w:tc>
      </w:tr>
      <w:tr w:rsidR="00965CEB" w:rsidRPr="007F4CC8" w14:paraId="3112498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2D5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FF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jiné formy</w:t>
            </w:r>
          </w:p>
          <w:p w14:paraId="35C192C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pevné složky odměny přiznané za rozpočtový rok, která není uvedena v jiných řádcích pod hlavičkou pevná složka odměny celkem.</w:t>
            </w:r>
          </w:p>
          <w:p w14:paraId="5E279F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 by mohlo zahrnovat poměrné pravidelné příspěvky na důchodové zabezpečení nebo výhody (jsou-li poskytovány bez ohledu na jakákoli kritéria týkající se dosažených výsledků) uvedené v 64. bodě odůvodnění CRD nebo jiné formy odměňování, jako jsou příspěvky na provoz vozidla.</w:t>
            </w:r>
          </w:p>
        </w:tc>
      </w:tr>
      <w:tr w:rsidR="00965CEB" w:rsidRPr="007F4CC8" w14:paraId="32ABF286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0A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F75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Pohyblivá složka odměny celkem</w:t>
            </w:r>
          </w:p>
          <w:p w14:paraId="00FC93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v řádcích 11, EU-</w:t>
            </w:r>
            <w:proofErr w:type="gramStart"/>
            <w:r>
              <w:rPr>
                <w:rFonts w:ascii="Times New Roman" w:hAnsi="Times New Roman"/>
                <w:sz w:val="24"/>
              </w:rPr>
              <w:t>13a</w:t>
            </w:r>
            <w:proofErr w:type="gramEnd"/>
            <w:r>
              <w:rPr>
                <w:rFonts w:ascii="Times New Roman" w:hAnsi="Times New Roman"/>
                <w:sz w:val="24"/>
              </w:rPr>
              <w:t>, EU-13b, EU-14x a 15 této šablony</w:t>
            </w:r>
          </w:p>
          <w:p w14:paraId="74BA85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všech složek odměny, které nejsou pevnou složkou odměny a které jsou uvedeny v řádku 2 této šablony, včetně zaručených variabilních plateb a odchodného poskytnutých během daného roku.</w:t>
            </w:r>
          </w:p>
        </w:tc>
      </w:tr>
      <w:tr w:rsidR="00965CEB" w:rsidRPr="007F4CC8" w14:paraId="76911A2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706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BA9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peněžitá</w:t>
            </w:r>
          </w:p>
          <w:p w14:paraId="2BEE787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peněžité odměny v rámci pohyblivé složky odměny</w:t>
            </w:r>
          </w:p>
        </w:tc>
      </w:tr>
      <w:tr w:rsidR="00965CEB" w:rsidRPr="007F4CC8" w14:paraId="721EE2B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E7" w14:textId="77777777" w:rsidR="00965CEB" w:rsidRPr="00346640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 EU-</w:t>
            </w:r>
            <w:proofErr w:type="gramStart"/>
            <w:r>
              <w:rPr>
                <w:rFonts w:ascii="Times New Roman" w:hAnsi="Times New Roman"/>
                <w:sz w:val="24"/>
              </w:rPr>
              <w:t>14a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EU-14b, </w:t>
            </w:r>
            <w:r>
              <w:rPr>
                <w:rFonts w:ascii="Times New Roman" w:hAnsi="Times New Roman"/>
                <w:sz w:val="24"/>
              </w:rPr>
              <w:lastRenderedPageBreak/>
              <w:t>EU-14y a 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DA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Z toho: odložená</w:t>
            </w:r>
          </w:p>
          <w:p w14:paraId="151C1A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Výše pohyblivé složky odměny podle různých druhů složek, které jsou odloženy, stanovená v souladu s článkem 94 CRD.</w:t>
            </w:r>
          </w:p>
        </w:tc>
      </w:tr>
      <w:tr w:rsidR="00965CEB" w:rsidRPr="007F4CC8" w14:paraId="2F52136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845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13a</w:t>
            </w:r>
            <w:proofErr w:type="gram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E37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akcie nebo rovnocenné vlastnické podíly</w:t>
            </w:r>
          </w:p>
          <w:p w14:paraId="4498A7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akcií nebo rovnocenných vlastnických podílů v rámci pohyblivé složky odměny v závislosti na právní struktuře dotyčné instituce uvedených v čl. 94 odst. 1 písm. l) bodě i) CRD</w:t>
            </w:r>
          </w:p>
        </w:tc>
      </w:tr>
      <w:tr w:rsidR="00965CEB" w:rsidRPr="007F4CC8" w14:paraId="54AF9B6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6C9E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</w:t>
            </w:r>
            <w:proofErr w:type="gramStart"/>
            <w:r>
              <w:rPr>
                <w:rFonts w:ascii="Times New Roman" w:hAnsi="Times New Roman"/>
                <w:sz w:val="24"/>
              </w:rPr>
              <w:t>13b</w:t>
            </w:r>
            <w:proofErr w:type="gram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D75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 toho: nástroje spojené s akciemi nebo rovnocenné nepeněžní nástroje </w:t>
            </w:r>
          </w:p>
          <w:p w14:paraId="6FA62A3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nástrojů v rámci pohyblivé složky odměny spojených s akciemi nebo rovnocennými nepeněžními nástroji uvedených v čl. 94 odst. 1 písm. l) bodě i) CRD</w:t>
            </w:r>
          </w:p>
        </w:tc>
      </w:tr>
      <w:tr w:rsidR="00965CEB" w:rsidRPr="007F4CC8" w14:paraId="5FFBFCE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F3F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F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ostatní nástroje</w:t>
            </w:r>
          </w:p>
          <w:p w14:paraId="4D8E1D0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ostatních nástrojů v rámci pohyblivé složky odměny uvedených v čl. 94 odst. 1 písm. l) bodě ii) CRD</w:t>
            </w:r>
          </w:p>
        </w:tc>
      </w:tr>
      <w:tr w:rsidR="00965CEB" w:rsidRPr="007F4CC8" w14:paraId="4B762FE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99E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1E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 toho: jiné formy</w:t>
            </w:r>
          </w:p>
          <w:p w14:paraId="236742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pohyblivých složek odměny přiznaných za účetní období, které nejsou uvedeny v jiných řádcích pod hlavičkou pohyblivé složky odměny.</w:t>
            </w:r>
          </w:p>
        </w:tc>
      </w:tr>
      <w:tr w:rsidR="00965CEB" w:rsidRPr="007F4CC8" w14:paraId="765DE5F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1B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C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Celková odměna</w:t>
            </w:r>
          </w:p>
          <w:p w14:paraId="7D746BF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v řádcích 2 a 10 této šablony</w:t>
            </w:r>
          </w:p>
        </w:tc>
      </w:tr>
      <w:tr w:rsidR="00965CEB" w:rsidRPr="007F4CC8" w14:paraId="7636FF7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C712E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E9E99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032AF07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492F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63C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Členové vedoucího orgánu v kontrolní funkci</w:t>
            </w:r>
          </w:p>
          <w:p w14:paraId="5B08524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Členové vedoucího orgánu v kontrolní funkci neboli vedoucí orgán, který vykonává funkci spočívající v kontrole a sledování rozhodování osob ve vedení, jak je definováno v čl. 3 odst. 1 bodě 8 CRD </w:t>
            </w:r>
          </w:p>
          <w:p w14:paraId="69498C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uvedou informace na základě na počtu členů. </w:t>
            </w:r>
          </w:p>
          <w:p w14:paraId="45A26C8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souladu s článkem 13 CRR mateřské instituce v EU tyto informace uvedou na základě své konsolidované situace a velké dceřiné podniky mateřských institucí v EU je uvedou na individuálním základě, případně v souladu s tímto nařízením a CRD na subkonsolidovaném základě. Zveřejňující subjekt v tomto sloupci uvede informace o svém vedoucím orgánu. Pokud se na základě článků 6 a 13 CRR informace zpřístupňují na konsolidované nebo subkonsolidované úrovni, uvedou se informace o vybraných zaměstnancích vedoucích orgánů dceřiných podniků v rámci odpovídající oblasti podnikání.</w:t>
            </w:r>
          </w:p>
        </w:tc>
      </w:tr>
      <w:tr w:rsidR="00965CEB" w:rsidRPr="007F4CC8" w14:paraId="0141859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C5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F36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Členové vedoucího orgánu v řídící funkci </w:t>
            </w:r>
          </w:p>
          <w:p w14:paraId="286AC6E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Členové vedoucího orgánu, kteří odpovídají za jeho řídící funkce.</w:t>
            </w:r>
          </w:p>
          <w:p w14:paraId="235DAD7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informace na základě na počtu členů.</w:t>
            </w:r>
          </w:p>
          <w:p w14:paraId="5BD4796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uvedou informace na základě na počtu členů. V souladu s článkem 13 CRR. Mateřské instituce v EU tyto informace uvedou na základě své konsolidované situace a velké dceřiné společnosti mateřských institucí v EU je uvedou na individuálním základě, případně v souladu s tímto nařízením a CRD na subkonsolidovaném základě. Zveřejňující subjekt v tomto sloupci </w:t>
            </w:r>
            <w:r>
              <w:rPr>
                <w:rFonts w:ascii="Times New Roman" w:hAnsi="Times New Roman"/>
                <w:sz w:val="24"/>
              </w:rPr>
              <w:lastRenderedPageBreak/>
              <w:t>uvede informace o svém vedoucím orgánu. Pokud se na základě článků 6 a 13 CRR informace zpřístupňují na konsolidované nebo subkonsolidované úrovni, uvedou se informace o vybraných zaměstnancích vedoucích orgánů dceřiných podniků v rámci odpovídající oblasti podnikání.</w:t>
            </w:r>
          </w:p>
        </w:tc>
      </w:tr>
      <w:tr w:rsidR="00965CEB" w:rsidRPr="007F4CC8" w14:paraId="07AF1D0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9A7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8C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Ostatní členové vrcholného vedení</w:t>
            </w:r>
          </w:p>
          <w:p w14:paraId="43B1CA8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Vrcholné vedení ve smyslu čl. 3 odst. 1 bodu 9 CRD</w:t>
            </w:r>
          </w:p>
          <w:p w14:paraId="16B3B8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počet členů vrcholného vedení, kteří nejsou vykázáni jako členové vedoucího orgánu v řídící funkci ani jako ostatní vybraní zaměstnanci. Instituce uvedou informace na základě ekvivalentu plných pracovních úvazků.</w:t>
            </w:r>
          </w:p>
        </w:tc>
      </w:tr>
      <w:tr w:rsidR="00965CEB" w:rsidRPr="007F4CC8" w14:paraId="4E09CB2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6EFA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4ED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Ostatní vybraní zaměstnanci</w:t>
            </w:r>
          </w:p>
          <w:p w14:paraId="6ECAE4F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Jiní zaměstnanci než členové vedoucího orgánu v kontrolní nebo řídící funkci a jiní než členové vrcholného vedení, jejichž pracovní činnosti mají podstatný dopad na rizikový profil instituce v souladu s kritérii stanovenými v nařízení Komise v přenesené pravomoci o vybraných zaměstnancích, kterým se provádí čl. 94 odst. 2 CRD, a případně navíc na základě kritérií institucí. </w:t>
            </w:r>
          </w:p>
          <w:p w14:paraId="78BEE2A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mohou do této šablony zahrnout členění podle oblastí podnikání navržené v šabloně EU REM5. Instituce uvedou informace na základě ekvivalentu plných pracovních úvazků.</w:t>
            </w:r>
          </w:p>
        </w:tc>
      </w:tr>
    </w:tbl>
    <w:p w14:paraId="68C370B5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  <w:lang w:val="en-GB"/>
        </w:rPr>
      </w:pPr>
    </w:p>
    <w:p w14:paraId="2CC7ABEB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REM2 – Zvláštní platby pracovníkům, jejichž pracovní činnosti mají podstatný dopad na rizikový profil daných institucí (vybraní zaměstnanci):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031B19E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Informace uvedené v čl. 450 odst. 1 písm. h) bodech v) až vii) CRR zpřístupňují instituce podle následujících pokynů k vyplnění šablony EU REM2, obsažené v příloze XXXIII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011801D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CBFD4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65CEB" w:rsidRPr="007F4CC8" w14:paraId="270A64D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0C17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7E42920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7999388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59E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1, 4 a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53F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Počet vybraných zaměstnanců</w:t>
            </w:r>
          </w:p>
          <w:p w14:paraId="50587A1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Počet vybraných zaměstnanců, jejichž pracovní činnosti mají podstatný dopad na rizikový profil institucí v souladu s článkem 92 CRD a nařízením Komise v přenesené pravomoci o vybraných zaměstnancích, kterým se provádí čl. 94 odst. 2 CRD, pro každou konkrétní složku odměny.</w:t>
            </w:r>
          </w:p>
          <w:p w14:paraId="6D4FEBDD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 sloupcích a) a b) (MB) této šablony je hodnota založena na počtu zaměstnanců. Ve sloupcích c) a d) této šablony se hodnota vypočítá metodou přepočtu na plné pracovní úvazky (FTE).</w:t>
            </w:r>
          </w:p>
          <w:p w14:paraId="2E1869A2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Řádek 4 této šablony se týká odstupného přiznaného v předchozích obdobích a vyplaceného během účetního období (současný rok), zatímco řádek 6 této šablony se týká odstupného přiznaného během účetního období (současný rok).</w:t>
            </w:r>
          </w:p>
        </w:tc>
      </w:tr>
      <w:tr w:rsidR="00965CEB" w:rsidRPr="007F4CC8" w14:paraId="06192E0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7FB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53E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Udělené zaručené pohyblivé odměny – celková výše</w:t>
            </w:r>
          </w:p>
          <w:p w14:paraId="6D0F7C1C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zaručených pohyblivých odměn podle čl. 94 odst. 1 písm. e) CRD</w:t>
            </w:r>
          </w:p>
        </w:tc>
      </w:tr>
      <w:tr w:rsidR="00965CEB" w:rsidRPr="007F4CC8" w14:paraId="315511A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16D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9F4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zaručené pohyblivé odměny udělené během daného účetního období, nezahrnuté v limitu prémií</w:t>
            </w:r>
          </w:p>
          <w:p w14:paraId="35D0912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zaručených pohyblivých odměn podle čl. 94 odst. 1 písm. e) CRD vyplacených v průběhu účetního období (současný rok), které nejsou zohledněny v horním limitu prémií.</w:t>
            </w:r>
          </w:p>
          <w:p w14:paraId="1D5DC4D6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 ohledem na zveřejňované informace uvedené v čl. 450 odst. 1 písm. g) a písm. h) bodech v) až vi) CRR instituce jasně uvedou, zda souhrnné kvantitativní informace o odměnách v členění podle oblastí podnikání u nově vzniklých pracovních poměrů a odstupného odrážejí limit prémií.</w:t>
            </w:r>
          </w:p>
        </w:tc>
      </w:tr>
      <w:tr w:rsidR="00965CEB" w:rsidRPr="007F4CC8" w14:paraId="0ACB8FB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0D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A33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Odstupné přiznané za minulá období a vyplacené během účetního období – celková výše</w:t>
            </w:r>
          </w:p>
          <w:p w14:paraId="6BDFFBCB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odstupného podle čl. 94 odst. 1 písm. h) CRD, které bylo přiznáno v předchozích obdobích a bylo vyplaceno v průběhu účetního období (současný rok)</w:t>
            </w:r>
          </w:p>
        </w:tc>
      </w:tr>
      <w:tr w:rsidR="00965CEB" w:rsidRPr="007F4CC8" w14:paraId="1CD3B2F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16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0F0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Odstupné přiznané během účetního období – celková výše</w:t>
            </w:r>
          </w:p>
          <w:p w14:paraId="370D85D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odstupného podle čl. 94 odst. 1 písm. h) CRD, které bylo přiznáno během účetního období (současný rok)</w:t>
            </w:r>
          </w:p>
        </w:tc>
      </w:tr>
      <w:tr w:rsidR="00965CEB" w:rsidRPr="007F4CC8" w14:paraId="52F0521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F6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5B6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odstupné přiznané během účetního období – vyplacené během účetního období</w:t>
            </w:r>
          </w:p>
          <w:p w14:paraId="75DA4E0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odstupného podle čl. 94 odst. 1 písm. h) CRD přiznaného během účetního období, které bylo vyplaceno během účetního období</w:t>
            </w:r>
          </w:p>
        </w:tc>
      </w:tr>
      <w:tr w:rsidR="00965CEB" w:rsidRPr="007F4CC8" w14:paraId="718151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7D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FC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odstupné přiznané během účetního období – s odloženou splatností</w:t>
            </w:r>
          </w:p>
          <w:p w14:paraId="2B8A3E35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odstupného podle čl. 94 odst. 1 písm. h) CRD přiznaného během účetního období, s odloženou splatností podle článku 94 CRD</w:t>
            </w:r>
          </w:p>
        </w:tc>
      </w:tr>
      <w:tr w:rsidR="00965CEB" w:rsidRPr="007F4CC8" w14:paraId="3FA2D86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75F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D98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odstupné vyplacené během daného účetního období, nezahrnuté v limitu prémií</w:t>
            </w:r>
          </w:p>
          <w:p w14:paraId="3020E32C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odstupného podle čl. 94 odst. 1 písm. h) CRD vyplaceného v průběhu účetního období, které není zahrnuto v limitu prémií</w:t>
            </w:r>
          </w:p>
          <w:p w14:paraId="78B7D63D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 ohledem na zveřejňované informace uvedené v čl. 450 odst. 1 písm. g) a písm. h) bodech v) až vi) CRR instituce jasně uvedou, zda souhrnné kvantitativní informace o odměnách v členění podle oblastí podnikání u nově vzniklých pracovních poměrů a odstupného odrážejí limit prémií.</w:t>
            </w:r>
          </w:p>
        </w:tc>
      </w:tr>
      <w:tr w:rsidR="00965CEB" w:rsidRPr="007F4CC8" w14:paraId="648B44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8CC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D2C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odstupné přiznané během účetního období – nejvyšší částka, která byla přiznána jedné osobě</w:t>
            </w:r>
          </w:p>
          <w:p w14:paraId="69C2783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nejvyššího odstupného podle čl. 94 odst. 1 písm. h) CRD, které bylo v průběhu účetního období přiznáno jediné osobě</w:t>
            </w:r>
          </w:p>
        </w:tc>
      </w:tr>
      <w:tr w:rsidR="00965CEB" w:rsidRPr="007F4CC8" w14:paraId="63F86B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9D27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2CE7C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6E4921E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672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71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Členové vedoucího orgánu v kontrolní funkci</w:t>
            </w:r>
          </w:p>
          <w:p w14:paraId="3734590D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Členové vedoucího orgánu v kontrolní funkci neboli vedoucí orgán, který vykonává funkci spočívající v kontrole a sledování rozhodování osob ve vedení, jak je definováno v čl. 3 odst. 1 bodě 8 CRD (počet členů)</w:t>
            </w:r>
          </w:p>
        </w:tc>
      </w:tr>
      <w:tr w:rsidR="00965CEB" w:rsidRPr="007F4CC8" w14:paraId="1FF4442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25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4876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Členové vedoucího orgánu v řídící funkci</w:t>
            </w:r>
          </w:p>
          <w:p w14:paraId="1A03D44D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Členové vedoucího orgánu, kteří odpovídají za jeho řídící funkce (počet členů)</w:t>
            </w:r>
          </w:p>
        </w:tc>
      </w:tr>
      <w:tr w:rsidR="00965CEB" w:rsidRPr="007F4CC8" w14:paraId="1E5ED2F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25C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BB3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Ostatní členové vrcholného vedení</w:t>
            </w:r>
          </w:p>
          <w:p w14:paraId="1598A2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Vrcholné vedení ve smyslu čl. 3 odst. 1 bodu 9 CRD</w:t>
            </w:r>
          </w:p>
          <w:p w14:paraId="1B942BB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počet členů vrcholného vedení, kteří nejsou vykázáni jako členové vedoucího orgánu v řídící funkci ani jako ostatní vybraní zaměstnanci (FTE).</w:t>
            </w:r>
          </w:p>
        </w:tc>
      </w:tr>
      <w:tr w:rsidR="00965CEB" w:rsidRPr="007F4CC8" w14:paraId="31827D2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323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171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Ostatní vybraní zaměstnanci</w:t>
            </w:r>
          </w:p>
          <w:p w14:paraId="01528962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Jiní zaměstnanci než členové vedoucího orgánu v kontrolní nebo řídící funkci a jiní než členové vrcholného vedení, jejichž pracovní činnosti mají podstatný dopad na rizikový profil instituce v souladu s kritérii stanovenými v nařízení Komise v přenesené pravomoci o vybraných zaměstnancích, kterým se provádí čl. 94 odst. 2 CRD, a případně navíc na základě kritérií institucí.</w:t>
            </w:r>
          </w:p>
          <w:p w14:paraId="566D1319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mohou do této šablony zahrnout členění podle oblastí podnikání navržené v šabloně EU REM5 (FTE).</w:t>
            </w:r>
          </w:p>
        </w:tc>
      </w:tr>
    </w:tbl>
    <w:p w14:paraId="760802A7" w14:textId="77777777" w:rsidR="00965CEB" w:rsidRPr="007F4CC8" w:rsidRDefault="00965CEB" w:rsidP="00965CEB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2C5AB76E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REM3 – Odměny s odloženou splatností: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2F3BCD0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Informace uvedené v čl. 450 odst. 1 písm. h) bodech iii) až iv) CRR zpřístupňují instituce podle následujících pokynů k vyplnění šablony EU REM3, obsažené v příloze XXXIII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525284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6609D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65CEB" w:rsidRPr="007F4CC8" w14:paraId="596FBD7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87CD7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DE2309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600F239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48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1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Členové vedoucího orgánu v kontrolní funkci</w:t>
            </w:r>
          </w:p>
          <w:p w14:paraId="42F62B75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Členové vedoucího orgánu v kontrolní funkci neboli vedoucí orgán, který vykonává funkci spočívající v kontrole a sledování rozhodování osob ve vedení, jak je definováno v čl. 3 odst. 1 bodě 8 CRD</w:t>
            </w:r>
          </w:p>
          <w:p w14:paraId="78EE1100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v řádcích 2, 3, 4, 5 a 6 této šablony</w:t>
            </w:r>
          </w:p>
        </w:tc>
      </w:tr>
      <w:tr w:rsidR="00965CEB" w:rsidRPr="007F4CC8" w14:paraId="7B48C31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3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2, 8, 14 a 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C92" w14:textId="77777777" w:rsidR="00965CEB" w:rsidRPr="009D2F9B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Peněžité</w:t>
            </w:r>
          </w:p>
          <w:p w14:paraId="0BC40D8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peněžité odměny v rámci pohyblivé složky odměny</w:t>
            </w:r>
          </w:p>
        </w:tc>
      </w:tr>
      <w:tr w:rsidR="00965CEB" w:rsidRPr="007F4CC8" w14:paraId="33B142D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17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3, 9, 15 a 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18A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Akcie nebo rovnocenné vlastnické podíly </w:t>
            </w:r>
          </w:p>
          <w:p w14:paraId="4B63188A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akcií nebo rovnocenných vlastnických podílů v rámci pohyblivé složky odměny v závislosti na právní struktuře dotyčné instituce uvedených v čl. 94 odst. 1 písm. l) bodě i) CRD</w:t>
            </w:r>
          </w:p>
        </w:tc>
      </w:tr>
      <w:tr w:rsidR="00965CEB" w:rsidRPr="007F4CC8" w14:paraId="7446B00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03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4, 10, 16 a 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5439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Nástroje spojené s akciemi nebo rovnocenné nepeněžní nástroje </w:t>
            </w:r>
          </w:p>
          <w:p w14:paraId="362CEB2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Součet hodnot nástrojů v rámci pohyblivé složky odměny spojených s akciemi nebo rovnocennými nepeněžními nástroji uvedených v čl. 94 odst. 1 písm. l) bodě i) CRD</w:t>
            </w:r>
          </w:p>
        </w:tc>
      </w:tr>
      <w:tr w:rsidR="00965CEB" w:rsidRPr="007F4CC8" w14:paraId="00D9345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8F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5, 11, 17 a 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1D6F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Ostatní nástroje</w:t>
            </w:r>
          </w:p>
          <w:p w14:paraId="4C0BEEE9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ostatních nástrojů v rámci pohyblivé složky odměny uvedených v čl. 94 odst. 1 písm. l) bodě ii) CRD</w:t>
            </w:r>
          </w:p>
        </w:tc>
      </w:tr>
      <w:tr w:rsidR="00965CEB" w:rsidRPr="007F4CC8" w14:paraId="582939B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5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6, 12, 18 a 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34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Jiné formy</w:t>
            </w:r>
          </w:p>
          <w:p w14:paraId="05DE9AE7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pohyblivých složek odměny jiných než uvedených v řádcích „peněžní“, „akcie nebo rovnocenné vlastnické podíly v závislosti na právní struktuře dotyčné instituce nebo nástroje spojené s akciemi nebo rovnocenné nepeněžní nástroje“ a „ostatní nástroje“.</w:t>
            </w:r>
          </w:p>
          <w:p w14:paraId="47E931D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To by mohlo zahrnovat poměrné pravidelné příspěvky na důchodové zabezpečení nebo výhody (jsou-li poskytovány bez ohledu na jakákoli kritéria týkající se dosažených výsledků) uvedené v 64. bodě odůvodnění CRD nebo jiné formy odměňování, jako jsou příspěvky na provoz vozidla.</w:t>
            </w:r>
          </w:p>
        </w:tc>
      </w:tr>
      <w:tr w:rsidR="00965CEB" w:rsidRPr="007F4CC8" w14:paraId="1E2113D9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C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D16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Členové vedoucího orgánu v řídící funkci </w:t>
            </w:r>
          </w:p>
          <w:p w14:paraId="7D897A2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Členové vedoucího orgánu v řídící funkci Členové vedoucího orgánu, kteří odpovídají za jeho řídící funkce, součet hodnot v řádcích 8, 9, 10, 11 a 12 této šablony</w:t>
            </w:r>
          </w:p>
        </w:tc>
      </w:tr>
      <w:tr w:rsidR="00965CEB" w:rsidRPr="007F4CC8" w14:paraId="6BB9DE7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B7A3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Ostatní členové vrcholného vedení</w:t>
            </w:r>
          </w:p>
          <w:p w14:paraId="015BE95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Vrcholné vedení ve smyslu čl. 3 odst. 1 bodu 9 CRD; součet hodnot v řádcích 14, 15, 16, 17 a 18 této šablony.</w:t>
            </w:r>
          </w:p>
          <w:p w14:paraId="3E12A11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počet členů vrcholného vedení, kteří nejsou vykázáni jako členové vedoucího orgánu v řídící funkci ani jako ostatní vybraní zaměstnanci.</w:t>
            </w:r>
          </w:p>
        </w:tc>
      </w:tr>
      <w:tr w:rsidR="00965CEB" w:rsidRPr="007F4CC8" w14:paraId="60C2B24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57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00C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Ostatní vybraní zaměstnanci</w:t>
            </w:r>
          </w:p>
          <w:p w14:paraId="1561B753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Jiní zaměstnanci než členové vedoucího orgánu v kontrolní nebo řídící funkci a jiní než členové vrcholného vedení, jejichž pracovní činnosti mají podstatný dopad na rizikový profil instituce v souladu s kritérii stanovenými v nařízení Komise v přenesené pravomoci o vybraných zaměstnancích, kterým se provádí čl. 94 odst. 2 CRD, a případně navíc na základě kritérií institucí; součet hodnot v řádcích 20, 21, 22, 23 a 24 této šablony.</w:t>
            </w:r>
          </w:p>
        </w:tc>
      </w:tr>
      <w:tr w:rsidR="00965CEB" w:rsidRPr="007F4CC8" w14:paraId="724701D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76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5A3" w14:textId="77777777" w:rsidR="00965CEB" w:rsidRPr="00E94B0F" w:rsidRDefault="00965CEB" w:rsidP="004F3087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částka</w:t>
            </w:r>
          </w:p>
          <w:p w14:paraId="70B531DE" w14:textId="77777777" w:rsidR="00965CEB" w:rsidRPr="007F4CC8" w:rsidRDefault="00965CEB" w:rsidP="004F308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v řádcích 1, 7, 13 a 19 této šablony</w:t>
            </w:r>
          </w:p>
        </w:tc>
      </w:tr>
      <w:tr w:rsidR="00965CEB" w:rsidRPr="007F4CC8" w14:paraId="32AF233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D859F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BDE61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03A75F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48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CD6B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výše odměn s odloženou splatností přiznaných za předchozí výkonnostní období</w:t>
            </w:r>
          </w:p>
          <w:p w14:paraId="7D355FC1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odměn s odloženou splatností stanovených v souladu s článkem 94 CRD a přiznaných za předchozí výkonnostní období (součet částek uvedených ve sloupcích b) a c) této šablony)</w:t>
            </w:r>
          </w:p>
        </w:tc>
      </w:tr>
      <w:tr w:rsidR="00965CEB" w:rsidRPr="007F4CC8" w14:paraId="4861A17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42D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lastRenderedPageBreak/>
              <w:t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211B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částka odměn, které mají být přiznány v daném účetním období</w:t>
            </w:r>
          </w:p>
          <w:p w14:paraId="1877D636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odměn s odloženou splatností za předchozí výkonnostní období stanovených v souladu s článkem 94 CRD, které mají být přiznány v daném účetní období</w:t>
            </w:r>
          </w:p>
        </w:tc>
      </w:tr>
      <w:tr w:rsidR="00965CEB" w:rsidRPr="007F4CC8" w14:paraId="4F4F4E4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55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72E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částka odměn, které mají být přiznány v následujících obdobích</w:t>
            </w:r>
          </w:p>
          <w:p w14:paraId="41D97AF8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odměn s odloženou splatností za předchozí výkonnostní období stanovených v souladu s článkem 94 CRD, které mají být přiznány v následujících účetních obdobích</w:t>
            </w:r>
          </w:p>
        </w:tc>
      </w:tr>
      <w:tr w:rsidR="00965CEB" w:rsidRPr="007F4CC8" w14:paraId="44F6D0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50B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47AF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Částka, o kterou je v daném účetním období na základě výkonnosti upravena odměna s odloženou splatností, která měla být přiznána v daném účetní období</w:t>
            </w:r>
          </w:p>
          <w:p w14:paraId="1571AC97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Částka, o kterou je upravena odměna s odloženou splatností stanovená v souladu s článkem 94 CRD, která měla být přiznána v daném účetní období</w:t>
            </w:r>
          </w:p>
        </w:tc>
      </w:tr>
      <w:tr w:rsidR="00965CEB" w:rsidRPr="007F4CC8" w14:paraId="5B84E88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5E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CD4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Částka, o kterou je v daném účetním období na základě výkonnosti upravena odměna s odloženou splatností, která měla být přiznána v příštích účetních obdobích</w:t>
            </w:r>
          </w:p>
          <w:p w14:paraId="2D3814DB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Částka, o kterou je upravena odměna s odloženou splatností stanovená v souladu s článkem 94 CRD, která měla být přiznána v příštích účetních obdobích</w:t>
            </w:r>
          </w:p>
        </w:tc>
      </w:tr>
      <w:tr w:rsidR="00965CEB" w:rsidRPr="007F4CC8" w14:paraId="222065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A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405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výše úprav během účetního období v důsledku implicitních úprav ex post provedených během účetního období (tj. změn hodnoty odměn s odloženou splatností vlivem změn v cenách nástrojů)</w:t>
            </w:r>
          </w:p>
          <w:p w14:paraId="6472C5F0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Tam, kde je to relevantní, výše úprav během účetního období v důsledku implicitních úprav ex post, jako jsou změny hodnoty odměn s odloženou splatností vlivem změn v cenách nástrojů, odhadnuté s vynaložením maximálního úsilí </w:t>
            </w:r>
          </w:p>
        </w:tc>
      </w:tr>
      <w:tr w:rsidR="00965CEB" w:rsidRPr="007F4CC8" w14:paraId="75104DD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730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EU-g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3B00" w14:textId="77777777" w:rsidR="00965CEB" w:rsidRPr="00E94B0F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výše odměn s odloženou splatností přiznaných před daným účetním obdobím, ale skutečně vyplacených v daném účetním období</w:t>
            </w:r>
          </w:p>
          <w:p w14:paraId="711625D8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Výše odměn s odloženou splatností stanovených v souladu s článkem 94 CRD, které byly vyplaceny v daném účetní obdob.</w:t>
            </w:r>
          </w:p>
          <w:p w14:paraId="79B6CE2B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Jakmile jsou odměny s odloženou splatností přiznány k výplatě, považují se za vyplacené.</w:t>
            </w:r>
          </w:p>
        </w:tc>
      </w:tr>
      <w:tr w:rsidR="00965CEB" w:rsidRPr="007F4CC8" w14:paraId="6F3ADEB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310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>EU-h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AFBD" w14:textId="77777777" w:rsidR="00965CEB" w:rsidRPr="007479E6" w:rsidRDefault="00965CEB" w:rsidP="004F3087">
            <w:pPr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Celková výše odměn s odloženou splatností za předchozí výkonnostní období, které byly přiznány, ale vztahuje se na ně období zadržování</w:t>
            </w:r>
          </w:p>
          <w:p w14:paraId="64A6D4B4" w14:textId="77777777" w:rsidR="00965CEB" w:rsidRPr="007F4CC8" w:rsidRDefault="00965CEB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Celková výše odměn s odloženou splatností stanovených v souladu s článkem 94 CRD za předchozí výkonnostní období, které byly přiznány k výplatě, ale vztahuje se na ně období zadržování</w:t>
            </w:r>
          </w:p>
        </w:tc>
      </w:tr>
    </w:tbl>
    <w:p w14:paraId="407F372C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6B747669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REM4 – Odměny ve výši 1 milion EUR nebo více ročně: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6DEF9BC5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Informace uvedené v čl. 450 odst. 1 písm. i) CRR zpřístupňují instituce podle následujících pokynů k vyplnění šablony EU REM4, obsažené v příloze XXXIII tohoto prováděcího nařízení.</w:t>
      </w:r>
    </w:p>
    <w:p w14:paraId="1C37B7B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lastRenderedPageBreak/>
        <w:t xml:space="preserve">Data se </w:t>
      </w:r>
      <w:proofErr w:type="gramStart"/>
      <w:r>
        <w:rPr>
          <w:rFonts w:ascii="Times New Roman" w:hAnsi="Times New Roman"/>
          <w:color w:val="auto"/>
          <w:sz w:val="24"/>
        </w:rPr>
        <w:t>předloží</w:t>
      </w:r>
      <w:proofErr w:type="gramEnd"/>
      <w:r>
        <w:rPr>
          <w:rFonts w:ascii="Times New Roman" w:hAnsi="Times New Roman"/>
          <w:color w:val="auto"/>
          <w:sz w:val="24"/>
        </w:rPr>
        <w:t xml:space="preserve"> s použitím údajů ke konci účetního období v eurech. Všechny částky se uvádějí jako celé částky, tj. nezaokrouhlené částky, v eurech (např. 1 234 567 EUR, nikoli 1,2 milionu EUR). Je-li odměna vyplácena v jiné měně než v eurech, použije se pro přepočet konsolidovaných údajů, které mají být zveřejněny, směnný kurz použitý Komisí pro finanční plánování a rozpočet za prosinec vykazovaného roku.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2B056ED8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F0D7E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65CEB" w:rsidRPr="007F4CC8" w14:paraId="6BD60B0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7A26A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A2B91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7A73EF6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E67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až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16B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Odměny mezi 1 a 5 miliony EUR za účetní období, rozdělené do platových pásem po 500 000 EUR</w:t>
            </w:r>
          </w:p>
        </w:tc>
      </w:tr>
      <w:tr w:rsidR="00965CEB" w:rsidRPr="007F4CC8" w14:paraId="1EAC8B5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01F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až 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5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Odměny přesahující 5 milionů EUR za účetní období, rozdělené do platových pásem po 1 milionu EUR</w:t>
            </w:r>
          </w:p>
        </w:tc>
      </w:tr>
      <w:tr w:rsidR="00965CEB" w:rsidRPr="007F4CC8" w14:paraId="3B14BCA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A5076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DA01F" w14:textId="77777777" w:rsidR="00965CEB" w:rsidRPr="007F4CC8" w:rsidRDefault="00965CEB" w:rsidP="004F3087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3F457083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073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83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Počet vybraných zaměstnanců, jejichž odměna za účetní období činila 1 milion EUR nebo více</w:t>
            </w:r>
          </w:p>
          <w:p w14:paraId="760880E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informace na základě na počtu členů.</w:t>
            </w:r>
          </w:p>
        </w:tc>
      </w:tr>
    </w:tbl>
    <w:p w14:paraId="65FA28BB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48F9714A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Šablona EU REM5 – Informace o odměnách pracovníků, jejichž pracovní činnosti mají podstatný dopad na rizikový profil daných institucí (vybraní zaměstnanci): </w:t>
      </w:r>
      <w:r>
        <w:rPr>
          <w:rFonts w:ascii="Times New Roman" w:hAnsi="Times New Roman"/>
          <w:color w:val="auto"/>
          <w:sz w:val="24"/>
        </w:rPr>
        <w:t>Pevně daný formát</w:t>
      </w:r>
    </w:p>
    <w:p w14:paraId="247BF82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Informace uvedené v čl. 450 odst. 1 písm. g) CRR zpřístupňují instituce podle následujících pokynů k vyplnění šablony EU REM5, obsažené v příloze XXXIII tohoto prováděcího nařízení.</w:t>
      </w:r>
    </w:p>
    <w:p w14:paraId="42ECBD7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Pokud jde o sloupce s členěním podle oblastí činnosti, veškeré úvěry, včetně velkoobchodních, se zahrnou do retailových úvěrů. Do investičního bankovnictví se zahrnou podnikové finance a obchodování na finančních trzích. Další pokyny ohledně aktivit zahrnutých v těchto oblastech činnosti lze nalézt v článku 317 CRR v tabulce, která definuje linie podnikání v rámci standardizovaného přístupu k operačnímu riziku.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423D893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BC39" w14:textId="77777777" w:rsidR="00965CEB" w:rsidRPr="007F4CC8" w:rsidRDefault="00965CEB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965CEB" w:rsidRPr="007F4CC8" w14:paraId="233293E2" w14:textId="77777777" w:rsidTr="004F3087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4DC5A06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A85E33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01F5A89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84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00BC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Počet vybraných zaměstnanců celkem</w:t>
            </w:r>
          </w:p>
          <w:p w14:paraId="2278F4D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Zaměstnanci instituce a jejích dceřiných společností, včetně dceřiných společností nepodléhajících CRD, a všichni členové jejich příslušných řídících orgánů, jejichž pracovní činnosti mají podstatný vliv na rizikový profil instituce (vybraní zaměstnanci)</w:t>
            </w:r>
          </w:p>
          <w:p w14:paraId="15553C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se zveřejní na základě FTE.</w:t>
            </w:r>
          </w:p>
        </w:tc>
      </w:tr>
      <w:tr w:rsidR="00965CEB" w:rsidRPr="007F4CC8" w14:paraId="6689264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5372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100A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toho: členové vedoucího orgánu</w:t>
            </w:r>
          </w:p>
          <w:p w14:paraId="626C0F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Počet členů v příslušném vedoucím orgánu v kontrolní funkci a v řídící funkci a v celém vedoucím orgánu</w:t>
            </w:r>
          </w:p>
        </w:tc>
      </w:tr>
      <w:tr w:rsidR="00965CEB" w:rsidRPr="007F4CC8" w14:paraId="7E2EF40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6E7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FB64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toho: ostatní členové vrcholného vedení</w:t>
            </w:r>
          </w:p>
          <w:p w14:paraId="1F28E03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Ostatní zaměstnanci, kteří nejsou členy vedoucího orgánu, ale jsou členy vrcholného vedení ve smyslu čl. 3 odst. 1 bodu 9 CRD</w:t>
            </w:r>
          </w:p>
        </w:tc>
      </w:tr>
      <w:tr w:rsidR="00965CEB" w:rsidRPr="007F4CC8" w14:paraId="576C78F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6E8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79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toho: ostatní vybraní zaměstnanci</w:t>
            </w:r>
          </w:p>
          <w:p w14:paraId="110712E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Ostatní zaměstnanci, kteří nejsou členy vedoucího orgánu ani vrcholného vedení, jejichž pracovní činnosti mají podstatný dopad na rizikový profil instituce v souladu s kritérii stanovenými v nařízení Komise v přenesené pravomoci o vybraných zaměstnancích, kterým se provádí čl. 94 odst. 2 CRD, a případně navíc na základě kritérií institucí.</w:t>
            </w:r>
          </w:p>
        </w:tc>
      </w:tr>
      <w:tr w:rsidR="00965CEB" w:rsidRPr="007F4CC8" w14:paraId="5E0A7C3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6D4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DBD7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Odměny vybraných zaměstnanců celkem</w:t>
            </w:r>
          </w:p>
          <w:p w14:paraId="393FC23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Celková výše odměn, kterou se rozumí všechny formy pevné a pohyblivé odměny, jež zahrnují platby a výhody, peněžní i nepeněžní, poskytované přímo zaměstnancům nebo jménem institucí výměnou za odborné služby poskytované zaměstnanci, odměny za zhodnocení kapitálu ve smyslu čl. 4 odst. 1 písm. d) směrnice 2011/61/EU</w:t>
            </w:r>
            <w:r>
              <w:rPr>
                <w:rStyle w:val="FootnoteReference"/>
                <w:rFonts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a jiné platby provedené prostřednictvím metod a prostředků, které by, pokud by nebyly považovány za odměnu, vedly k obcházení požadavků na odměňování podle CRD.</w:t>
            </w:r>
          </w:p>
        </w:tc>
      </w:tr>
      <w:tr w:rsidR="00965CEB" w:rsidRPr="007F4CC8" w14:paraId="05EE8EE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C3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F43F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toho: pohyblivá složka odměny</w:t>
            </w:r>
          </w:p>
          <w:p w14:paraId="4089EA4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všech složek odměny, které nejsou pevnou odměnou a které jsou uvedeny v řádku 7 této šablony</w:t>
            </w:r>
          </w:p>
        </w:tc>
      </w:tr>
      <w:tr w:rsidR="00965CEB" w:rsidRPr="007F4CC8" w14:paraId="141C01A8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75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B946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toho: pevná složka odměny</w:t>
            </w:r>
          </w:p>
          <w:p w14:paraId="6D2B67C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považují odměnu za pevnou, pokud podmínky pro její poskytnutí a její výše: </w:t>
            </w:r>
          </w:p>
          <w:p w14:paraId="353923B9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vycházejí z předem stanovených kritérií;</w:t>
            </w:r>
          </w:p>
          <w:p w14:paraId="6C1C2F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jsou pevně stanovené s ohledem na úroveň odborné praxe a služební věk zaměstnanců;</w:t>
            </w:r>
          </w:p>
          <w:p w14:paraId="10522E1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jsou transparentní, pokud jde o konkrétní částku přidělenou konkrétnímu zaměstnanci;</w:t>
            </w:r>
          </w:p>
          <w:p w14:paraId="3BBE4B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jsou trvalé, tj. platné po dobu vázanou na konkrétní roli a povinnosti v rámci organizace;</w:t>
            </w:r>
          </w:p>
          <w:p w14:paraId="0E5E4565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jsou neodvolatelné; stálá výše se mění pouze na základě kolektivního vyjednávání nebo po sjednání nových podmínek v souladu s vnitrostátními kritérii pro stanovování mezd;</w:t>
            </w:r>
          </w:p>
          <w:p w14:paraId="5198EAEA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nemohou být institucí omezeny, pozastaveny nebo zrušeny;</w:t>
            </w:r>
          </w:p>
          <w:p w14:paraId="7278E7D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nemotivují k podstupování rizika a </w:t>
            </w:r>
          </w:p>
          <w:p w14:paraId="23627B2C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nezávisí na dosažených výsledcích. </w:t>
            </w:r>
          </w:p>
        </w:tc>
      </w:tr>
      <w:tr w:rsidR="00965CEB" w:rsidRPr="007F4CC8" w14:paraId="4A45635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84620" w14:textId="77777777" w:rsidR="00965CEB" w:rsidRPr="007F4CC8" w:rsidRDefault="00965CEB" w:rsidP="004F3087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0706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965CEB" w:rsidRPr="007F4CC8" w14:paraId="2ED3053A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67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a, b a 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9343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Vedoucí orgán (MB)</w:t>
            </w:r>
          </w:p>
          <w:p w14:paraId="2D246C9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Vedoucí orgán instituce s rozdělenou kontrolní a řídící funkcí</w:t>
            </w:r>
          </w:p>
          <w:p w14:paraId="6966FBB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informace na základě na počtu členů.</w:t>
            </w:r>
          </w:p>
        </w:tc>
      </w:tr>
      <w:tr w:rsidR="00965CEB" w:rsidRPr="007F4CC8" w14:paraId="69B617A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5DE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 až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67D2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Oblast činnosti</w:t>
            </w:r>
          </w:p>
          <w:p w14:paraId="3897E6F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Hlavní oblasti podnikání instituce, jako investiční bankovnictví, retailové bankovnictví, správa aktiv, podnikové funkce, nezávislé funkce vnitřní kontroly </w:t>
            </w:r>
          </w:p>
          <w:p w14:paraId="3683649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Informace se zveřejní na základě FTE.</w:t>
            </w:r>
          </w:p>
        </w:tc>
      </w:tr>
      <w:tr w:rsidR="00965CEB" w:rsidRPr="007F4CC8" w14:paraId="427F8B5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F04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DBE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Vše ostatní</w:t>
            </w:r>
          </w:p>
          <w:p w14:paraId="73AEF5B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Všechny ostatní oblasti podnikání, které nebyly zahrnuty v předchozích sloupcích samostatně </w:t>
            </w:r>
          </w:p>
          <w:p w14:paraId="1A1569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Informace se zveřejní na základě FTE.</w:t>
            </w:r>
          </w:p>
        </w:tc>
      </w:tr>
    </w:tbl>
    <w:p w14:paraId="32121E4A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89B" w14:textId="77777777" w:rsidR="0088399E" w:rsidRDefault="0088399E" w:rsidP="00965CEB">
      <w:r>
        <w:separator/>
      </w:r>
    </w:p>
  </w:endnote>
  <w:endnote w:type="continuationSeparator" w:id="0">
    <w:p w14:paraId="336A4547" w14:textId="77777777" w:rsidR="0088399E" w:rsidRDefault="0088399E" w:rsidP="0096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236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5035" w14:textId="77777777" w:rsidR="00965CEB" w:rsidRDefault="0096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 w14:paraId="254CC37E" w14:textId="77777777" w:rsidR="00965CEB" w:rsidRDefault="0096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FE47" w14:textId="77777777" w:rsidR="0088399E" w:rsidRDefault="0088399E" w:rsidP="00965CEB">
      <w:r>
        <w:separator/>
      </w:r>
    </w:p>
  </w:footnote>
  <w:footnote w:type="continuationSeparator" w:id="0">
    <w:p w14:paraId="1F7EA5D8" w14:textId="77777777" w:rsidR="0088399E" w:rsidRDefault="0088399E" w:rsidP="00965CEB">
      <w:r>
        <w:continuationSeparator/>
      </w:r>
    </w:p>
  </w:footnote>
  <w:footnote w:id="1">
    <w:p w14:paraId="0750D410" w14:textId="0BDDC85C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– EUR-Lex (europa.eu)</w:t>
        </w:r>
      </w:hyperlink>
      <w:r>
        <w:rPr>
          <w:color w:val="444444"/>
        </w:rPr>
        <w:t>).</w:t>
      </w:r>
    </w:p>
  </w:footnote>
  <w:footnote w:id="2">
    <w:p w14:paraId="42E416B2" w14:textId="29EBE71D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Směrnice Evropského parlamentu a Rady 2013/36/EU ze dne 26. června 2013 o přístupu k činnosti úvěrových institucí a o obezřetnostním dohledu nad úvěrovými institucemi a o změně směrnice 2002/87/ES a zrušení směrnic 2006/48/ES a 2006/49/ES (Úř. věst. L 176, 27.6.2013, s. 338).</w:t>
      </w:r>
    </w:p>
  </w:footnote>
  <w:footnote w:id="3">
    <w:p w14:paraId="43477CEF" w14:textId="77777777" w:rsidR="00965CEB" w:rsidRPr="00346640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KOMISE V PŘENESENÉ PRAVOMOCI (EU) č. 604/2014 ze dne 4. března 2014, kterým se doplňuje směrnice Evropského parlamentu a Rady 2013/36/EU, pokud jde o regulační technické normy týkající se kvalitativních a vhodných kvantitativních kritérií k určení kategorií zaměstnanců, jejichž pracovní činnosti mají podstatný vliv na rizikový profil instituce (Úř. věst. L 167, 6.6.2014, s. 30).</w:t>
      </w:r>
    </w:p>
  </w:footnote>
  <w:footnote w:id="4">
    <w:p w14:paraId="2890C799" w14:textId="77777777" w:rsidR="00965CEB" w:rsidRDefault="00965CEB" w:rsidP="00965CEB">
      <w:pPr>
        <w:pStyle w:val="FootnoteText"/>
      </w:pPr>
      <w:r>
        <w:rPr>
          <w:rStyle w:val="FootnoteReference"/>
        </w:rPr>
        <w:footnoteRef/>
      </w:r>
      <w:r>
        <w:t xml:space="preserve"> Směrnice Evropského parlamentu a Rady 2011/61/EU ze dne 8. června 2011 o správcích alternativních investičních fondů a o změně směrnic 2003/41/ES a 2009/65/ES a nařízení (ES) č. 1060/2009 a (EU) č. 1095/2010 (Úř. věst. L 174, 1.7.2011,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50C" w14:textId="67949571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3600E4" wp14:editId="57B762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12024400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51B4D" w14:textId="68D5441E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360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53651B4D" w14:textId="68D5441E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7E81" w14:textId="1522948A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A9260E" wp14:editId="4A67149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625552795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AB8F0" w14:textId="0BD5B325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A926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43AB8F0" w14:textId="0BD5B325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A06F" w14:textId="625CECFB" w:rsidR="009E1CBE" w:rsidRDefault="009E1CB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1FC368C" wp14:editId="050D03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35041480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BA43F" w14:textId="0308EAF1" w:rsidR="009E1CBE" w:rsidRPr="009E1CBE" w:rsidRDefault="009E1CBE" w:rsidP="009E1CB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FC3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78EBA43F" w14:textId="0308EAF1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308493">
    <w:abstractNumId w:val="0"/>
  </w:num>
  <w:num w:numId="2" w16cid:durableId="840851798">
    <w:abstractNumId w:val="2"/>
  </w:num>
  <w:num w:numId="3" w16cid:durableId="1724059957">
    <w:abstractNumId w:val="3"/>
  </w:num>
  <w:num w:numId="4" w16cid:durableId="75517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0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1AA5"/>
    <w:rsid w:val="00040252"/>
    <w:rsid w:val="002A6596"/>
    <w:rsid w:val="005F1AA5"/>
    <w:rsid w:val="0088399E"/>
    <w:rsid w:val="008D35F5"/>
    <w:rsid w:val="00965CEB"/>
    <w:rsid w:val="00993FC2"/>
    <w:rsid w:val="009E1CBE"/>
    <w:rsid w:val="00A9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26ABF"/>
  <w15:chartTrackingRefBased/>
  <w15:docId w15:val="{40220555-E8B0-4E2E-A6C4-034D1DD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E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65CEB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965CEB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965CEB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65CEB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65CEB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965CEB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965CEB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5CEB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965CEB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E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CEB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4051A0-1FCB-42B2-BD69-6A209EDA8B3D}"/>
</file>

<file path=customXml/itemProps2.xml><?xml version="1.0" encoding="utf-8"?>
<ds:datastoreItem xmlns:ds="http://schemas.openxmlformats.org/officeDocument/2006/customXml" ds:itemID="{EB54C835-82C6-4BC2-A83C-1998B318F0E4}"/>
</file>

<file path=customXml/itemProps3.xml><?xml version="1.0" encoding="utf-8"?>
<ds:datastoreItem xmlns:ds="http://schemas.openxmlformats.org/officeDocument/2006/customXml" ds:itemID="{D1E6F332-1692-41DF-A4FD-26808D86879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4031</Words>
  <Characters>22514</Characters>
  <Application>Microsoft Office Word</Application>
  <DocSecurity>0</DocSecurity>
  <Lines>569</Lines>
  <Paragraphs>303</Paragraphs>
  <ScaleCrop>false</ScaleCrop>
  <Company>European Banking Authority</Company>
  <LinksUpToDate>false</LinksUpToDate>
  <CharactersWithSpaces>26288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BROZ Jindrich (DGT)</cp:lastModifiedBy>
  <cp:revision>7</cp:revision>
  <dcterms:created xsi:type="dcterms:W3CDTF">2021-03-11T13:58:00Z</dcterms:created>
  <dcterms:modified xsi:type="dcterms:W3CDTF">2024-10-18T07:05:00Z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31c5b8c8,660b6b50,60e3f79b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2024-09-26T15:13:50Z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0ee3728c-1744-4b67-9353-cfd3229b07bf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