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647B8" w14:textId="080B76AD" w:rsidR="00931C32" w:rsidRPr="001F1865" w:rsidRDefault="3E2CC804" w:rsidP="06503780">
      <w:pPr>
        <w:pStyle w:val="Titlelevel2"/>
        <w:spacing w:before="0"/>
        <w:rPr>
          <w:rFonts w:ascii="Times New Roman" w:hAnsi="Times New Roman" w:cs="Times New Roman"/>
          <w:b/>
          <w:color w:val="auto"/>
          <w:sz w:val="24"/>
          <w:lang w:val="en-GB"/>
        </w:rPr>
      </w:pPr>
      <w:r w:rsidRPr="001F1865">
        <w:rPr>
          <w:rFonts w:ascii="Times New Roman" w:hAnsi="Times New Roman" w:cs="Times New Roman"/>
          <w:b/>
          <w:color w:val="auto"/>
          <w:sz w:val="24"/>
          <w:lang w:val="en-GB"/>
        </w:rPr>
        <w:t xml:space="preserve">ANNEX XXX – Market risk standardized and internal approach disclosure tables and templates: Instructions </w:t>
      </w:r>
    </w:p>
    <w:p w14:paraId="30BCD097" w14:textId="4E7CD1C5" w:rsidR="00931C32" w:rsidRPr="001F1865" w:rsidRDefault="3E2CC804" w:rsidP="5DD19F35">
      <w:pPr>
        <w:pStyle w:val="Titlelevel2"/>
        <w:numPr>
          <w:ilvl w:val="0"/>
          <w:numId w:val="4"/>
        </w:numPr>
        <w:spacing w:before="0"/>
        <w:jc w:val="both"/>
        <w:rPr>
          <w:rFonts w:ascii="Times New Roman" w:hAnsi="Times New Roman" w:cs="Times New Roman"/>
          <w:color w:val="auto"/>
          <w:sz w:val="24"/>
          <w:lang w:val="en-GB"/>
        </w:rPr>
      </w:pPr>
      <w:r w:rsidRPr="001F1865">
        <w:rPr>
          <w:rFonts w:ascii="Times New Roman" w:hAnsi="Times New Roman" w:cs="Times New Roman"/>
          <w:color w:val="auto"/>
          <w:sz w:val="24"/>
          <w:lang w:val="en-GB"/>
        </w:rPr>
        <w:t>This annex includes</w:t>
      </w:r>
      <w:r w:rsidR="0904027C" w:rsidRPr="001F1865">
        <w:rPr>
          <w:rFonts w:ascii="Times New Roman" w:hAnsi="Times New Roman" w:cs="Times New Roman"/>
          <w:color w:val="auto"/>
          <w:sz w:val="24"/>
          <w:lang w:val="en-GB"/>
        </w:rPr>
        <w:t xml:space="preserve"> </w:t>
      </w:r>
      <w:r w:rsidRPr="001F1865">
        <w:rPr>
          <w:rFonts w:ascii="Times New Roman" w:hAnsi="Times New Roman" w:cs="Times New Roman"/>
          <w:color w:val="auto"/>
          <w:sz w:val="24"/>
          <w:lang w:val="en-GB"/>
        </w:rPr>
        <w:t>the instructions that institutions shall follow when disclosing the information referred to in Articles 435, 445 and 455 of Regulation (EU) 575/2013</w:t>
      </w:r>
      <w:r w:rsidR="00931C32" w:rsidRPr="00DB0A49">
        <w:rPr>
          <w:rStyle w:val="FootnoteReference"/>
          <w:rFonts w:ascii="Times New Roman" w:hAnsi="Times New Roman" w:cs="Times New Roman"/>
          <w:color w:val="auto"/>
          <w:lang w:val="en-GB"/>
        </w:rPr>
        <w:footnoteReference w:id="2"/>
      </w:r>
      <w:r w:rsidRPr="001F1865">
        <w:rPr>
          <w:rFonts w:ascii="Times New Roman" w:hAnsi="Times New Roman" w:cs="Times New Roman"/>
          <w:color w:val="auto"/>
          <w:sz w:val="24"/>
          <w:lang w:val="en-GB"/>
        </w:rPr>
        <w:t xml:space="preserve"> (“</w:t>
      </w:r>
      <w:r w:rsidR="742F8FBC" w:rsidRPr="001F1865">
        <w:rPr>
          <w:rFonts w:ascii="Times New Roman" w:hAnsi="Times New Roman" w:cs="Times New Roman"/>
          <w:color w:val="auto"/>
          <w:sz w:val="24"/>
          <w:lang w:val="en-GB"/>
        </w:rPr>
        <w:t>CRR</w:t>
      </w:r>
      <w:r w:rsidRPr="001F1865">
        <w:rPr>
          <w:rFonts w:ascii="Times New Roman" w:hAnsi="Times New Roman" w:cs="Times New Roman"/>
          <w:color w:val="auto"/>
          <w:sz w:val="24"/>
          <w:lang w:val="en-GB"/>
        </w:rPr>
        <w:t xml:space="preserve">”) to complete the market risk disclosure tables and templates which are presented in Annex XXIX </w:t>
      </w:r>
      <w:r w:rsidR="002316A7">
        <w:rPr>
          <w:rFonts w:ascii="Times New Roman" w:hAnsi="Times New Roman" w:cs="Times New Roman"/>
          <w:color w:val="auto"/>
          <w:sz w:val="24"/>
          <w:lang w:val="en-GB"/>
        </w:rPr>
        <w:t>of the EBA IT solutions</w:t>
      </w:r>
      <w:r w:rsidRPr="001F1865">
        <w:rPr>
          <w:rFonts w:ascii="Times New Roman" w:hAnsi="Times New Roman" w:cs="Times New Roman"/>
          <w:color w:val="auto"/>
          <w:sz w:val="24"/>
          <w:lang w:val="en-GB"/>
        </w:rPr>
        <w:t xml:space="preserve">. </w:t>
      </w:r>
    </w:p>
    <w:p w14:paraId="69DA8DE0" w14:textId="77777777" w:rsidR="00931C32" w:rsidRPr="001F1865" w:rsidRDefault="00931C32" w:rsidP="00931C32">
      <w:pPr>
        <w:spacing w:after="240"/>
        <w:jc w:val="both"/>
        <w:rPr>
          <w:rFonts w:ascii="Times New Roman" w:hAnsi="Times New Roman" w:cs="Times New Roman"/>
          <w:sz w:val="24"/>
        </w:rPr>
      </w:pPr>
      <w:r w:rsidRPr="001F1865">
        <w:rPr>
          <w:rFonts w:ascii="Times New Roman" w:hAnsi="Times New Roman" w:cs="Times New Roman"/>
          <w:b/>
          <w:sz w:val="24"/>
        </w:rPr>
        <w:t>Table EU MRA</w:t>
      </w:r>
      <w:r w:rsidRPr="001F1865">
        <w:rPr>
          <w:rFonts w:ascii="Times New Roman" w:hAnsi="Times New Roman" w:cs="Times New Roman"/>
          <w:sz w:val="24"/>
        </w:rPr>
        <w:t xml:space="preserve"> </w:t>
      </w:r>
      <w:r w:rsidRPr="001F1865">
        <w:rPr>
          <w:rFonts w:ascii="Times New Roman" w:hAnsi="Times New Roman" w:cs="Times New Roman"/>
          <w:b/>
          <w:sz w:val="24"/>
        </w:rPr>
        <w:t>- Qualitative disclosure requirements related to market risk:</w:t>
      </w:r>
      <w:r w:rsidRPr="001F1865">
        <w:rPr>
          <w:rFonts w:ascii="Times New Roman" w:hAnsi="Times New Roman" w:cs="Times New Roman"/>
          <w:sz w:val="24"/>
        </w:rPr>
        <w:t xml:space="preserve"> Free format text boxes</w:t>
      </w:r>
    </w:p>
    <w:p w14:paraId="1B9BDBE7" w14:textId="621617DF" w:rsidR="00931C32" w:rsidRPr="001F1865" w:rsidRDefault="00931C32" w:rsidP="72461198">
      <w:pPr>
        <w:pStyle w:val="Titlelevel2"/>
        <w:numPr>
          <w:ilvl w:val="0"/>
          <w:numId w:val="4"/>
        </w:numPr>
        <w:spacing w:before="0"/>
        <w:jc w:val="both"/>
        <w:rPr>
          <w:rFonts w:ascii="Times New Roman" w:hAnsi="Times New Roman" w:cs="Times New Roman"/>
          <w:sz w:val="24"/>
          <w:lang w:val="en-GB"/>
        </w:rPr>
      </w:pPr>
      <w:r w:rsidRPr="001F1865">
        <w:rPr>
          <w:rFonts w:ascii="Times New Roman" w:eastAsiaTheme="minorEastAsia" w:hAnsi="Times New Roman" w:cs="Times New Roman"/>
          <w:color w:val="000000" w:themeColor="text1"/>
          <w:sz w:val="24"/>
          <w:lang w:val="en-GB"/>
        </w:rPr>
        <w:t>Institutions shall disclose the information referred to in Article 435(1)</w:t>
      </w:r>
      <w:r w:rsidR="00BE4793" w:rsidRPr="001F1865">
        <w:rPr>
          <w:rFonts w:ascii="Times New Roman" w:eastAsiaTheme="minorEastAsia" w:hAnsi="Times New Roman" w:cs="Times New Roman"/>
          <w:color w:val="000000" w:themeColor="text1"/>
          <w:sz w:val="24"/>
          <w:lang w:val="en-GB"/>
        </w:rPr>
        <w:t>, points (a) to</w:t>
      </w:r>
      <w:r w:rsidR="001057C3" w:rsidRPr="001F1865">
        <w:rPr>
          <w:rFonts w:ascii="Times New Roman" w:eastAsiaTheme="minorEastAsia" w:hAnsi="Times New Roman" w:cs="Times New Roman"/>
          <w:color w:val="000000" w:themeColor="text1"/>
          <w:sz w:val="24"/>
          <w:lang w:val="en-GB"/>
        </w:rPr>
        <w:t xml:space="preserve"> (d) of the</w:t>
      </w:r>
      <w:r w:rsidR="4B1E0054" w:rsidRPr="001F1865">
        <w:rPr>
          <w:rFonts w:ascii="Times New Roman" w:eastAsiaTheme="minorEastAsia" w:hAnsi="Times New Roman" w:cs="Times New Roman"/>
          <w:color w:val="000000" w:themeColor="text1"/>
          <w:sz w:val="24"/>
          <w:lang w:val="en-GB"/>
        </w:rPr>
        <w:t xml:space="preserve"> </w:t>
      </w:r>
      <w:r w:rsidR="7C6238D6" w:rsidRPr="001F1865">
        <w:rPr>
          <w:rFonts w:ascii="Times New Roman" w:eastAsiaTheme="minorEastAsia" w:hAnsi="Times New Roman" w:cs="Times New Roman"/>
          <w:color w:val="000000" w:themeColor="text1"/>
          <w:sz w:val="24"/>
          <w:lang w:val="en-GB"/>
        </w:rPr>
        <w:t xml:space="preserve">Regulation (EU) 575/2013 </w:t>
      </w:r>
      <w:r w:rsidRPr="001F1865">
        <w:rPr>
          <w:rFonts w:ascii="Times New Roman" w:eastAsiaTheme="minorEastAsia" w:hAnsi="Times New Roman" w:cs="Times New Roman"/>
          <w:color w:val="000000" w:themeColor="text1"/>
          <w:sz w:val="24"/>
          <w:lang w:val="en-GB"/>
        </w:rPr>
        <w:t>with regards to market risk by following the instructions provided below in this Annex to complete table EU MRA which is presented in Annex XXIX.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31C32" w:rsidRPr="001F1865" w14:paraId="4FA5DD43" w14:textId="77777777" w:rsidTr="72461198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879875" w14:textId="77777777" w:rsidR="00931C32" w:rsidRPr="001F1865" w:rsidRDefault="00931C32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 w:rsidRPr="001F1865">
              <w:rPr>
                <w:rFonts w:ascii="Times New Roman" w:hAnsi="Times New Roman" w:cs="Times New Roman"/>
                <w:b/>
                <w:sz w:val="24"/>
              </w:rPr>
              <w:t>Legal references and instructions</w:t>
            </w:r>
          </w:p>
        </w:tc>
      </w:tr>
      <w:tr w:rsidR="00931C32" w:rsidRPr="001F1865" w14:paraId="0BB6A5B1" w14:textId="77777777" w:rsidTr="72461198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7A522B50" w14:textId="77777777" w:rsidR="00931C32" w:rsidRPr="001F1865" w:rsidRDefault="00931C32" w:rsidP="00DE090B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 w:rsidRPr="001F1865">
              <w:rPr>
                <w:rFonts w:ascii="Times New Roman" w:hAnsi="Times New Roman" w:cs="Times New Roman"/>
                <w:b/>
                <w:sz w:val="24"/>
              </w:rPr>
              <w:t>Row number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7BF504D8" w14:textId="77777777" w:rsidR="00931C32" w:rsidRPr="001F1865" w:rsidRDefault="00931C32" w:rsidP="00DE090B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F1865">
              <w:rPr>
                <w:rFonts w:ascii="Times New Roman" w:hAnsi="Times New Roman" w:cs="Times New Roman"/>
                <w:b/>
                <w:sz w:val="24"/>
              </w:rPr>
              <w:t>Explanation</w:t>
            </w:r>
          </w:p>
        </w:tc>
      </w:tr>
      <w:tr w:rsidR="00931C32" w:rsidRPr="001F1865" w14:paraId="75D64070" w14:textId="77777777" w:rsidTr="72461198">
        <w:trPr>
          <w:trHeight w:val="680"/>
        </w:trPr>
        <w:tc>
          <w:tcPr>
            <w:tcW w:w="1384" w:type="dxa"/>
          </w:tcPr>
          <w:p w14:paraId="5CBE7772" w14:textId="77777777" w:rsidR="00931C32" w:rsidRPr="001F1865" w:rsidRDefault="00931C32" w:rsidP="00DE090B">
            <w:pPr>
              <w:pStyle w:val="Applicationdirecte"/>
              <w:spacing w:before="0" w:after="240"/>
              <w:jc w:val="center"/>
            </w:pPr>
            <w:r w:rsidRPr="001F1865">
              <w:t>(a)</w:t>
            </w:r>
          </w:p>
        </w:tc>
        <w:tc>
          <w:tcPr>
            <w:tcW w:w="7655" w:type="dxa"/>
            <w:vAlign w:val="center"/>
          </w:tcPr>
          <w:p w14:paraId="0ECBECD6" w14:textId="59A2C39A" w:rsidR="00931C32" w:rsidRPr="001F1865" w:rsidRDefault="00931C32" w:rsidP="72461198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1F1865">
              <w:rPr>
                <w:rFonts w:ascii="Times New Roman" w:hAnsi="Times New Roman" w:cs="Times New Roman"/>
                <w:sz w:val="24"/>
              </w:rPr>
              <w:t>When disclosing information referred to in Article 435 (1)</w:t>
            </w:r>
            <w:r w:rsidR="5A6F7853" w:rsidRPr="001F1865">
              <w:rPr>
                <w:rFonts w:ascii="Times New Roman" w:hAnsi="Times New Roman" w:cs="Times New Roman"/>
                <w:sz w:val="24"/>
              </w:rPr>
              <w:t>, points (a) and (d) of the</w:t>
            </w:r>
            <w:r w:rsidRPr="001F1865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745D248" w:rsidRPr="001F1865">
              <w:rPr>
                <w:rFonts w:ascii="Times New Roman" w:hAnsi="Times New Roman" w:cs="Times New Roman"/>
                <w:sz w:val="24"/>
              </w:rPr>
              <w:t xml:space="preserve">Regulation (EU) 575/2013 </w:t>
            </w:r>
            <w:r w:rsidRPr="001F1865">
              <w:rPr>
                <w:rFonts w:ascii="Times New Roman" w:hAnsi="Times New Roman" w:cs="Times New Roman"/>
                <w:sz w:val="24"/>
              </w:rPr>
              <w:t xml:space="preserve">on the risk management objectives and policies 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>to manage market risk, institutions shall include:</w:t>
            </w:r>
          </w:p>
          <w:p w14:paraId="2954CCD3" w14:textId="77777777" w:rsidR="00931C32" w:rsidRPr="001F1865" w:rsidRDefault="00931C32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865">
              <w:rPr>
                <w:rFonts w:ascii="Times New Roman" w:eastAsia="Times New Roman" w:hAnsi="Times New Roman"/>
                <w:sz w:val="24"/>
                <w:szCs w:val="24"/>
              </w:rPr>
              <w:t xml:space="preserve">an explanation of their management’s strategic objectives in undertaking trading activities; </w:t>
            </w:r>
          </w:p>
          <w:p w14:paraId="28C8AA1E" w14:textId="2D7A10DE" w:rsidR="00DE4020" w:rsidRPr="001F1865" w:rsidRDefault="00EC10EF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865">
              <w:rPr>
                <w:rFonts w:ascii="Times New Roman" w:hAnsi="Times New Roman"/>
                <w:sz w:val="24"/>
                <w:szCs w:val="24"/>
              </w:rPr>
              <w:t xml:space="preserve">a description of </w:t>
            </w:r>
            <w:r w:rsidR="00A57E44" w:rsidRPr="001F1865">
              <w:rPr>
                <w:rFonts w:ascii="Times New Roman" w:hAnsi="Times New Roman"/>
                <w:sz w:val="24"/>
                <w:szCs w:val="24"/>
              </w:rPr>
              <w:t xml:space="preserve">the policies referred to in Article 104 (1) for determining which position is to be included in the trading </w:t>
            </w:r>
            <w:r w:rsidR="006E73FE" w:rsidRPr="001F1865">
              <w:rPr>
                <w:rFonts w:ascii="Times New Roman" w:hAnsi="Times New Roman"/>
                <w:sz w:val="24"/>
                <w:szCs w:val="24"/>
              </w:rPr>
              <w:t>book</w:t>
            </w:r>
            <w:r w:rsidR="0067349D" w:rsidRPr="001F1865">
              <w:rPr>
                <w:rFonts w:ascii="Times New Roman" w:hAnsi="Times New Roman"/>
                <w:sz w:val="24"/>
                <w:szCs w:val="24"/>
              </w:rPr>
              <w:t>, including the definition of stale positions</w:t>
            </w:r>
            <w:r w:rsidR="006D7761" w:rsidRPr="001F1865">
              <w:rPr>
                <w:rFonts w:ascii="Times New Roman" w:hAnsi="Times New Roman"/>
                <w:sz w:val="24"/>
                <w:szCs w:val="24"/>
              </w:rPr>
              <w:t xml:space="preserve"> and</w:t>
            </w:r>
            <w:r w:rsidR="0067349D" w:rsidRPr="001F1865">
              <w:rPr>
                <w:rFonts w:ascii="Times New Roman" w:hAnsi="Times New Roman"/>
                <w:sz w:val="24"/>
                <w:szCs w:val="24"/>
              </w:rPr>
              <w:t xml:space="preserve"> the risk management policies for monitoring those positions</w:t>
            </w:r>
            <w:r w:rsidR="006D7761" w:rsidRPr="001F1865">
              <w:rPr>
                <w:rFonts w:ascii="Times New Roman" w:hAnsi="Times New Roman"/>
                <w:sz w:val="24"/>
                <w:szCs w:val="24"/>
              </w:rPr>
              <w:t xml:space="preserve">. In addition, institutions </w:t>
            </w:r>
            <w:r w:rsidR="0060218B" w:rsidRPr="001F1865">
              <w:rPr>
                <w:rFonts w:ascii="Times New Roman" w:hAnsi="Times New Roman"/>
                <w:sz w:val="24"/>
                <w:szCs w:val="24"/>
              </w:rPr>
              <w:t xml:space="preserve">shall describe </w:t>
            </w:r>
            <w:r w:rsidR="0067349D" w:rsidRPr="001F1865">
              <w:rPr>
                <w:rFonts w:ascii="Times New Roman" w:hAnsi="Times New Roman"/>
                <w:sz w:val="24"/>
                <w:szCs w:val="24"/>
              </w:rPr>
              <w:t>cases where instruments are assigned to the trading or banking book contrary to the general presumptions of their instrument category</w:t>
            </w:r>
            <w:r w:rsidR="00B9598A" w:rsidRPr="001F1865">
              <w:rPr>
                <w:rFonts w:ascii="Times New Roman" w:hAnsi="Times New Roman"/>
                <w:sz w:val="24"/>
                <w:szCs w:val="24"/>
              </w:rPr>
              <w:t xml:space="preserve">, including their market and </w:t>
            </w:r>
            <w:r w:rsidR="00C225C5" w:rsidRPr="001F1865">
              <w:rPr>
                <w:rFonts w:ascii="Times New Roman" w:hAnsi="Times New Roman"/>
                <w:sz w:val="24"/>
                <w:szCs w:val="24"/>
              </w:rPr>
              <w:t xml:space="preserve">fair </w:t>
            </w:r>
            <w:r w:rsidR="0003639D" w:rsidRPr="001F1865">
              <w:rPr>
                <w:rFonts w:ascii="Times New Roman" w:hAnsi="Times New Roman"/>
                <w:sz w:val="24"/>
                <w:szCs w:val="24"/>
              </w:rPr>
              <w:t>value of such cases</w:t>
            </w:r>
            <w:r w:rsidR="0067349D" w:rsidRPr="001F1865">
              <w:rPr>
                <w:rFonts w:ascii="Times New Roman" w:hAnsi="Times New Roman"/>
                <w:sz w:val="24"/>
                <w:szCs w:val="24"/>
              </w:rPr>
              <w:t xml:space="preserve"> a</w:t>
            </w:r>
            <w:r w:rsidR="00E33CFA" w:rsidRPr="001F1865">
              <w:rPr>
                <w:rFonts w:ascii="Times New Roman" w:hAnsi="Times New Roman"/>
                <w:sz w:val="24"/>
                <w:szCs w:val="24"/>
              </w:rPr>
              <w:t>s well as</w:t>
            </w:r>
            <w:r w:rsidR="0067349D" w:rsidRPr="001F1865">
              <w:rPr>
                <w:rFonts w:ascii="Times New Roman" w:hAnsi="Times New Roman"/>
                <w:sz w:val="24"/>
                <w:szCs w:val="24"/>
              </w:rPr>
              <w:t xml:space="preserve"> any reclassification from one book to the other since the last reporting period</w:t>
            </w:r>
            <w:r w:rsidR="0003639D" w:rsidRPr="001F1865">
              <w:rPr>
                <w:rFonts w:ascii="Times New Roman" w:hAnsi="Times New Roman"/>
                <w:sz w:val="24"/>
                <w:szCs w:val="24"/>
              </w:rPr>
              <w:t xml:space="preserve">, including </w:t>
            </w:r>
            <w:r w:rsidR="00A87CCE" w:rsidRPr="001F1865">
              <w:rPr>
                <w:rFonts w:ascii="Times New Roman" w:hAnsi="Times New Roman"/>
                <w:sz w:val="24"/>
                <w:szCs w:val="24"/>
              </w:rPr>
              <w:t xml:space="preserve">the </w:t>
            </w:r>
            <w:r w:rsidR="000336E7" w:rsidRPr="001F1865">
              <w:rPr>
                <w:rFonts w:ascii="Times New Roman" w:hAnsi="Times New Roman"/>
                <w:sz w:val="24"/>
                <w:szCs w:val="24"/>
              </w:rPr>
              <w:t xml:space="preserve">fair </w:t>
            </w:r>
            <w:r w:rsidR="00A87CCE" w:rsidRPr="001F1865">
              <w:rPr>
                <w:rFonts w:ascii="Times New Roman" w:hAnsi="Times New Roman"/>
                <w:sz w:val="24"/>
                <w:szCs w:val="24"/>
              </w:rPr>
              <w:t>value of the such cases and the reason for the reclassification</w:t>
            </w:r>
            <w:r w:rsidR="006E73FE" w:rsidRPr="001F186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0F3C237" w14:textId="77E3E75D" w:rsidR="00795618" w:rsidRPr="001F1865" w:rsidRDefault="002C5234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865">
              <w:rPr>
                <w:rFonts w:ascii="Times New Roman" w:hAnsi="Times New Roman"/>
                <w:sz w:val="24"/>
                <w:szCs w:val="24"/>
              </w:rPr>
              <w:t>a description of internal risk transfer activities, including the types of internal risk transfer desk</w:t>
            </w:r>
            <w:r w:rsidR="006B62CF" w:rsidRPr="001F186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7B1142E" w14:textId="77777777" w:rsidR="00931C32" w:rsidRPr="001F1865" w:rsidRDefault="00931C32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865">
              <w:rPr>
                <w:rFonts w:ascii="Times New Roman" w:eastAsia="Times New Roman" w:hAnsi="Times New Roman"/>
                <w:sz w:val="24"/>
                <w:szCs w:val="24"/>
              </w:rPr>
              <w:t>the processes implemented to identify, measure, monitor and control the institution’s market risks;</w:t>
            </w:r>
          </w:p>
          <w:p w14:paraId="216165DD" w14:textId="77777777" w:rsidR="00931C32" w:rsidRPr="001F1865" w:rsidRDefault="00931C32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865">
              <w:rPr>
                <w:rFonts w:ascii="Times New Roman" w:eastAsia="Times New Roman" w:hAnsi="Times New Roman"/>
                <w:sz w:val="24"/>
                <w:szCs w:val="24"/>
              </w:rPr>
              <w:t>the policies for hedging and mitigating risk;</w:t>
            </w:r>
          </w:p>
          <w:p w14:paraId="5B43C932" w14:textId="77777777" w:rsidR="00931C32" w:rsidRPr="001F1865" w:rsidRDefault="00931C32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186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strategies and processes for monitoring the continuing effectiveness of hedges.</w:t>
            </w:r>
          </w:p>
        </w:tc>
      </w:tr>
      <w:tr w:rsidR="00931C32" w:rsidRPr="001F1865" w14:paraId="2F078747" w14:textId="77777777" w:rsidTr="72461198">
        <w:trPr>
          <w:trHeight w:val="680"/>
        </w:trPr>
        <w:tc>
          <w:tcPr>
            <w:tcW w:w="1384" w:type="dxa"/>
          </w:tcPr>
          <w:p w14:paraId="3715BE68" w14:textId="77777777" w:rsidR="00931C32" w:rsidRPr="001F1865" w:rsidRDefault="00931C32" w:rsidP="00DE090B">
            <w:pPr>
              <w:pStyle w:val="Applicationdirecte"/>
              <w:spacing w:before="0" w:after="240"/>
              <w:jc w:val="center"/>
            </w:pPr>
            <w:r w:rsidRPr="001F1865">
              <w:lastRenderedPageBreak/>
              <w:t>(b)</w:t>
            </w:r>
          </w:p>
        </w:tc>
        <w:tc>
          <w:tcPr>
            <w:tcW w:w="7655" w:type="dxa"/>
          </w:tcPr>
          <w:p w14:paraId="57B23AAF" w14:textId="53C0A959" w:rsidR="00931C32" w:rsidRPr="001F1865" w:rsidRDefault="00931C32" w:rsidP="72461198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lang w:eastAsia="sv-SE"/>
              </w:rPr>
            </w:pPr>
            <w:r w:rsidRPr="001F1865">
              <w:rPr>
                <w:rFonts w:ascii="Times New Roman" w:eastAsia="Times New Roman" w:hAnsi="Times New Roman" w:cs="Times New Roman"/>
                <w:sz w:val="24"/>
                <w:lang w:eastAsia="sv-SE"/>
              </w:rPr>
              <w:t>When disclosing information referred to in Article 435 (1)</w:t>
            </w:r>
            <w:r w:rsidR="4A6C2180" w:rsidRPr="001F1865">
              <w:rPr>
                <w:rFonts w:ascii="Times New Roman" w:eastAsia="Times New Roman" w:hAnsi="Times New Roman" w:cs="Times New Roman"/>
                <w:sz w:val="24"/>
                <w:lang w:eastAsia="sv-SE"/>
              </w:rPr>
              <w:t>, point (b)</w:t>
            </w:r>
            <w:r w:rsidR="5838B90A" w:rsidRPr="001F1865">
              <w:rPr>
                <w:rFonts w:ascii="Times New Roman" w:eastAsia="Times New Roman" w:hAnsi="Times New Roman" w:cs="Times New Roman"/>
                <w:sz w:val="24"/>
                <w:lang w:eastAsia="sv-SE"/>
              </w:rPr>
              <w:t xml:space="preserve"> of the</w:t>
            </w:r>
            <w:r w:rsidRPr="001F1865">
              <w:rPr>
                <w:rFonts w:ascii="Times New Roman" w:eastAsia="Times New Roman" w:hAnsi="Times New Roman" w:cs="Times New Roman"/>
                <w:sz w:val="24"/>
                <w:lang w:eastAsia="sv-SE"/>
              </w:rPr>
              <w:t xml:space="preserve"> </w:t>
            </w:r>
            <w:r w:rsidR="145659DD" w:rsidRPr="001F1865">
              <w:rPr>
                <w:rFonts w:ascii="Times New Roman" w:hAnsi="Times New Roman" w:cs="Times New Roman"/>
                <w:sz w:val="24"/>
              </w:rPr>
              <w:t>Regulation (EU) 575/2013</w:t>
            </w:r>
            <w:r w:rsidR="145659DD" w:rsidRPr="001F1865">
              <w:rPr>
                <w:rFonts w:ascii="Times New Roman" w:eastAsia="Times New Roman" w:hAnsi="Times New Roman" w:cs="Times New Roman"/>
                <w:sz w:val="24"/>
                <w:lang w:eastAsia="sv-SE"/>
              </w:rPr>
              <w:t xml:space="preserve"> </w:t>
            </w:r>
            <w:r w:rsidRPr="001F1865">
              <w:rPr>
                <w:rFonts w:ascii="Times New Roman" w:eastAsia="Times New Roman" w:hAnsi="Times New Roman" w:cs="Times New Roman"/>
                <w:sz w:val="24"/>
                <w:lang w:eastAsia="sv-SE"/>
              </w:rPr>
              <w:t>on the structure and organisation of the market risk management function, institutions shall include:</w:t>
            </w:r>
          </w:p>
          <w:p w14:paraId="15341445" w14:textId="0D70F6B3" w:rsidR="00931C32" w:rsidRPr="001F1865" w:rsidRDefault="00931C32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eastAsia="Times New Roman" w:hAnsi="Times New Roman"/>
                <w:sz w:val="24"/>
                <w:szCs w:val="24"/>
                <w:lang w:eastAsia="sv-SE"/>
              </w:rPr>
            </w:pPr>
            <w:r w:rsidRPr="001F1865">
              <w:rPr>
                <w:rFonts w:ascii="Times New Roman" w:eastAsia="Times New Roman" w:hAnsi="Times New Roman"/>
                <w:sz w:val="24"/>
                <w:szCs w:val="24"/>
                <w:lang w:eastAsia="sv-SE"/>
              </w:rPr>
              <w:t>a description of the market risk governance structure established to implement the strategies and processes of the institution</w:t>
            </w:r>
            <w:r w:rsidR="005938AD" w:rsidRPr="001F1865">
              <w:rPr>
                <w:rFonts w:ascii="Times New Roman" w:eastAsia="Times New Roman" w:hAnsi="Times New Roman"/>
                <w:sz w:val="24"/>
                <w:szCs w:val="24"/>
                <w:lang w:eastAsia="sv-SE"/>
              </w:rPr>
              <w:t>s</w:t>
            </w:r>
            <w:r w:rsidRPr="001F1865">
              <w:rPr>
                <w:rFonts w:ascii="Times New Roman" w:eastAsia="Times New Roman" w:hAnsi="Times New Roman"/>
                <w:sz w:val="24"/>
                <w:szCs w:val="24"/>
                <w:lang w:eastAsia="sv-SE"/>
              </w:rPr>
              <w:t xml:space="preserve"> discussed in row (a) above, </w:t>
            </w:r>
          </w:p>
          <w:p w14:paraId="10C87729" w14:textId="77777777" w:rsidR="00931C32" w:rsidRPr="001F1865" w:rsidRDefault="00931C32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eastAsia="Times New Roman" w:hAnsi="Times New Roman"/>
                <w:sz w:val="24"/>
                <w:szCs w:val="24"/>
                <w:lang w:eastAsia="sv-SE"/>
              </w:rPr>
            </w:pPr>
            <w:r w:rsidRPr="001F1865">
              <w:rPr>
                <w:rFonts w:ascii="Times New Roman" w:eastAsia="Times New Roman" w:hAnsi="Times New Roman"/>
                <w:sz w:val="24"/>
                <w:szCs w:val="24"/>
                <w:lang w:eastAsia="sv-SE"/>
              </w:rPr>
              <w:t xml:space="preserve">a description of the relationships and the communication mechanisms between the different parties involved in market risk management. </w:t>
            </w:r>
          </w:p>
        </w:tc>
      </w:tr>
      <w:tr w:rsidR="00931C32" w:rsidRPr="001F1865" w14:paraId="15179A4A" w14:textId="77777777" w:rsidTr="72461198">
        <w:trPr>
          <w:trHeight w:val="436"/>
        </w:trPr>
        <w:tc>
          <w:tcPr>
            <w:tcW w:w="1384" w:type="dxa"/>
          </w:tcPr>
          <w:p w14:paraId="0F95AF50" w14:textId="77777777" w:rsidR="00931C32" w:rsidRPr="001F1865" w:rsidRDefault="00931C32" w:rsidP="00DE090B">
            <w:pPr>
              <w:pStyle w:val="Applicationdirecte"/>
              <w:spacing w:before="0" w:after="240"/>
              <w:jc w:val="center"/>
            </w:pPr>
            <w:r w:rsidRPr="001F1865">
              <w:t>(c)</w:t>
            </w:r>
          </w:p>
          <w:p w14:paraId="672A6659" w14:textId="77777777" w:rsidR="00931C32" w:rsidRPr="001F1865" w:rsidRDefault="00931C32" w:rsidP="00DE090B">
            <w:pPr>
              <w:pStyle w:val="Fait"/>
              <w:spacing w:before="0" w:after="240"/>
            </w:pPr>
          </w:p>
        </w:tc>
        <w:tc>
          <w:tcPr>
            <w:tcW w:w="7655" w:type="dxa"/>
          </w:tcPr>
          <w:p w14:paraId="1ADA7F58" w14:textId="27D05688" w:rsidR="00931C32" w:rsidRPr="001F1865" w:rsidRDefault="3E2CC804" w:rsidP="72461198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lang w:eastAsia="sv-SE"/>
              </w:rPr>
            </w:pPr>
            <w:r w:rsidRPr="001F1865">
              <w:rPr>
                <w:rFonts w:ascii="Times New Roman" w:eastAsia="Times New Roman" w:hAnsi="Times New Roman" w:cs="Times New Roman"/>
                <w:sz w:val="24"/>
                <w:lang w:eastAsia="sv-SE"/>
              </w:rPr>
              <w:t>When disclosing information referred to in Article 435 (1)</w:t>
            </w:r>
            <w:r w:rsidR="6FFE0D8A" w:rsidRPr="001F1865">
              <w:rPr>
                <w:rFonts w:ascii="Times New Roman" w:eastAsia="Times New Roman" w:hAnsi="Times New Roman" w:cs="Times New Roman"/>
                <w:sz w:val="24"/>
                <w:lang w:eastAsia="sv-SE"/>
              </w:rPr>
              <w:t>, point (c) of the</w:t>
            </w:r>
            <w:r w:rsidRPr="001F1865">
              <w:rPr>
                <w:rFonts w:ascii="Times New Roman" w:eastAsia="Times New Roman" w:hAnsi="Times New Roman" w:cs="Times New Roman"/>
                <w:sz w:val="24"/>
                <w:lang w:eastAsia="sv-SE"/>
              </w:rPr>
              <w:t xml:space="preserve"> </w:t>
            </w:r>
            <w:r w:rsidR="27A218A6" w:rsidRPr="001F1865">
              <w:rPr>
                <w:rFonts w:ascii="Times New Roman" w:hAnsi="Times New Roman" w:cs="Times New Roman"/>
                <w:sz w:val="24"/>
              </w:rPr>
              <w:t>Regulation (EU) 575/2013</w:t>
            </w:r>
            <w:r w:rsidR="27A218A6" w:rsidRPr="001F1865">
              <w:rPr>
                <w:rFonts w:ascii="Times New Roman" w:eastAsia="Times New Roman" w:hAnsi="Times New Roman" w:cs="Times New Roman"/>
                <w:sz w:val="24"/>
                <w:lang w:eastAsia="sv-SE"/>
              </w:rPr>
              <w:t xml:space="preserve"> </w:t>
            </w:r>
            <w:r w:rsidRPr="001F1865">
              <w:rPr>
                <w:rFonts w:ascii="Times New Roman" w:eastAsia="Times New Roman" w:hAnsi="Times New Roman" w:cs="Times New Roman"/>
                <w:sz w:val="24"/>
                <w:lang w:eastAsia="sv-SE"/>
              </w:rPr>
              <w:t xml:space="preserve">on the scope and nature of market risk </w:t>
            </w:r>
            <w:r w:rsidR="6D22FA9D" w:rsidRPr="001F1865">
              <w:rPr>
                <w:rFonts w:ascii="Times New Roman" w:eastAsia="Times New Roman" w:hAnsi="Times New Roman" w:cs="Times New Roman"/>
                <w:sz w:val="24"/>
                <w:lang w:eastAsia="sv-SE"/>
              </w:rPr>
              <w:t xml:space="preserve">reporting </w:t>
            </w:r>
            <w:r w:rsidRPr="001F1865">
              <w:rPr>
                <w:rFonts w:ascii="Times New Roman" w:eastAsia="Times New Roman" w:hAnsi="Times New Roman" w:cs="Times New Roman"/>
                <w:sz w:val="24"/>
                <w:lang w:eastAsia="sv-SE"/>
              </w:rPr>
              <w:t xml:space="preserve">and measurement systems, institutions shall provide a description of the scope and nature of market risk </w:t>
            </w:r>
            <w:r w:rsidR="14D86BD5" w:rsidRPr="001F1865">
              <w:rPr>
                <w:rFonts w:ascii="Times New Roman" w:eastAsia="Times New Roman" w:hAnsi="Times New Roman" w:cs="Times New Roman"/>
                <w:sz w:val="24"/>
                <w:lang w:eastAsia="sv-SE"/>
              </w:rPr>
              <w:t xml:space="preserve">reporting </w:t>
            </w:r>
            <w:r w:rsidRPr="001F1865">
              <w:rPr>
                <w:rFonts w:ascii="Times New Roman" w:eastAsia="Times New Roman" w:hAnsi="Times New Roman" w:cs="Times New Roman"/>
                <w:sz w:val="24"/>
                <w:lang w:eastAsia="sv-SE"/>
              </w:rPr>
              <w:t xml:space="preserve">and the measurement systems. </w:t>
            </w:r>
          </w:p>
        </w:tc>
      </w:tr>
      <w:tr w:rsidR="06503780" w:rsidRPr="001F1865" w14:paraId="5B327CF1" w14:textId="77777777" w:rsidTr="72461198">
        <w:trPr>
          <w:trHeight w:val="435"/>
        </w:trPr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B48C11C" w14:textId="4971874D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sz w:val="24"/>
              </w:rPr>
              <w:t>(</w:t>
            </w:r>
            <w:r w:rsidR="00200AE2" w:rsidRPr="001F1865">
              <w:rPr>
                <w:rFonts w:ascii="Times New Roman" w:eastAsia="Times New Roman" w:hAnsi="Times New Roman" w:cs="Times New Roman"/>
                <w:sz w:val="24"/>
              </w:rPr>
              <w:t xml:space="preserve">EU 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>d)</w:t>
            </w: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E42D3ED" w14:textId="19D1B8F3" w:rsidR="06503780" w:rsidRPr="001F1865" w:rsidRDefault="5B873F98" w:rsidP="00DB0A49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sz w:val="24"/>
              </w:rPr>
              <w:t>When disclosing information referred to in Article 4</w:t>
            </w:r>
            <w:r w:rsidR="01D445E4" w:rsidRPr="001F1865">
              <w:rPr>
                <w:rFonts w:ascii="Times New Roman" w:eastAsia="Times New Roman" w:hAnsi="Times New Roman" w:cs="Times New Roman"/>
                <w:sz w:val="24"/>
              </w:rPr>
              <w:t>4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>5</w:t>
            </w:r>
            <w:r w:rsidR="6FFE0D8A" w:rsidRPr="001F1865">
              <w:rPr>
                <w:rFonts w:ascii="Times New Roman" w:eastAsia="Times New Roman" w:hAnsi="Times New Roman" w:cs="Times New Roman"/>
                <w:sz w:val="24"/>
              </w:rPr>
              <w:t xml:space="preserve"> (1) of the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11FE2AC9" w:rsidRPr="001F1865">
              <w:rPr>
                <w:rFonts w:ascii="Times New Roman" w:hAnsi="Times New Roman" w:cs="Times New Roman"/>
                <w:sz w:val="24"/>
              </w:rPr>
              <w:t>Regulation (EU) 575/2013</w:t>
            </w:r>
            <w:r w:rsidR="11FE2AC9" w:rsidRPr="001F1865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>on a general overview of the trading book positions, institutions shall provide a high</w:t>
            </w:r>
            <w:r w:rsidR="00BD6C00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>level description of their trading book positions.</w:t>
            </w:r>
          </w:p>
        </w:tc>
      </w:tr>
    </w:tbl>
    <w:p w14:paraId="0A37501D" w14:textId="5B1DE2AB" w:rsidR="00931C32" w:rsidRPr="001F1865" w:rsidRDefault="00931C32" w:rsidP="06503780">
      <w:pPr>
        <w:pStyle w:val="Titlelevel2"/>
        <w:spacing w:before="0"/>
        <w:rPr>
          <w:rFonts w:ascii="Times New Roman" w:hAnsi="Times New Roman" w:cs="Times New Roman"/>
          <w:b/>
          <w:sz w:val="24"/>
          <w:lang w:val="en-GB"/>
        </w:rPr>
      </w:pPr>
    </w:p>
    <w:p w14:paraId="6A05A809" w14:textId="77777777" w:rsidR="00931C32" w:rsidRPr="001F1865" w:rsidRDefault="00931C32" w:rsidP="00931C32">
      <w:pPr>
        <w:pStyle w:val="Titlelevel2"/>
        <w:spacing w:before="0"/>
        <w:rPr>
          <w:rFonts w:ascii="Times New Roman" w:hAnsi="Times New Roman" w:cs="Times New Roman"/>
          <w:b/>
          <w:color w:val="auto"/>
          <w:sz w:val="24"/>
          <w:lang w:val="en-GB"/>
        </w:rPr>
      </w:pPr>
    </w:p>
    <w:p w14:paraId="21FE8BB6" w14:textId="0765936F" w:rsidR="00931C32" w:rsidRPr="00DB0A49" w:rsidRDefault="4E51ABE0" w:rsidP="00DB0A49">
      <w:pPr>
        <w:spacing w:after="240"/>
        <w:rPr>
          <w:rFonts w:ascii="Times New Roman" w:eastAsia="Times New Roman" w:hAnsi="Times New Roman" w:cs="Times New Roman"/>
          <w:sz w:val="24"/>
        </w:rPr>
      </w:pPr>
      <w:r w:rsidRPr="00DB0A49">
        <w:rPr>
          <w:rFonts w:ascii="Times New Roman" w:eastAsia="Times New Roman" w:hAnsi="Times New Roman" w:cs="Times New Roman"/>
          <w:b/>
          <w:bCs/>
          <w:sz w:val="24"/>
        </w:rPr>
        <w:t xml:space="preserve">Template EU MR1 - Market risk under the </w:t>
      </w:r>
      <w:r w:rsidR="248B5059" w:rsidRPr="00DB0A49">
        <w:rPr>
          <w:rFonts w:ascii="Times New Roman" w:eastAsia="Times New Roman" w:hAnsi="Times New Roman" w:cs="Times New Roman"/>
          <w:b/>
          <w:bCs/>
          <w:sz w:val="24"/>
        </w:rPr>
        <w:t>a</w:t>
      </w:r>
      <w:r w:rsidRPr="00DB0A49">
        <w:rPr>
          <w:rFonts w:ascii="Times New Roman" w:eastAsia="Times New Roman" w:hAnsi="Times New Roman" w:cs="Times New Roman"/>
          <w:b/>
          <w:bCs/>
          <w:sz w:val="24"/>
        </w:rPr>
        <w:t xml:space="preserve">lternative </w:t>
      </w:r>
      <w:r w:rsidR="1F1BC5C4" w:rsidRPr="00DB0A49">
        <w:rPr>
          <w:rFonts w:ascii="Times New Roman" w:eastAsia="Times New Roman" w:hAnsi="Times New Roman" w:cs="Times New Roman"/>
          <w:b/>
          <w:bCs/>
          <w:sz w:val="24"/>
        </w:rPr>
        <w:t>s</w:t>
      </w:r>
      <w:r w:rsidRPr="00DB0A49">
        <w:rPr>
          <w:rFonts w:ascii="Times New Roman" w:eastAsia="Times New Roman" w:hAnsi="Times New Roman" w:cs="Times New Roman"/>
          <w:b/>
          <w:bCs/>
          <w:sz w:val="24"/>
        </w:rPr>
        <w:t xml:space="preserve">tandardised </w:t>
      </w:r>
      <w:r w:rsidR="0CA68764" w:rsidRPr="00DB0A49">
        <w:rPr>
          <w:rFonts w:ascii="Times New Roman" w:eastAsia="Times New Roman" w:hAnsi="Times New Roman" w:cs="Times New Roman"/>
          <w:b/>
          <w:bCs/>
          <w:sz w:val="24"/>
        </w:rPr>
        <w:t>a</w:t>
      </w:r>
      <w:r w:rsidRPr="00DB0A49">
        <w:rPr>
          <w:rFonts w:ascii="Times New Roman" w:eastAsia="Times New Roman" w:hAnsi="Times New Roman" w:cs="Times New Roman"/>
          <w:b/>
          <w:bCs/>
          <w:sz w:val="24"/>
        </w:rPr>
        <w:t>pproach (ASA)</w:t>
      </w:r>
      <w:r w:rsidRPr="00DB0A49">
        <w:rPr>
          <w:rFonts w:ascii="Times New Roman" w:eastAsia="Times New Roman" w:hAnsi="Times New Roman" w:cs="Times New Roman"/>
          <w:sz w:val="24"/>
        </w:rPr>
        <w:t>: fixed format</w:t>
      </w:r>
    </w:p>
    <w:p w14:paraId="328A3EAE" w14:textId="50FF69DE" w:rsidR="00931C32" w:rsidRPr="00DB0A49" w:rsidRDefault="4E51ABE0" w:rsidP="00DB0A49">
      <w:pPr>
        <w:pStyle w:val="Titlelevel2"/>
        <w:numPr>
          <w:ilvl w:val="0"/>
          <w:numId w:val="4"/>
        </w:numPr>
        <w:spacing w:before="0"/>
        <w:ind w:left="284" w:hanging="284"/>
        <w:jc w:val="both"/>
        <w:rPr>
          <w:rFonts w:ascii="Times New Roman" w:eastAsiaTheme="minorEastAsia" w:hAnsi="Times New Roman" w:cs="Times New Roman"/>
          <w:color w:val="auto"/>
          <w:sz w:val="24"/>
        </w:rPr>
      </w:pPr>
      <w:r w:rsidRPr="00DB0A49">
        <w:rPr>
          <w:rFonts w:ascii="Times New Roman" w:eastAsiaTheme="minorEastAsia" w:hAnsi="Times New Roman" w:cs="Times New Roman"/>
          <w:color w:val="000000" w:themeColor="text1"/>
          <w:sz w:val="24"/>
          <w:lang w:val="en-GB"/>
        </w:rPr>
        <w:t xml:space="preserve">Institutions shall disclose the information referred to in Article 445 </w:t>
      </w:r>
      <w:r w:rsidR="619577B7" w:rsidRPr="00DB0A49">
        <w:rPr>
          <w:rFonts w:ascii="Times New Roman" w:hAnsi="Times New Roman" w:cs="Times New Roman"/>
          <w:color w:val="auto"/>
          <w:sz w:val="24"/>
          <w:lang w:val="en-GB"/>
        </w:rPr>
        <w:t>Regulation (EU) 575/2013</w:t>
      </w:r>
      <w:r w:rsidR="619577B7" w:rsidRPr="00350C8C">
        <w:rPr>
          <w:rFonts w:ascii="Times New Roman" w:eastAsiaTheme="minorEastAsia" w:hAnsi="Times New Roman" w:cs="Times New Roman"/>
          <w:color w:val="000000" w:themeColor="text1"/>
          <w:sz w:val="24"/>
          <w:lang w:val="en-GB"/>
        </w:rPr>
        <w:t xml:space="preserve"> </w:t>
      </w:r>
      <w:r w:rsidRPr="00DB0A49">
        <w:rPr>
          <w:rFonts w:ascii="Times New Roman" w:eastAsiaTheme="minorEastAsia" w:hAnsi="Times New Roman" w:cs="Times New Roman"/>
          <w:color w:val="000000" w:themeColor="text1"/>
          <w:sz w:val="24"/>
          <w:lang w:val="en-GB"/>
        </w:rPr>
        <w:t>by following the instructions provided below in this Annex to complete template EU MR1 which is presented in Annex XXIX.</w:t>
      </w:r>
      <w:r w:rsidR="00350C8C">
        <w:rPr>
          <w:rFonts w:ascii="Times New Roman" w:eastAsiaTheme="minorEastAsia" w:hAnsi="Times New Roman" w:cs="Times New Roman"/>
          <w:color w:val="000000" w:themeColor="text1"/>
          <w:sz w:val="24"/>
          <w:lang w:val="en-GB"/>
        </w:rPr>
        <w:t xml:space="preserve"> </w:t>
      </w:r>
      <w:r w:rsidR="00350C8C">
        <w:rPr>
          <w:rFonts w:ascii="Times New Roman" w:eastAsiaTheme="minorEastAsia" w:hAnsi="Times New Roman" w:cs="Times New Roman"/>
          <w:color w:val="auto"/>
          <w:sz w:val="24"/>
          <w:lang w:val="en-GB"/>
        </w:rPr>
        <w:t>Institutions shall not include any data on their Internal Risk transfer (IRT) desk in this template.</w:t>
      </w:r>
    </w:p>
    <w:tbl>
      <w:tblPr>
        <w:tblW w:w="0" w:type="auto"/>
        <w:tblInd w:w="105" w:type="dxa"/>
        <w:tblLayout w:type="fixed"/>
        <w:tblLook w:val="01E0" w:firstRow="1" w:lastRow="1" w:firstColumn="1" w:lastColumn="1" w:noHBand="0" w:noVBand="0"/>
      </w:tblPr>
      <w:tblGrid>
        <w:gridCol w:w="1170"/>
        <w:gridCol w:w="7245"/>
      </w:tblGrid>
      <w:tr w:rsidR="06503780" w:rsidRPr="001F1865" w14:paraId="369C907B" w14:textId="77777777" w:rsidTr="00DB0A49">
        <w:trPr>
          <w:trHeight w:val="300"/>
        </w:trPr>
        <w:tc>
          <w:tcPr>
            <w:tcW w:w="84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45856BA3" w14:textId="6D5ECF63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Legal references and instructions</w:t>
            </w:r>
          </w:p>
        </w:tc>
      </w:tr>
      <w:tr w:rsidR="06503780" w:rsidRPr="001F1865" w14:paraId="795949FA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1A68A0C0" w14:textId="23544452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Row number</w:t>
            </w:r>
          </w:p>
        </w:tc>
        <w:tc>
          <w:tcPr>
            <w:tcW w:w="7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46505A62" w14:textId="1D45DAD9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Explanation</w:t>
            </w:r>
          </w:p>
        </w:tc>
      </w:tr>
      <w:tr w:rsidR="06503780" w:rsidRPr="001F1865" w14:paraId="71E2347C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47B57D3D" w14:textId="541004BD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05989EB1" w14:textId="332222EF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1F1865">
              <w:rPr>
                <w:rFonts w:ascii="Times New Roman" w:eastAsia="Times New Roman" w:hAnsi="Times New Roman" w:cs="Times New Roman"/>
                <w:b/>
                <w:bCs/>
                <w:sz w:val="24"/>
                <w:u w:val="single"/>
              </w:rPr>
              <w:t>Sensitivity based method</w:t>
            </w:r>
            <w:r w:rsidRPr="001F1865">
              <w:rPr>
                <w:rFonts w:ascii="Times New Roman" w:eastAsia="Times New Roman" w:hAnsi="Times New Roman" w:cs="Times New Roman"/>
                <w:sz w:val="24"/>
                <w:u w:val="single"/>
              </w:rPr>
              <w:t xml:space="preserve"> </w:t>
            </w:r>
          </w:p>
          <w:p w14:paraId="32BE5AB7" w14:textId="13D92956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sz w:val="24"/>
              </w:rPr>
              <w:t>in accordance with Part Three Title IV, Chapter 1a, Section 2 of Regulation (EU) No 575/2013</w:t>
            </w:r>
            <w:r w:rsidR="0068248E" w:rsidRPr="001F1865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6503780" w:rsidRPr="001F1865" w14:paraId="2A5FB346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4DACAA6" w14:textId="4438CD41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1F1865">
              <w:rPr>
                <w:rFonts w:ascii="Times New Roman" w:eastAsia="Times New Roman" w:hAnsi="Times New Roman" w:cs="Times New Roman"/>
                <w:szCs w:val="22"/>
              </w:rPr>
              <w:t>1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5CA48DD" w14:textId="1A77007D" w:rsidR="06503780" w:rsidRPr="001F1865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General interest rate risk (GIRR)</w:t>
            </w:r>
          </w:p>
          <w:p w14:paraId="7CFD9A05" w14:textId="08877C85" w:rsidR="06503780" w:rsidRPr="001F1865" w:rsidRDefault="06503780" w:rsidP="00DB0A49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sz w:val="24"/>
              </w:rPr>
              <w:t>according to Art</w:t>
            </w:r>
            <w:r w:rsidR="008D03CB" w:rsidRPr="001F1865">
              <w:rPr>
                <w:rFonts w:ascii="Times New Roman" w:eastAsia="Times New Roman" w:hAnsi="Times New Roman" w:cs="Times New Roman"/>
                <w:sz w:val="24"/>
              </w:rPr>
              <w:t>icle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>325c</w:t>
            </w:r>
            <w:r w:rsidR="00F66685" w:rsidRPr="001F1865">
              <w:rPr>
                <w:rFonts w:ascii="Times New Roman" w:eastAsia="Times New Roman" w:hAnsi="Times New Roman" w:cs="Times New Roman"/>
                <w:sz w:val="24"/>
              </w:rPr>
              <w:t>(2), point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 xml:space="preserve"> (a) and Article 325d(1), point (i), of Regulation (EU) No 575/2013</w:t>
            </w:r>
            <w:r w:rsidR="0068248E" w:rsidRPr="001F1865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6852CB" w:rsidRPr="001F1865" w14:paraId="69667920" w14:textId="77777777" w:rsidTr="72461198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DC1D211" w14:textId="22B10623" w:rsidR="006852CB" w:rsidRPr="001F1865" w:rsidRDefault="006852CB" w:rsidP="006852CB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1F1865">
              <w:rPr>
                <w:rFonts w:ascii="Times New Roman" w:eastAsia="Times New Roman" w:hAnsi="Times New Roman" w:cs="Times New Roman"/>
                <w:szCs w:val="22"/>
              </w:rPr>
              <w:lastRenderedPageBreak/>
              <w:t>2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9623B38" w14:textId="77777777" w:rsidR="006852CB" w:rsidRPr="001F1865" w:rsidRDefault="006852CB" w:rsidP="006852CB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Equity risk (EQU)</w:t>
            </w:r>
          </w:p>
          <w:p w14:paraId="7FA49EA1" w14:textId="72B40A8D" w:rsidR="006852CB" w:rsidRPr="001F1865" w:rsidRDefault="006852CB" w:rsidP="006852CB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sz w:val="24"/>
              </w:rPr>
              <w:t>according to Art</w:t>
            </w:r>
            <w:r w:rsidR="00CA0B40" w:rsidRPr="001F1865">
              <w:rPr>
                <w:rFonts w:ascii="Times New Roman" w:eastAsia="Times New Roman" w:hAnsi="Times New Roman" w:cs="Times New Roman"/>
                <w:sz w:val="24"/>
              </w:rPr>
              <w:t>icle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 xml:space="preserve"> 325c</w:t>
            </w:r>
            <w:r w:rsidR="00AA44B0">
              <w:rPr>
                <w:rFonts w:ascii="Times New Roman" w:eastAsia="Times New Roman" w:hAnsi="Times New Roman" w:cs="Times New Roman"/>
                <w:sz w:val="24"/>
              </w:rPr>
              <w:t xml:space="preserve"> (2)</w:t>
            </w:r>
            <w:r w:rsidR="003B4210" w:rsidRPr="001F1865">
              <w:rPr>
                <w:rFonts w:ascii="Times New Roman" w:eastAsia="Times New Roman" w:hAnsi="Times New Roman" w:cs="Times New Roman"/>
                <w:sz w:val="24"/>
              </w:rPr>
              <w:t>, point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 xml:space="preserve"> (a) and Article 325d(1) , point (v), of Regulation (EU) No 575/2013</w:t>
            </w:r>
            <w:r w:rsidR="003B4210" w:rsidRPr="001F1865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6852CB" w:rsidRPr="001F1865" w14:paraId="719DB443" w14:textId="77777777" w:rsidTr="72461198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76F2BD2" w14:textId="663EF07F" w:rsidR="006852CB" w:rsidRPr="001F1865" w:rsidRDefault="006852CB" w:rsidP="006852CB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1F1865">
              <w:rPr>
                <w:rFonts w:ascii="Times New Roman" w:eastAsia="Times New Roman" w:hAnsi="Times New Roman" w:cs="Times New Roman"/>
                <w:szCs w:val="22"/>
              </w:rPr>
              <w:t>3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FFF8925" w14:textId="77777777" w:rsidR="006852CB" w:rsidRPr="001F1865" w:rsidRDefault="006852CB" w:rsidP="006852CB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Commodity risk (COM)</w:t>
            </w:r>
          </w:p>
          <w:p w14:paraId="2EF1141F" w14:textId="6573588B" w:rsidR="006852CB" w:rsidRPr="001F1865" w:rsidRDefault="006852CB" w:rsidP="006852CB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sz w:val="24"/>
              </w:rPr>
              <w:t>according to Art</w:t>
            </w:r>
            <w:r w:rsidR="003B4210" w:rsidRPr="001F1865">
              <w:rPr>
                <w:rFonts w:ascii="Times New Roman" w:eastAsia="Times New Roman" w:hAnsi="Times New Roman" w:cs="Times New Roman"/>
                <w:sz w:val="24"/>
              </w:rPr>
              <w:t>icle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 xml:space="preserve"> 325c</w:t>
            </w:r>
            <w:r w:rsidR="00AA44B0">
              <w:rPr>
                <w:rFonts w:ascii="Times New Roman" w:eastAsia="Times New Roman" w:hAnsi="Times New Roman" w:cs="Times New Roman"/>
                <w:sz w:val="24"/>
              </w:rPr>
              <w:t>(2)</w:t>
            </w:r>
            <w:r w:rsidR="003B4210" w:rsidRPr="001F1865">
              <w:rPr>
                <w:rFonts w:ascii="Times New Roman" w:eastAsia="Times New Roman" w:hAnsi="Times New Roman" w:cs="Times New Roman"/>
                <w:sz w:val="24"/>
              </w:rPr>
              <w:t>, point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 xml:space="preserve"> (a) and Article 325d(1) , point (vi), of Regulation (EU) No 575/2013</w:t>
            </w:r>
            <w:r w:rsidR="003B4210" w:rsidRPr="001F1865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6852CB" w:rsidRPr="001F1865" w14:paraId="0F63097B" w14:textId="77777777" w:rsidTr="72461198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7A0CA9C" w14:textId="3D6ACB22" w:rsidR="006852CB" w:rsidRPr="001F1865" w:rsidRDefault="006852CB" w:rsidP="006852CB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1F1865">
              <w:rPr>
                <w:rFonts w:ascii="Times New Roman" w:eastAsia="Times New Roman" w:hAnsi="Times New Roman" w:cs="Times New Roman"/>
                <w:szCs w:val="22"/>
              </w:rPr>
              <w:t>4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B21571B" w14:textId="77777777" w:rsidR="006852CB" w:rsidRPr="001F1865" w:rsidRDefault="006852CB" w:rsidP="006852CB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Foreign exchange risk (FX)</w:t>
            </w:r>
          </w:p>
          <w:p w14:paraId="4E899697" w14:textId="1EDAE9C1" w:rsidR="006852CB" w:rsidRPr="001F1865" w:rsidRDefault="006852CB" w:rsidP="006852CB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sz w:val="24"/>
              </w:rPr>
              <w:t>according to Art</w:t>
            </w:r>
            <w:r w:rsidR="00522E9A" w:rsidRPr="001F1865">
              <w:rPr>
                <w:rFonts w:ascii="Times New Roman" w:eastAsia="Times New Roman" w:hAnsi="Times New Roman" w:cs="Times New Roman"/>
                <w:sz w:val="24"/>
              </w:rPr>
              <w:t>icle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 xml:space="preserve"> 325c</w:t>
            </w:r>
            <w:r w:rsidR="00AA44B0">
              <w:rPr>
                <w:rFonts w:ascii="Times New Roman" w:eastAsia="Times New Roman" w:hAnsi="Times New Roman" w:cs="Times New Roman"/>
                <w:sz w:val="24"/>
              </w:rPr>
              <w:t>(2)</w:t>
            </w:r>
            <w:r w:rsidR="003B4210" w:rsidRPr="001F1865">
              <w:rPr>
                <w:rFonts w:ascii="Times New Roman" w:eastAsia="Times New Roman" w:hAnsi="Times New Roman" w:cs="Times New Roman"/>
                <w:sz w:val="24"/>
              </w:rPr>
              <w:t>, point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 xml:space="preserve"> (a) and Article 325d(1) , point (vii), of Regulation (EU) No 575/2013</w:t>
            </w:r>
            <w:r w:rsidR="003B4210" w:rsidRPr="001F1865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6503780" w:rsidRPr="001F1865" w14:paraId="6069A777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71C4CC0" w14:textId="116256D7" w:rsidR="06503780" w:rsidRPr="001F1865" w:rsidRDefault="006852CB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1F1865">
              <w:rPr>
                <w:rFonts w:ascii="Times New Roman" w:eastAsia="Times New Roman" w:hAnsi="Times New Roman" w:cs="Times New Roman"/>
                <w:szCs w:val="22"/>
              </w:rPr>
              <w:t>5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5ADD606" w14:textId="28FE3969" w:rsidR="06503780" w:rsidRPr="001F1865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Credit spread risk for non–securitisations (CSR)</w:t>
            </w:r>
          </w:p>
          <w:p w14:paraId="7FFBB47A" w14:textId="19FCC5B4" w:rsidR="06503780" w:rsidRPr="001F1865" w:rsidRDefault="06503780" w:rsidP="00DB0A49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sz w:val="24"/>
              </w:rPr>
              <w:t>according to Art</w:t>
            </w:r>
            <w:r w:rsidR="00522E9A" w:rsidRPr="001F1865">
              <w:rPr>
                <w:rFonts w:ascii="Times New Roman" w:eastAsia="Times New Roman" w:hAnsi="Times New Roman" w:cs="Times New Roman"/>
                <w:sz w:val="24"/>
              </w:rPr>
              <w:t>icle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 xml:space="preserve"> 325c</w:t>
            </w:r>
            <w:r w:rsidR="00AA44B0">
              <w:rPr>
                <w:rFonts w:ascii="Times New Roman" w:eastAsia="Times New Roman" w:hAnsi="Times New Roman" w:cs="Times New Roman"/>
                <w:sz w:val="24"/>
              </w:rPr>
              <w:t>(2)</w:t>
            </w:r>
            <w:r w:rsidR="003B4210" w:rsidRPr="001F1865">
              <w:rPr>
                <w:rFonts w:ascii="Times New Roman" w:eastAsia="Times New Roman" w:hAnsi="Times New Roman" w:cs="Times New Roman"/>
                <w:sz w:val="24"/>
              </w:rPr>
              <w:t>, point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 xml:space="preserve"> (a) and Article 325d(1), point (ii), of Regulation (EU) No 575/2013</w:t>
            </w:r>
            <w:r w:rsidR="003B4210" w:rsidRPr="001F1865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6503780" w:rsidRPr="001F1865" w14:paraId="05E22EA0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86D099A" w14:textId="2AA85B66" w:rsidR="06503780" w:rsidRPr="001F1865" w:rsidRDefault="006852CB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1F1865">
              <w:rPr>
                <w:rFonts w:ascii="Times New Roman" w:eastAsia="Times New Roman" w:hAnsi="Times New Roman" w:cs="Times New Roman"/>
                <w:szCs w:val="22"/>
              </w:rPr>
              <w:t>6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2E01FBC" w14:textId="0075C0D5" w:rsidR="06503780" w:rsidRPr="001F1865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Credit spread risk for securitisation not included in the alternative correlation trading portfolio (non–ACTP CSR)</w:t>
            </w:r>
          </w:p>
          <w:p w14:paraId="7767EDBC" w14:textId="24BC8D91" w:rsidR="06503780" w:rsidRPr="001F1865" w:rsidRDefault="06503780" w:rsidP="00DB0A49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sz w:val="24"/>
              </w:rPr>
              <w:t>according to A</w:t>
            </w:r>
            <w:r w:rsidR="00522E9A" w:rsidRPr="001F1865">
              <w:rPr>
                <w:rFonts w:ascii="Times New Roman" w:eastAsia="Times New Roman" w:hAnsi="Times New Roman" w:cs="Times New Roman"/>
                <w:sz w:val="24"/>
              </w:rPr>
              <w:t>rticle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 xml:space="preserve"> 325c</w:t>
            </w:r>
            <w:r w:rsidR="00AA44B0">
              <w:rPr>
                <w:rFonts w:ascii="Times New Roman" w:eastAsia="Times New Roman" w:hAnsi="Times New Roman" w:cs="Times New Roman"/>
                <w:sz w:val="24"/>
              </w:rPr>
              <w:t>(2)</w:t>
            </w:r>
            <w:r w:rsidR="003B4210" w:rsidRPr="001F1865">
              <w:rPr>
                <w:rFonts w:ascii="Times New Roman" w:eastAsia="Times New Roman" w:hAnsi="Times New Roman" w:cs="Times New Roman"/>
                <w:sz w:val="24"/>
              </w:rPr>
              <w:t>, point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 xml:space="preserve"> (a) and Article 325d(1), point (iii), of Regulation (EU) No 575/2013</w:t>
            </w:r>
            <w:r w:rsidR="003B4210" w:rsidRPr="001F1865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6503780" w:rsidRPr="001F1865" w14:paraId="14D767E3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A20E610" w14:textId="7B3DAB47" w:rsidR="06503780" w:rsidRPr="001F1865" w:rsidRDefault="006852CB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1F1865">
              <w:rPr>
                <w:rFonts w:ascii="Times New Roman" w:eastAsia="Times New Roman" w:hAnsi="Times New Roman" w:cs="Times New Roman"/>
                <w:szCs w:val="22"/>
              </w:rPr>
              <w:t>7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0A00A1D" w14:textId="07E0B969" w:rsidR="06503780" w:rsidRPr="001F1865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Credit spread risk for securitisation included in the alternative correlation trading portfolio (ACTP CSR)</w:t>
            </w:r>
          </w:p>
          <w:p w14:paraId="3E4A8A35" w14:textId="160B9A80" w:rsidR="06503780" w:rsidRPr="001F1865" w:rsidRDefault="06503780" w:rsidP="00DB0A49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sz w:val="24"/>
              </w:rPr>
              <w:t>according to Art</w:t>
            </w:r>
            <w:r w:rsidR="00522E9A" w:rsidRPr="001F1865">
              <w:rPr>
                <w:rFonts w:ascii="Times New Roman" w:eastAsia="Times New Roman" w:hAnsi="Times New Roman" w:cs="Times New Roman"/>
                <w:sz w:val="24"/>
              </w:rPr>
              <w:t>icle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 xml:space="preserve"> 325c</w:t>
            </w:r>
            <w:r w:rsidR="00AA44B0">
              <w:rPr>
                <w:rFonts w:ascii="Times New Roman" w:eastAsia="Times New Roman" w:hAnsi="Times New Roman" w:cs="Times New Roman"/>
                <w:sz w:val="24"/>
              </w:rPr>
              <w:t>(2)</w:t>
            </w:r>
            <w:r w:rsidR="003B4210" w:rsidRPr="001F1865">
              <w:rPr>
                <w:rFonts w:ascii="Times New Roman" w:eastAsia="Times New Roman" w:hAnsi="Times New Roman" w:cs="Times New Roman"/>
                <w:sz w:val="24"/>
              </w:rPr>
              <w:t>, point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 xml:space="preserve"> (a) and Article 325d(1) , point (iv), of Regulation (EU) No 575/2013</w:t>
            </w:r>
            <w:r w:rsidR="003B4210" w:rsidRPr="001F1865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6503780" w:rsidRPr="001F1865" w14:paraId="5BB1038C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322C0155" w14:textId="1C2CF576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4AC462EA" w14:textId="24FC6AB3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  <w:u w:val="single"/>
              </w:rPr>
            </w:pPr>
            <w:r w:rsidRPr="001F1865">
              <w:rPr>
                <w:rFonts w:ascii="Times New Roman" w:eastAsia="Times New Roman" w:hAnsi="Times New Roman" w:cs="Times New Roman"/>
                <w:b/>
                <w:bCs/>
                <w:sz w:val="24"/>
                <w:u w:val="single"/>
              </w:rPr>
              <w:t>Default risk</w:t>
            </w:r>
          </w:p>
          <w:p w14:paraId="50AC8B96" w14:textId="24D7EC82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sz w:val="24"/>
              </w:rPr>
              <w:t>in accordance with Part Three, Title IV, Chapter 1a, Section 5 of Regulation (EU) No 575/2013</w:t>
            </w:r>
            <w:r w:rsidR="003B4210" w:rsidRPr="001F1865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6503780" w:rsidRPr="001F1865" w14:paraId="4CA77AC2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CD9CDA3" w14:textId="20B6ABEB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1F1865">
              <w:rPr>
                <w:rFonts w:ascii="Times New Roman" w:eastAsia="Times New Roman" w:hAnsi="Times New Roman" w:cs="Times New Roman"/>
                <w:szCs w:val="22"/>
              </w:rPr>
              <w:t>8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0D3825E" w14:textId="1E8FC60A" w:rsidR="06503780" w:rsidRPr="001F1865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Non–securitisations</w:t>
            </w:r>
          </w:p>
          <w:p w14:paraId="6E07A74F" w14:textId="60055B48" w:rsidR="06503780" w:rsidRPr="001F1865" w:rsidRDefault="06503780" w:rsidP="00DB0A49">
            <w:pPr>
              <w:spacing w:after="24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001F1865">
              <w:rPr>
                <w:rFonts w:ascii="Times New Roman" w:eastAsia="Times New Roman" w:hAnsi="Times New Roman" w:cs="Times New Roman"/>
                <w:sz w:val="24"/>
              </w:rPr>
              <w:t>according to Art</w:t>
            </w:r>
            <w:r w:rsidR="00522E9A" w:rsidRPr="001F1865">
              <w:rPr>
                <w:rFonts w:ascii="Times New Roman" w:eastAsia="Times New Roman" w:hAnsi="Times New Roman" w:cs="Times New Roman"/>
                <w:sz w:val="24"/>
              </w:rPr>
              <w:t>icle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 xml:space="preserve"> 325c</w:t>
            </w:r>
            <w:r w:rsidR="00AA44B0">
              <w:rPr>
                <w:rFonts w:ascii="Times New Roman" w:eastAsia="Times New Roman" w:hAnsi="Times New Roman" w:cs="Times New Roman"/>
                <w:sz w:val="24"/>
              </w:rPr>
              <w:t>(2)</w:t>
            </w:r>
            <w:r w:rsidR="004832DE" w:rsidRPr="001F1865">
              <w:rPr>
                <w:rFonts w:ascii="Times New Roman" w:eastAsia="Times New Roman" w:hAnsi="Times New Roman" w:cs="Times New Roman"/>
                <w:sz w:val="24"/>
              </w:rPr>
              <w:t>, point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 xml:space="preserve"> (b) and Part Three, Title IV, Chapter 1a, Section 5, Subsection 1 of Regulation (EU) No 575/2013</w:t>
            </w:r>
            <w:r w:rsidR="004832DE" w:rsidRPr="001F1865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Pr="001F1865">
              <w:rPr>
                <w:rFonts w:ascii="Times New Roman" w:eastAsia="Times New Roman" w:hAnsi="Times New Roman" w:cs="Times New Roman"/>
                <w:szCs w:val="22"/>
              </w:rPr>
              <w:t xml:space="preserve"> </w:t>
            </w:r>
          </w:p>
        </w:tc>
      </w:tr>
      <w:tr w:rsidR="06503780" w:rsidRPr="001F1865" w14:paraId="7297D5CB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554CE0F" w14:textId="0108E6B7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1F1865">
              <w:rPr>
                <w:rFonts w:ascii="Times New Roman" w:eastAsia="Times New Roman" w:hAnsi="Times New Roman" w:cs="Times New Roman"/>
                <w:szCs w:val="22"/>
              </w:rPr>
              <w:t>9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3034D48" w14:textId="567356EB" w:rsidR="06503780" w:rsidRPr="001F1865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Securitisation not included in the alternative correlation trading portfolio (non–ACTP)</w:t>
            </w:r>
          </w:p>
          <w:p w14:paraId="093A58C5" w14:textId="0BD66CFC" w:rsidR="06503780" w:rsidRPr="001F1865" w:rsidRDefault="06503780" w:rsidP="00DB0A49">
            <w:pPr>
              <w:spacing w:after="24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001F1865">
              <w:rPr>
                <w:rFonts w:ascii="Times New Roman" w:eastAsia="Times New Roman" w:hAnsi="Times New Roman" w:cs="Times New Roman"/>
                <w:sz w:val="24"/>
              </w:rPr>
              <w:t>according to Art</w:t>
            </w:r>
            <w:r w:rsidR="00522E9A" w:rsidRPr="001F1865">
              <w:rPr>
                <w:rFonts w:ascii="Times New Roman" w:eastAsia="Times New Roman" w:hAnsi="Times New Roman" w:cs="Times New Roman"/>
                <w:sz w:val="24"/>
              </w:rPr>
              <w:t>icle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 xml:space="preserve"> 325c</w:t>
            </w:r>
            <w:r w:rsidR="00AA44B0">
              <w:rPr>
                <w:rFonts w:ascii="Times New Roman" w:eastAsia="Times New Roman" w:hAnsi="Times New Roman" w:cs="Times New Roman"/>
                <w:sz w:val="24"/>
              </w:rPr>
              <w:t>(2)</w:t>
            </w:r>
            <w:r w:rsidR="004832DE" w:rsidRPr="001F1865">
              <w:rPr>
                <w:rFonts w:ascii="Times New Roman" w:eastAsia="Times New Roman" w:hAnsi="Times New Roman" w:cs="Times New Roman"/>
                <w:sz w:val="24"/>
              </w:rPr>
              <w:t>, point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 xml:space="preserve"> (b) and Part Three, Title IV, Chapter 1a, Section 5, Subsection 2 of Regulation (EU) No 575/2013</w:t>
            </w:r>
            <w:r w:rsidR="004832DE" w:rsidRPr="001F1865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Pr="001F1865">
              <w:rPr>
                <w:rFonts w:ascii="Times New Roman" w:eastAsia="Times New Roman" w:hAnsi="Times New Roman" w:cs="Times New Roman"/>
                <w:szCs w:val="22"/>
              </w:rPr>
              <w:t xml:space="preserve"> </w:t>
            </w:r>
          </w:p>
        </w:tc>
      </w:tr>
      <w:tr w:rsidR="06503780" w:rsidRPr="001F1865" w14:paraId="7399949B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C60F427" w14:textId="2083466B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1F1865">
              <w:rPr>
                <w:rFonts w:ascii="Times New Roman" w:eastAsia="Times New Roman" w:hAnsi="Times New Roman" w:cs="Times New Roman"/>
                <w:szCs w:val="22"/>
              </w:rPr>
              <w:t>10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150980D" w14:textId="2B90AE8D" w:rsidR="06503780" w:rsidRPr="001F1865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Securitisation included in the alternative correlation trading portfolio (ACTP)</w:t>
            </w:r>
          </w:p>
          <w:p w14:paraId="4F126C34" w14:textId="2E83A436" w:rsidR="06503780" w:rsidRPr="001F1865" w:rsidRDefault="06503780" w:rsidP="00DB0A49">
            <w:pPr>
              <w:spacing w:after="24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001F1865">
              <w:rPr>
                <w:rFonts w:ascii="Times New Roman" w:eastAsia="Times New Roman" w:hAnsi="Times New Roman" w:cs="Times New Roman"/>
                <w:sz w:val="24"/>
              </w:rPr>
              <w:lastRenderedPageBreak/>
              <w:t>according to Art</w:t>
            </w:r>
            <w:r w:rsidR="00522E9A" w:rsidRPr="001F1865">
              <w:rPr>
                <w:rFonts w:ascii="Times New Roman" w:eastAsia="Times New Roman" w:hAnsi="Times New Roman" w:cs="Times New Roman"/>
                <w:sz w:val="24"/>
              </w:rPr>
              <w:t>icle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 xml:space="preserve"> 325c</w:t>
            </w:r>
            <w:r w:rsidR="00AA44B0">
              <w:rPr>
                <w:rFonts w:ascii="Times New Roman" w:eastAsia="Times New Roman" w:hAnsi="Times New Roman" w:cs="Times New Roman"/>
                <w:sz w:val="24"/>
              </w:rPr>
              <w:t>(2)</w:t>
            </w:r>
            <w:r w:rsidR="007A4465" w:rsidRPr="001F1865">
              <w:rPr>
                <w:rFonts w:ascii="Times New Roman" w:eastAsia="Times New Roman" w:hAnsi="Times New Roman" w:cs="Times New Roman"/>
                <w:sz w:val="24"/>
              </w:rPr>
              <w:t>, point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 xml:space="preserve"> (b) and Part Three, Title IV, Chapter 1a, Section 5, Subsection 3 of Regulation (EU) No 575/2013</w:t>
            </w:r>
            <w:r w:rsidR="007A4465" w:rsidRPr="001F1865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Pr="001F1865">
              <w:rPr>
                <w:rFonts w:ascii="Times New Roman" w:eastAsia="Times New Roman" w:hAnsi="Times New Roman" w:cs="Times New Roman"/>
                <w:szCs w:val="22"/>
              </w:rPr>
              <w:t xml:space="preserve"> </w:t>
            </w:r>
          </w:p>
        </w:tc>
      </w:tr>
      <w:tr w:rsidR="06503780" w:rsidRPr="001F1865" w14:paraId="1A1B8236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38B14961" w14:textId="055D18A0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 </w:t>
            </w:r>
          </w:p>
        </w:tc>
        <w:tc>
          <w:tcPr>
            <w:tcW w:w="7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538DF7BF" w14:textId="7E1499C0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  <w:u w:val="single"/>
              </w:rPr>
            </w:pPr>
            <w:r w:rsidRPr="001F1865">
              <w:rPr>
                <w:rFonts w:ascii="Times New Roman" w:eastAsia="Times New Roman" w:hAnsi="Times New Roman" w:cs="Times New Roman"/>
                <w:b/>
                <w:bCs/>
                <w:sz w:val="24"/>
                <w:u w:val="single"/>
              </w:rPr>
              <w:t>Residual risk</w:t>
            </w:r>
          </w:p>
          <w:p w14:paraId="3E3A6F03" w14:textId="754D8113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sz w:val="24"/>
              </w:rPr>
              <w:t>Part Three, Title IV, Chapter 1a, Section 4 of Regulation (EU) No 575/2013</w:t>
            </w:r>
            <w:r w:rsidR="007A4465" w:rsidRPr="001F1865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6503780" w:rsidRPr="001F1865" w14:paraId="179BEFFD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FD2F5C6" w14:textId="1E18CC3B" w:rsidR="06503780" w:rsidRPr="001F1865" w:rsidRDefault="007E00FD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1F1865">
              <w:rPr>
                <w:rFonts w:ascii="Times New Roman" w:eastAsia="Times New Roman" w:hAnsi="Times New Roman" w:cs="Times New Roman"/>
                <w:szCs w:val="22"/>
              </w:rPr>
              <w:t xml:space="preserve">EU </w:t>
            </w:r>
            <w:r w:rsidR="06503780" w:rsidRPr="001F1865">
              <w:rPr>
                <w:rFonts w:ascii="Times New Roman" w:eastAsia="Times New Roman" w:hAnsi="Times New Roman" w:cs="Times New Roman"/>
                <w:szCs w:val="22"/>
              </w:rPr>
              <w:t>11</w:t>
            </w:r>
            <w:r w:rsidRPr="001F1865">
              <w:rPr>
                <w:rFonts w:ascii="Times New Roman" w:eastAsia="Times New Roman" w:hAnsi="Times New Roman" w:cs="Times New Roman"/>
                <w:szCs w:val="22"/>
              </w:rPr>
              <w:t>a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6885E79" w14:textId="10B5A147" w:rsidR="06503780" w:rsidRPr="001F1865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Exotic underlyings</w:t>
            </w:r>
          </w:p>
          <w:p w14:paraId="7ED02FAC" w14:textId="7DFCBC6E" w:rsidR="06503780" w:rsidRPr="001F1865" w:rsidRDefault="06503780" w:rsidP="00DB0A49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sz w:val="24"/>
              </w:rPr>
              <w:t>according to Art</w:t>
            </w:r>
            <w:r w:rsidR="00D45AA4" w:rsidRPr="001F1865">
              <w:rPr>
                <w:rFonts w:ascii="Times New Roman" w:eastAsia="Times New Roman" w:hAnsi="Times New Roman" w:cs="Times New Roman"/>
                <w:sz w:val="24"/>
              </w:rPr>
              <w:t>icle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 xml:space="preserve"> 325c</w:t>
            </w:r>
            <w:r w:rsidR="00AA44B0">
              <w:rPr>
                <w:rFonts w:ascii="Times New Roman" w:eastAsia="Times New Roman" w:hAnsi="Times New Roman" w:cs="Times New Roman"/>
                <w:sz w:val="24"/>
              </w:rPr>
              <w:t>(2)</w:t>
            </w:r>
            <w:r w:rsidR="007A4465" w:rsidRPr="001F1865">
              <w:rPr>
                <w:rFonts w:ascii="Times New Roman" w:eastAsia="Times New Roman" w:hAnsi="Times New Roman" w:cs="Times New Roman"/>
                <w:sz w:val="24"/>
              </w:rPr>
              <w:t>, point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 xml:space="preserve"> (c) and Article 325u(2), point (a), of Regulation (EU) No 575/2013.</w:t>
            </w:r>
          </w:p>
        </w:tc>
      </w:tr>
      <w:tr w:rsidR="06503780" w:rsidRPr="001F1865" w14:paraId="397A3B6A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387ED4F" w14:textId="568A449C" w:rsidR="06503780" w:rsidRPr="001F1865" w:rsidRDefault="007E00FD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1F1865">
              <w:rPr>
                <w:rFonts w:ascii="Times New Roman" w:eastAsia="Times New Roman" w:hAnsi="Times New Roman" w:cs="Times New Roman"/>
                <w:szCs w:val="22"/>
              </w:rPr>
              <w:t xml:space="preserve">EU </w:t>
            </w:r>
            <w:r w:rsidR="06503780" w:rsidRPr="001F1865">
              <w:rPr>
                <w:rFonts w:ascii="Times New Roman" w:eastAsia="Times New Roman" w:hAnsi="Times New Roman" w:cs="Times New Roman"/>
                <w:szCs w:val="22"/>
              </w:rPr>
              <w:t>1</w:t>
            </w:r>
            <w:r w:rsidRPr="001F1865">
              <w:rPr>
                <w:rFonts w:ascii="Times New Roman" w:eastAsia="Times New Roman" w:hAnsi="Times New Roman" w:cs="Times New Roman"/>
                <w:szCs w:val="22"/>
              </w:rPr>
              <w:t>1b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F12FF09" w14:textId="69432A4B" w:rsidR="06503780" w:rsidRPr="001F1865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Other residual risks</w:t>
            </w:r>
          </w:p>
          <w:p w14:paraId="5E46032C" w14:textId="013FBB68" w:rsidR="06503780" w:rsidRPr="001F1865" w:rsidRDefault="06503780" w:rsidP="00DB0A49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sz w:val="24"/>
              </w:rPr>
              <w:t>according to Art</w:t>
            </w:r>
            <w:r w:rsidR="00D45AA4" w:rsidRPr="001F1865">
              <w:rPr>
                <w:rFonts w:ascii="Times New Roman" w:eastAsia="Times New Roman" w:hAnsi="Times New Roman" w:cs="Times New Roman"/>
                <w:sz w:val="24"/>
              </w:rPr>
              <w:t>icle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 xml:space="preserve"> 325c</w:t>
            </w:r>
            <w:r w:rsidR="00AA44B0">
              <w:rPr>
                <w:rFonts w:ascii="Times New Roman" w:eastAsia="Times New Roman" w:hAnsi="Times New Roman" w:cs="Times New Roman"/>
                <w:sz w:val="24"/>
              </w:rPr>
              <w:t>(2)</w:t>
            </w:r>
            <w:r w:rsidR="007336D9" w:rsidRPr="001F1865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="00AA44B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7336D9" w:rsidRPr="001F1865">
              <w:rPr>
                <w:rFonts w:ascii="Times New Roman" w:eastAsia="Times New Roman" w:hAnsi="Times New Roman" w:cs="Times New Roman"/>
                <w:sz w:val="24"/>
              </w:rPr>
              <w:t xml:space="preserve">point 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 xml:space="preserve"> (c) and Article 325u(2), point (b), of Regulation (EU) No 575/2013</w:t>
            </w:r>
            <w:r w:rsidR="007336D9" w:rsidRPr="001F1865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6503780" w:rsidRPr="001F1865" w14:paraId="106996A8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4A57C66" w14:textId="56FC3416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1F1865">
              <w:rPr>
                <w:rFonts w:ascii="Times New Roman" w:eastAsia="Times New Roman" w:hAnsi="Times New Roman" w:cs="Times New Roman"/>
                <w:szCs w:val="22"/>
              </w:rPr>
              <w:t>1</w:t>
            </w:r>
            <w:r w:rsidR="007E00FD" w:rsidRPr="001F1865">
              <w:rPr>
                <w:rFonts w:ascii="Times New Roman" w:eastAsia="Times New Roman" w:hAnsi="Times New Roman" w:cs="Times New Roman"/>
                <w:szCs w:val="22"/>
              </w:rPr>
              <w:t>2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9F69C8C" w14:textId="2E5029F0" w:rsidR="224E1E9F" w:rsidRPr="001F1865" w:rsidRDefault="224E1E9F" w:rsidP="00DB0A49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  <w:u w:val="single"/>
              </w:rPr>
            </w:pPr>
            <w:r w:rsidRPr="001F1865">
              <w:rPr>
                <w:rFonts w:ascii="Times New Roman" w:eastAsia="Times New Roman" w:hAnsi="Times New Roman" w:cs="Times New Roman"/>
                <w:b/>
                <w:bCs/>
                <w:sz w:val="24"/>
                <w:u w:val="single"/>
              </w:rPr>
              <w:t>Total Own Funds Requirements (OFR)</w:t>
            </w:r>
          </w:p>
          <w:p w14:paraId="3AEB87FA" w14:textId="63F7CC8B" w:rsidR="06503780" w:rsidRDefault="002A353C" w:rsidP="06503780">
            <w:pPr>
              <w:spacing w:after="120" w:line="257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Sum of rows from 1 to EU11b</w:t>
            </w:r>
            <w:r w:rsidR="002F7116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14:paraId="65A75CAB" w14:textId="1D4354D4" w:rsidR="002A353C" w:rsidRPr="001F1865" w:rsidRDefault="002A353C" w:rsidP="06503780">
            <w:pPr>
              <w:spacing w:after="120" w:line="257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6503780" w:rsidRPr="001F1865" w14:paraId="01D665D7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6C2FE727" w14:textId="64C5B7A3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Column letter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370E68CC" w14:textId="5A5AF052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Explanation</w:t>
            </w:r>
          </w:p>
        </w:tc>
      </w:tr>
      <w:tr w:rsidR="06503780" w:rsidRPr="001F1865" w14:paraId="57E6568D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34DF7122" w14:textId="3D824940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1F1865">
              <w:rPr>
                <w:rFonts w:ascii="Times New Roman" w:eastAsia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7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277B88BE" w14:textId="5948A214" w:rsidR="01DFB7EB" w:rsidRPr="001F1865" w:rsidRDefault="01DFB7EB" w:rsidP="06503780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  <w:u w:val="single"/>
              </w:rPr>
            </w:pPr>
            <w:r w:rsidRPr="001F1865">
              <w:rPr>
                <w:rFonts w:ascii="Times New Roman" w:eastAsia="Times New Roman" w:hAnsi="Times New Roman" w:cs="Times New Roman"/>
                <w:b/>
                <w:bCs/>
                <w:sz w:val="24"/>
                <w:u w:val="single"/>
              </w:rPr>
              <w:t>Total Own Funds Requirements (OFR)</w:t>
            </w:r>
          </w:p>
        </w:tc>
      </w:tr>
      <w:tr w:rsidR="06503780" w:rsidRPr="001F1865" w14:paraId="37D30FC4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01C04F1" w14:textId="4F64D071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1F1865">
              <w:rPr>
                <w:rFonts w:ascii="Times New Roman" w:eastAsia="Times New Roman" w:hAnsi="Times New Roman" w:cs="Times New Roman"/>
                <w:szCs w:val="22"/>
              </w:rPr>
              <w:t>a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669159E" w14:textId="0505478C" w:rsidR="517DDA85" w:rsidRPr="001F1865" w:rsidRDefault="02A66E37" w:rsidP="72461198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sz w:val="24"/>
              </w:rPr>
              <w:t>Disclosure of own funds requirements referred to in Article 438</w:t>
            </w:r>
            <w:r w:rsidR="17156926" w:rsidRPr="001F1865">
              <w:rPr>
                <w:rFonts w:ascii="Times New Roman" w:eastAsia="Times New Roman" w:hAnsi="Times New Roman" w:cs="Times New Roman"/>
                <w:sz w:val="24"/>
              </w:rPr>
              <w:t xml:space="preserve">, point (d) of </w:t>
            </w:r>
            <w:r w:rsidR="38AB8981" w:rsidRPr="001F1865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Regulation (EU) 575/2013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>, computed as the simple sum of amounts</w:t>
            </w:r>
            <w:r w:rsidR="6BBF51FC" w:rsidRPr="001F1865">
              <w:rPr>
                <w:rFonts w:ascii="Times New Roman" w:eastAsia="Times New Roman" w:hAnsi="Times New Roman" w:cs="Times New Roman"/>
                <w:sz w:val="24"/>
              </w:rPr>
              <w:t xml:space="preserve"> above 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7EDF0406" w:rsidRPr="001F1865">
              <w:rPr>
                <w:rFonts w:ascii="Times New Roman" w:eastAsia="Times New Roman" w:hAnsi="Times New Roman" w:cs="Times New Roman"/>
                <w:sz w:val="24"/>
              </w:rPr>
              <w:t xml:space="preserve">in 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 xml:space="preserve">rows 1 to </w:t>
            </w:r>
            <w:r w:rsidR="3F04A19E" w:rsidRPr="001F1865">
              <w:rPr>
                <w:rFonts w:ascii="Times New Roman" w:eastAsia="Times New Roman" w:hAnsi="Times New Roman" w:cs="Times New Roman"/>
                <w:sz w:val="24"/>
              </w:rPr>
              <w:t>EU 11b</w:t>
            </w:r>
            <w:r w:rsidR="738722B7" w:rsidRPr="001F1865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14:paraId="4E5B9771" w14:textId="40E878CC" w:rsidR="06503780" w:rsidRPr="001F1865" w:rsidRDefault="06503780" w:rsidP="06503780">
            <w:pPr>
              <w:spacing w:after="120" w:line="257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14:paraId="41C8F396" w14:textId="77777777" w:rsidR="00931C32" w:rsidRPr="001F1865" w:rsidRDefault="00931C32" w:rsidP="00931C32">
      <w:pPr>
        <w:spacing w:after="240"/>
        <w:rPr>
          <w:rFonts w:ascii="Times New Roman" w:hAnsi="Times New Roman" w:cs="Times New Roman"/>
          <w:b/>
          <w:sz w:val="24"/>
        </w:rPr>
      </w:pPr>
    </w:p>
    <w:p w14:paraId="49AD8C16" w14:textId="467238F4" w:rsidR="00931C32" w:rsidRPr="001F1865" w:rsidRDefault="00931C32" w:rsidP="48484374">
      <w:pPr>
        <w:spacing w:after="240"/>
        <w:rPr>
          <w:rFonts w:ascii="Times New Roman" w:hAnsi="Times New Roman" w:cs="Times New Roman"/>
          <w:b/>
          <w:bCs/>
          <w:sz w:val="24"/>
        </w:rPr>
      </w:pPr>
      <w:r w:rsidRPr="001F1865">
        <w:rPr>
          <w:rFonts w:ascii="Times New Roman" w:hAnsi="Times New Roman" w:cs="Times New Roman"/>
          <w:b/>
          <w:bCs/>
          <w:sz w:val="24"/>
        </w:rPr>
        <w:t>Table EU MRB: Qualitative disclosure requirements for institutions using the</w:t>
      </w:r>
      <w:r w:rsidR="5D46A0EA" w:rsidRPr="001F1865">
        <w:rPr>
          <w:rFonts w:ascii="Times New Roman" w:hAnsi="Times New Roman" w:cs="Times New Roman"/>
          <w:b/>
          <w:bCs/>
          <w:sz w:val="24"/>
        </w:rPr>
        <w:t xml:space="preserve"> alternative</w:t>
      </w:r>
      <w:r w:rsidRPr="001F1865">
        <w:rPr>
          <w:rFonts w:ascii="Times New Roman" w:hAnsi="Times New Roman" w:cs="Times New Roman"/>
          <w:b/>
          <w:bCs/>
          <w:sz w:val="24"/>
        </w:rPr>
        <w:t xml:space="preserve"> internal </w:t>
      </w:r>
      <w:r w:rsidR="0761F1F8" w:rsidRPr="001F1865">
        <w:rPr>
          <w:rFonts w:ascii="Times New Roman" w:hAnsi="Times New Roman" w:cs="Times New Roman"/>
          <w:b/>
          <w:bCs/>
          <w:sz w:val="24"/>
        </w:rPr>
        <w:t>model approach</w:t>
      </w:r>
      <w:r w:rsidRPr="001F1865">
        <w:rPr>
          <w:rFonts w:ascii="Times New Roman" w:hAnsi="Times New Roman" w:cs="Times New Roman"/>
          <w:sz w:val="24"/>
        </w:rPr>
        <w:t>: free text format</w:t>
      </w:r>
    </w:p>
    <w:p w14:paraId="32EDF34C" w14:textId="442D1C01" w:rsidR="00931C32" w:rsidRPr="001F1865" w:rsidRDefault="00931C32" w:rsidP="00DB0A49">
      <w:pPr>
        <w:pStyle w:val="Titlelevel2"/>
        <w:numPr>
          <w:ilvl w:val="0"/>
          <w:numId w:val="4"/>
        </w:numPr>
        <w:spacing w:before="0"/>
        <w:ind w:left="284" w:hanging="284"/>
        <w:jc w:val="both"/>
        <w:rPr>
          <w:rFonts w:ascii="Times New Roman" w:hAnsi="Times New Roman" w:cs="Times New Roman"/>
          <w:b/>
          <w:sz w:val="24"/>
          <w:lang w:val="en-GB"/>
        </w:rPr>
      </w:pPr>
      <w:r w:rsidRPr="001F1865">
        <w:rPr>
          <w:rFonts w:ascii="Times New Roman" w:eastAsiaTheme="minorEastAsia" w:hAnsi="Times New Roman" w:cs="Times New Roman"/>
          <w:color w:val="000000" w:themeColor="text1"/>
          <w:sz w:val="24"/>
          <w:lang w:val="en-GB"/>
        </w:rPr>
        <w:t>Institutions shall disclose the information referred to</w:t>
      </w:r>
      <w:r w:rsidR="007F14DD" w:rsidRPr="001F1865">
        <w:rPr>
          <w:rFonts w:ascii="Times New Roman" w:eastAsiaTheme="minorEastAsia" w:hAnsi="Times New Roman" w:cs="Times New Roman"/>
          <w:color w:val="000000" w:themeColor="text1"/>
          <w:sz w:val="24"/>
          <w:lang w:val="en-GB"/>
        </w:rPr>
        <w:t xml:space="preserve"> in Article 455</w:t>
      </w:r>
      <w:r w:rsidR="00E077AE" w:rsidRPr="001F1865">
        <w:rPr>
          <w:rFonts w:ascii="Times New Roman" w:eastAsiaTheme="minorEastAsia" w:hAnsi="Times New Roman" w:cs="Times New Roman"/>
          <w:color w:val="000000" w:themeColor="text1"/>
          <w:sz w:val="24"/>
          <w:lang w:val="en-GB"/>
        </w:rPr>
        <w:t>,</w:t>
      </w:r>
      <w:r w:rsidRPr="001F1865">
        <w:rPr>
          <w:rFonts w:ascii="Times New Roman" w:eastAsiaTheme="minorEastAsia" w:hAnsi="Times New Roman" w:cs="Times New Roman"/>
          <w:color w:val="000000" w:themeColor="text1"/>
          <w:sz w:val="24"/>
          <w:lang w:val="en-GB"/>
        </w:rPr>
        <w:t xml:space="preserve"> points (a), (b), </w:t>
      </w:r>
      <w:r w:rsidR="2151C270" w:rsidRPr="001F1865">
        <w:rPr>
          <w:rFonts w:ascii="Times New Roman" w:eastAsiaTheme="minorEastAsia" w:hAnsi="Times New Roman" w:cs="Times New Roman"/>
          <w:color w:val="000000" w:themeColor="text1"/>
          <w:sz w:val="24"/>
          <w:lang w:val="en-GB"/>
        </w:rPr>
        <w:t>(c), (d), (e)</w:t>
      </w:r>
      <w:r w:rsidRPr="001F1865">
        <w:rPr>
          <w:rFonts w:ascii="Times New Roman" w:eastAsiaTheme="minorEastAsia" w:hAnsi="Times New Roman" w:cs="Times New Roman"/>
          <w:color w:val="000000" w:themeColor="text1"/>
          <w:sz w:val="24"/>
          <w:lang w:val="en-GB"/>
        </w:rPr>
        <w:t xml:space="preserve"> and (f) of </w:t>
      </w:r>
      <w:r w:rsidR="78F62356" w:rsidRPr="001F1865">
        <w:rPr>
          <w:rFonts w:ascii="Times New Roman" w:eastAsiaTheme="minorEastAsia" w:hAnsi="Times New Roman" w:cs="Times New Roman"/>
          <w:color w:val="000000" w:themeColor="text1"/>
          <w:sz w:val="24"/>
          <w:lang w:val="en-GB"/>
        </w:rPr>
        <w:t xml:space="preserve">Regulation (EU) 575/2013 </w:t>
      </w:r>
      <w:r w:rsidRPr="001F1865">
        <w:rPr>
          <w:rFonts w:ascii="Times New Roman" w:eastAsiaTheme="minorEastAsia" w:hAnsi="Times New Roman" w:cs="Times New Roman"/>
          <w:color w:val="000000" w:themeColor="text1"/>
          <w:sz w:val="24"/>
          <w:lang w:val="en-GB"/>
        </w:rPr>
        <w:t>by following the instructions provided below in this Annex to complete table EU MRB which is presented in Annex XXIX.</w:t>
      </w:r>
    </w:p>
    <w:tbl>
      <w:tblPr>
        <w:tblW w:w="84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7184"/>
      </w:tblGrid>
      <w:tr w:rsidR="00931C32" w:rsidRPr="001F1865" w14:paraId="39C1942C" w14:textId="77777777" w:rsidTr="72461198"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7FE3064" w14:textId="77777777" w:rsidR="00931C32" w:rsidRPr="001F1865" w:rsidRDefault="00931C32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 w:rsidRPr="001F1865">
              <w:rPr>
                <w:rFonts w:ascii="Times New Roman" w:hAnsi="Times New Roman" w:cs="Times New Roman"/>
                <w:b/>
                <w:sz w:val="24"/>
              </w:rPr>
              <w:t>Legal references and instructions</w:t>
            </w:r>
          </w:p>
        </w:tc>
      </w:tr>
      <w:tr w:rsidR="00931C32" w:rsidRPr="001F1865" w14:paraId="1B6F00FD" w14:textId="77777777" w:rsidTr="00DB0A49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C4E9D0C" w14:textId="77777777" w:rsidR="00931C32" w:rsidRPr="001F1865" w:rsidRDefault="00931C32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  <w:lang w:eastAsia="ja-JP"/>
              </w:rPr>
            </w:pPr>
            <w:r w:rsidRPr="001F1865">
              <w:rPr>
                <w:rFonts w:ascii="Times New Roman" w:hAnsi="Times New Roman" w:cs="Times New Roman"/>
                <w:b/>
                <w:sz w:val="24"/>
                <w:lang w:eastAsia="ja-JP"/>
              </w:rPr>
              <w:t>Row number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0C9A014" w14:textId="77777777" w:rsidR="00931C32" w:rsidRPr="001F1865" w:rsidRDefault="00931C32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  <w:lang w:eastAsia="ja-JP"/>
              </w:rPr>
            </w:pPr>
            <w:r w:rsidRPr="001F1865">
              <w:rPr>
                <w:rFonts w:ascii="Times New Roman" w:hAnsi="Times New Roman" w:cs="Times New Roman"/>
                <w:b/>
                <w:sz w:val="24"/>
                <w:lang w:eastAsia="ja-JP"/>
              </w:rPr>
              <w:t>Explanation</w:t>
            </w:r>
          </w:p>
        </w:tc>
      </w:tr>
      <w:tr w:rsidR="3765CAC5" w:rsidRPr="001F1865" w14:paraId="0407979F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4F9E1B4" w14:textId="5201D106" w:rsidR="3765CAC5" w:rsidRPr="001F1865" w:rsidRDefault="3765CAC5" w:rsidP="3765CAC5">
            <w:pPr>
              <w:rPr>
                <w:rFonts w:ascii="Times New Roman" w:hAnsi="Times New Roman" w:cs="Times New Roman"/>
                <w:b/>
                <w:bCs/>
                <w:sz w:val="24"/>
                <w:lang w:eastAsia="ja-JP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FE12632" w14:textId="11982131" w:rsidR="7BC02D42" w:rsidRPr="001F1865" w:rsidRDefault="2716EDAD" w:rsidP="72461198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sz w:val="24"/>
              </w:rPr>
              <w:t>When disclosing information referred to in Article 455</w:t>
            </w:r>
            <w:r w:rsidR="00E077AE" w:rsidRPr="001F1865">
              <w:rPr>
                <w:rFonts w:ascii="Times New Roman" w:eastAsia="Times New Roman" w:hAnsi="Times New Roman" w:cs="Times New Roman"/>
                <w:sz w:val="24"/>
              </w:rPr>
              <w:t>, point (1a) of the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184D50B5" w:rsidRPr="001F1865">
              <w:rPr>
                <w:rFonts w:ascii="Times New Roman" w:eastAsia="Times New Roman" w:hAnsi="Times New Roman" w:cs="Times New Roman"/>
                <w:sz w:val="24"/>
              </w:rPr>
              <w:t xml:space="preserve">Regulation (EU) 575/2013 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>on the alternative internal model</w:t>
            </w:r>
            <w:r w:rsidR="2F9935B4" w:rsidRPr="001F1865">
              <w:rPr>
                <w:rFonts w:ascii="Times New Roman" w:eastAsia="Times New Roman" w:hAnsi="Times New Roman" w:cs="Times New Roman"/>
                <w:sz w:val="24"/>
              </w:rPr>
              <w:t xml:space="preserve">s for market risk, 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>institutions shall include</w:t>
            </w:r>
            <w:r w:rsidR="5DE802A1" w:rsidRPr="001F1865">
              <w:rPr>
                <w:rFonts w:ascii="Times New Roman" w:eastAsia="Times New Roman" w:hAnsi="Times New Roman" w:cs="Times New Roman"/>
                <w:sz w:val="24"/>
              </w:rPr>
              <w:t>:</w:t>
            </w:r>
          </w:p>
        </w:tc>
      </w:tr>
      <w:tr w:rsidR="3765CAC5" w:rsidRPr="00AA772E" w14:paraId="6AB031EF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729A411" w14:textId="55099BA3" w:rsidR="3C9E464D" w:rsidRPr="00DB0A49" w:rsidRDefault="00B02BFD" w:rsidP="3765CAC5">
            <w:pPr>
              <w:rPr>
                <w:rFonts w:ascii="Times New Roman" w:hAnsi="Times New Roman" w:cs="Times New Roman"/>
                <w:sz w:val="24"/>
                <w:lang w:eastAsia="ja-JP"/>
              </w:rPr>
            </w:pPr>
            <w:r w:rsidRPr="00DB0A49">
              <w:rPr>
                <w:rFonts w:ascii="Times New Roman" w:hAnsi="Times New Roman" w:cs="Times New Roman"/>
                <w:sz w:val="24"/>
                <w:lang w:eastAsia="ja-JP"/>
              </w:rPr>
              <w:t>EU (</w:t>
            </w:r>
            <w:r w:rsidR="3C9E464D" w:rsidRPr="00DB0A49">
              <w:rPr>
                <w:rFonts w:ascii="Times New Roman" w:hAnsi="Times New Roman" w:cs="Times New Roman"/>
                <w:sz w:val="24"/>
                <w:lang w:eastAsia="ja-JP"/>
              </w:rPr>
              <w:t>a</w:t>
            </w:r>
            <w:r w:rsidRPr="00DB0A49">
              <w:rPr>
                <w:rFonts w:ascii="Times New Roman" w:hAnsi="Times New Roman" w:cs="Times New Roman"/>
                <w:sz w:val="24"/>
                <w:lang w:eastAsia="ja-JP"/>
              </w:rPr>
              <w:t>)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B283DE8" w14:textId="143E0B94" w:rsidR="3C9E464D" w:rsidRPr="00445013" w:rsidRDefault="3C9E464D" w:rsidP="3765CAC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the institution’s objectives in undertaking trading activities</w:t>
            </w:r>
            <w:r w:rsidR="00A857E0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,</w:t>
            </w:r>
            <w:r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and the processes implemented to identify, measure, monitor and control the </w:t>
            </w:r>
            <w:r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lastRenderedPageBreak/>
              <w:t>institution’s market risks</w:t>
            </w:r>
            <w:r w:rsidR="00A94820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. This information can be provided by making a cross-reference to table </w:t>
            </w:r>
            <w:r w:rsidR="001E5FF3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EU MRA</w:t>
            </w:r>
          </w:p>
        </w:tc>
      </w:tr>
      <w:tr w:rsidR="3765CAC5" w:rsidRPr="00AA772E" w14:paraId="3EEEAC3B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FB7E23A" w14:textId="2C8F59E6" w:rsidR="3C9E464D" w:rsidRPr="00DB0A49" w:rsidRDefault="00671C85" w:rsidP="3765CAC5">
            <w:pPr>
              <w:rPr>
                <w:rFonts w:ascii="Times New Roman" w:hAnsi="Times New Roman" w:cs="Times New Roman"/>
                <w:sz w:val="24"/>
                <w:lang w:eastAsia="ja-JP"/>
              </w:rPr>
            </w:pPr>
            <w:r w:rsidRPr="00DB0A49">
              <w:rPr>
                <w:rFonts w:ascii="Times New Roman" w:hAnsi="Times New Roman" w:cs="Times New Roman"/>
                <w:sz w:val="24"/>
                <w:lang w:eastAsia="ja-JP"/>
              </w:rPr>
              <w:lastRenderedPageBreak/>
              <w:t>EU (</w:t>
            </w:r>
            <w:r w:rsidR="3C9E464D" w:rsidRPr="00DB0A49">
              <w:rPr>
                <w:rFonts w:ascii="Times New Roman" w:hAnsi="Times New Roman" w:cs="Times New Roman"/>
                <w:sz w:val="24"/>
                <w:lang w:eastAsia="ja-JP"/>
              </w:rPr>
              <w:t>b</w:t>
            </w:r>
            <w:r w:rsidRPr="00DB0A49">
              <w:rPr>
                <w:rFonts w:ascii="Times New Roman" w:hAnsi="Times New Roman" w:cs="Times New Roman"/>
                <w:sz w:val="24"/>
                <w:lang w:eastAsia="ja-JP"/>
              </w:rPr>
              <w:t>)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DEECC21" w14:textId="2B4ED7C7" w:rsidR="3C9E464D" w:rsidRPr="00DB0A49" w:rsidRDefault="3C9E464D" w:rsidP="3765CAC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the policies referred to in Article 104(1) for determining which position is to be included in the trading book</w:t>
            </w:r>
            <w:r w:rsidR="005B429A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 This information can be provided by making cross-reference to table EU MR A;</w:t>
            </w:r>
          </w:p>
        </w:tc>
      </w:tr>
      <w:tr w:rsidR="00671C85" w:rsidRPr="00AA772E" w14:paraId="0D6ADAE7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9CC578F" w14:textId="7D03AC39" w:rsidR="00671C85" w:rsidRPr="00DB0A49" w:rsidRDefault="00C06844" w:rsidP="00DE090B">
            <w:pPr>
              <w:rPr>
                <w:rFonts w:ascii="Times New Roman" w:hAnsi="Times New Roman" w:cs="Times New Roman"/>
                <w:sz w:val="24"/>
                <w:lang w:eastAsia="ja-JP"/>
              </w:rPr>
            </w:pPr>
            <w:r w:rsidRPr="00DB0A49">
              <w:rPr>
                <w:rFonts w:ascii="Times New Roman" w:hAnsi="Times New Roman" w:cs="Times New Roman"/>
                <w:sz w:val="24"/>
                <w:lang w:eastAsia="ja-JP"/>
              </w:rPr>
              <w:t>EU (</w:t>
            </w:r>
            <w:r w:rsidR="003B45C4" w:rsidRPr="00DB0A49">
              <w:rPr>
                <w:rFonts w:ascii="Times New Roman" w:hAnsi="Times New Roman" w:cs="Times New Roman"/>
                <w:sz w:val="24"/>
                <w:lang w:eastAsia="ja-JP"/>
              </w:rPr>
              <w:t>c)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F47B801" w14:textId="77777777" w:rsidR="00671C85" w:rsidRPr="00DB0A49" w:rsidRDefault="00671C85" w:rsidP="00DE090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the structure and organisation of the market risk management function and governance;</w:t>
            </w:r>
          </w:p>
        </w:tc>
      </w:tr>
      <w:tr w:rsidR="00701D8F" w:rsidRPr="00AA772E" w14:paraId="2E7B7CF0" w14:textId="77777777" w:rsidTr="00DB0A49">
        <w:trPr>
          <w:trHeight w:val="1301"/>
        </w:trPr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25068B" w14:textId="77777777" w:rsidR="00701D8F" w:rsidRPr="00DB0A49" w:rsidRDefault="00701D8F" w:rsidP="3765CA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  <w:p w14:paraId="3A0D6228" w14:textId="0AB8AAD0" w:rsidR="00701D8F" w:rsidRPr="00DB0A49" w:rsidRDefault="0D04DF7A" w:rsidP="140F9DE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(A) (B) </w:t>
            </w:r>
            <w:r w:rsidR="22B32477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General description of the trading desk structure</w:t>
            </w:r>
            <w:r w:rsidR="1DF704CA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and types of instruments included in the AIMA trading desk</w:t>
            </w:r>
            <w:r w:rsidR="22B32477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="6517C6A6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in accordance with </w:t>
            </w:r>
            <w:r w:rsidR="23097F10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Article 455</w:t>
            </w:r>
            <w:r w:rsidR="1E689576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(1)</w:t>
            </w:r>
            <w:r w:rsidR="0F8C82AF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, point</w:t>
            </w:r>
            <w:r w:rsidR="1E689576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s (c), (d)</w:t>
            </w:r>
            <w:r w:rsidR="23097F10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="1E689576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of the </w:t>
            </w:r>
            <w:r w:rsidR="28525830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Regulation (EU) 575/2013</w:t>
            </w:r>
            <w:r w:rsidR="23097F10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. </w:t>
            </w:r>
          </w:p>
        </w:tc>
      </w:tr>
      <w:tr w:rsidR="001B4290" w:rsidRPr="00AA772E" w14:paraId="59395D4F" w14:textId="77777777" w:rsidTr="00DB0A49">
        <w:trPr>
          <w:trHeight w:val="300"/>
        </w:trPr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1B5BC89" w14:textId="266872D2" w:rsidR="001B4290" w:rsidRPr="00DB0A49" w:rsidRDefault="001B4290" w:rsidP="00DB0A49">
            <w:pPr>
              <w:jc w:val="center"/>
              <w:rPr>
                <w:rFonts w:ascii="Times New Roman" w:hAnsi="Times New Roman" w:cs="Times New Roman"/>
                <w:sz w:val="24"/>
                <w:lang w:eastAsia="ja-JP"/>
              </w:rPr>
            </w:pPr>
            <w:r w:rsidRPr="00DB0A49">
              <w:rPr>
                <w:rFonts w:ascii="Times New Roman" w:hAnsi="Times New Roman" w:cs="Times New Roman"/>
                <w:sz w:val="24"/>
                <w:lang w:eastAsia="ja-JP"/>
              </w:rPr>
              <w:t>B (a)</w:t>
            </w:r>
          </w:p>
          <w:p w14:paraId="6D2F2E9A" w14:textId="09BF2D11" w:rsidR="001B4290" w:rsidRPr="00445013" w:rsidRDefault="001B4290" w:rsidP="00DB0A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lang w:eastAsia="ja-JP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F3361A9" w14:textId="697DA5E8" w:rsidR="001B4290" w:rsidRPr="00DB0A49" w:rsidRDefault="6FF6DD2C" w:rsidP="0BE4034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When disclosing information referred to in Article 455</w:t>
            </w:r>
            <w:r w:rsidR="1E689576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(1), point (c)</w:t>
            </w:r>
            <w:r w:rsidR="357C3DA5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of the</w:t>
            </w:r>
            <w:r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="0098272B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Regulation (EU) 575/2013</w:t>
            </w:r>
            <w:r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, </w:t>
            </w:r>
            <w:r w:rsidR="1ED470E2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institutions shall provide a</w:t>
            </w:r>
            <w:r w:rsidR="6917E534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general description of the structure of the trading desks covered by the internal models referred to in Article 325az, including for each desk a broad description of the desk's business strategy, the instruments permitted therein and the main risk types in relation to that desk;</w:t>
            </w:r>
          </w:p>
        </w:tc>
      </w:tr>
      <w:tr w:rsidR="001B4290" w:rsidRPr="00AA772E" w14:paraId="50FBF6A8" w14:textId="77777777" w:rsidTr="00DB0A49">
        <w:trPr>
          <w:trHeight w:val="300"/>
        </w:trPr>
        <w:tc>
          <w:tcPr>
            <w:tcW w:w="1230" w:type="dxa"/>
            <w:vMerge/>
            <w:hideMark/>
          </w:tcPr>
          <w:p w14:paraId="79170C23" w14:textId="7B220C5D" w:rsidR="001B4290" w:rsidRPr="00445013" w:rsidRDefault="001B4290" w:rsidP="3765CAC5">
            <w:pPr>
              <w:rPr>
                <w:rFonts w:ascii="Times New Roman" w:hAnsi="Times New Roman" w:cs="Times New Roman"/>
                <w:b/>
                <w:bCs/>
                <w:sz w:val="24"/>
                <w:lang w:eastAsia="ja-JP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DD9458D" w14:textId="1452A5E7" w:rsidR="001B4290" w:rsidRPr="00DB0A49" w:rsidRDefault="00F5701F" w:rsidP="0BE4034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When disclosing information referred to in Article 455</w:t>
            </w:r>
            <w:r w:rsidR="00CD55C8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(1), point (d) of the</w:t>
            </w:r>
            <w:r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="0098272B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Regulation (EU) 575/2013</w:t>
            </w:r>
            <w:r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, institutions shall provide a</w:t>
            </w:r>
            <w:r w:rsidR="001B4290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general overview of the trading book positions not covered by the internal models referred to in Article 325az, including a general description of the desk structure and of type of instruments included in the desks or in the desks categories in accordance with Article 104b;</w:t>
            </w:r>
          </w:p>
        </w:tc>
      </w:tr>
      <w:tr w:rsidR="00090EA4" w:rsidRPr="00AA772E" w:rsidDel="00671C85" w14:paraId="0C8EF869" w14:textId="77777777" w:rsidTr="72461198">
        <w:trPr>
          <w:trHeight w:val="300"/>
        </w:trPr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C868DE" w14:textId="77777777" w:rsidR="00090EA4" w:rsidRPr="00DB0A49" w:rsidRDefault="00090EA4" w:rsidP="3765CA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B) C) E) </w:t>
            </w:r>
            <w:r w:rsidR="003C13EE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Description of the main characteristics of the models used at the consolidated level</w:t>
            </w:r>
            <w:r w:rsidR="005E6E16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, including </w:t>
            </w:r>
            <w:r w:rsidR="00E67450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the approaches used in the validation of the models and modelling processes.</w:t>
            </w:r>
          </w:p>
          <w:p w14:paraId="32D410A2" w14:textId="3D7C861F" w:rsidR="00DE5B78" w:rsidRPr="00DB0A49" w:rsidDel="00671C85" w:rsidRDefault="00DE5B78" w:rsidP="3765CA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8A05A4" w:rsidRPr="00AA772E" w:rsidDel="00671C85" w14:paraId="2A2D75B6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F5B40F" w14:textId="09595E2A" w:rsidR="00A75779" w:rsidRPr="00DB0A49" w:rsidDel="00671C85" w:rsidRDefault="00A75779" w:rsidP="3765CAC5">
            <w:pPr>
              <w:rPr>
                <w:rFonts w:ascii="Times New Roman" w:hAnsi="Times New Roman" w:cs="Times New Roman"/>
                <w:sz w:val="24"/>
                <w:lang w:eastAsia="ja-JP"/>
              </w:rPr>
            </w:pPr>
            <w:r w:rsidRPr="00DB0A49">
              <w:rPr>
                <w:rFonts w:ascii="Times New Roman" w:hAnsi="Times New Roman" w:cs="Times New Roman"/>
                <w:sz w:val="24"/>
                <w:lang w:eastAsia="ja-JP"/>
              </w:rPr>
              <w:t>B (b) (c) (d) (e)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0955CD" w14:textId="150F8DFA" w:rsidR="007E7D7A" w:rsidRPr="00DB0A49" w:rsidDel="00671C85" w:rsidRDefault="001D2F69" w:rsidP="0BE4034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When disclosing information referred to in Article 455</w:t>
            </w:r>
            <w:r w:rsidR="00CD55C8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(1), point (f)</w:t>
            </w:r>
            <w:r w:rsidR="00974577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(i) of the</w:t>
            </w:r>
            <w:r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="00E9795A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Regulation (EU) 575/2013</w:t>
            </w:r>
            <w:r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, institutions shall </w:t>
            </w:r>
            <w:r w:rsidR="00347F3B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provide: </w:t>
            </w:r>
            <w:r w:rsidR="007E7D7A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the scope, the main characteristics and the key modelling choices of the different internal models referred to in Article 325az </w:t>
            </w:r>
            <w:r w:rsidR="00974577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of the </w:t>
            </w:r>
            <w:r w:rsidR="5A4E6B5C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Regulation (EU) 575/2013</w:t>
            </w:r>
            <w:r w:rsidR="001941CB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="007E7D7A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ed to calculate the risk exposure amounts for the main models used at the consolidated level, and a description to what extent those internal models represent all the models used at the consolidated level, including where applicable:</w:t>
            </w:r>
            <w:r w:rsidR="00A75779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="00D6625B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(i) </w:t>
            </w:r>
            <w:r w:rsidR="007E7D7A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a broad description of the modelling approach used to calculate the expected shortfall referred to in Article 325ba(1), point (a)</w:t>
            </w:r>
            <w:r w:rsidR="00974577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of the CRR</w:t>
            </w:r>
            <w:r w:rsidR="007E7D7A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, </w:t>
            </w:r>
            <w:r w:rsidR="001941CB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including</w:t>
            </w:r>
            <w:r w:rsidR="007E7D7A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the frequency of data update</w:t>
            </w:r>
            <w:r w:rsidR="00A75779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</w:t>
            </w:r>
          </w:p>
        </w:tc>
      </w:tr>
      <w:tr w:rsidR="008A05A4" w:rsidRPr="00AA772E" w:rsidDel="00671C85" w14:paraId="45EADEA6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293FED" w14:textId="77E5A12E" w:rsidR="008A05A4" w:rsidRPr="00DB0A49" w:rsidDel="00671C85" w:rsidRDefault="00C82CB4" w:rsidP="3765CAC5">
            <w:pPr>
              <w:rPr>
                <w:rFonts w:ascii="Times New Roman" w:hAnsi="Times New Roman" w:cs="Times New Roman"/>
                <w:sz w:val="24"/>
                <w:lang w:eastAsia="ja-JP"/>
              </w:rPr>
            </w:pPr>
            <w:r w:rsidRPr="00DB0A49">
              <w:rPr>
                <w:rFonts w:ascii="Times New Roman" w:hAnsi="Times New Roman" w:cs="Times New Roman"/>
                <w:sz w:val="24"/>
                <w:lang w:eastAsia="ja-JP"/>
              </w:rPr>
              <w:t>C (a)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501C58" w14:textId="29B0602F" w:rsidR="00D6625B" w:rsidRPr="00DB0A49" w:rsidRDefault="00A75779" w:rsidP="0BE4034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When disclosing information referred to in Article 455</w:t>
            </w:r>
            <w:r w:rsidR="00974577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(1), point (f)(ii) of the</w:t>
            </w:r>
            <w:r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="32370E96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Regulation</w:t>
            </w:r>
            <w:r w:rsidR="5A4E6B5C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(EU) 575/2013</w:t>
            </w:r>
            <w:r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, institutions shall include</w:t>
            </w:r>
            <w:r w:rsidR="00D6625B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, where applicable: a broad description of the methodology used to calculate the stress scenario risk measure referred to in Article 325ba(1), point (b)</w:t>
            </w:r>
            <w:r w:rsidR="00605F82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of the </w:t>
            </w:r>
            <w:r w:rsidR="5A4E6B5C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Regulation (EU) 575/2013</w:t>
            </w:r>
            <w:r w:rsidR="00D6625B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ther than the specifications provided for in Article 325bk(3)</w:t>
            </w:r>
            <w:r w:rsidR="00605F82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of the Re</w:t>
            </w:r>
            <w:r w:rsidR="5A4E6B5C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gulation (EU) 575/2013</w:t>
            </w:r>
            <w:r w:rsidR="09FD1D50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.</w:t>
            </w:r>
          </w:p>
          <w:p w14:paraId="3E866C05" w14:textId="635C3FD9" w:rsidR="008A05A4" w:rsidRPr="00DB0A49" w:rsidDel="00671C85" w:rsidRDefault="008A05A4" w:rsidP="3765CA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C3247D" w:rsidRPr="00AA772E" w:rsidDel="00671C85" w14:paraId="24E01ADC" w14:textId="77777777" w:rsidTr="72461198">
        <w:trPr>
          <w:trHeight w:val="300"/>
        </w:trPr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44C901" w14:textId="4C917FDF" w:rsidR="00C3247D" w:rsidRPr="00DB0A49" w:rsidRDefault="00C3247D" w:rsidP="00D6625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D) </w:t>
            </w:r>
            <w:r w:rsidR="00E374FB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Description of internal models to calculate the default risk charge</w:t>
            </w:r>
          </w:p>
        </w:tc>
      </w:tr>
      <w:tr w:rsidR="3765CAC5" w:rsidRPr="00AA772E" w14:paraId="77D1514B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75EB9A4" w14:textId="4C21A863" w:rsidR="3C9E464D" w:rsidRPr="00DB0A49" w:rsidRDefault="00827740" w:rsidP="00DB0A4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lang w:eastAsia="ja-JP"/>
              </w:rPr>
            </w:pPr>
            <w:r w:rsidRPr="00DB0A49">
              <w:rPr>
                <w:rFonts w:ascii="Times New Roman" w:hAnsi="Times New Roman"/>
                <w:sz w:val="24"/>
                <w:szCs w:val="24"/>
                <w:lang w:eastAsia="ja-JP"/>
              </w:rPr>
              <w:t>(b)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FFC28FC" w14:textId="6E66AC42" w:rsidR="3C9E464D" w:rsidRPr="00DB0A49" w:rsidRDefault="00FF5D12" w:rsidP="0BE4034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When disclosing information referred to in Article 455</w:t>
            </w:r>
            <w:r w:rsidR="00605F82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(1), point (f) (iii) of the</w:t>
            </w:r>
            <w:r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="2CD55D33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Regulation</w:t>
            </w:r>
            <w:r w:rsidR="5A4E6B5C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(EU) 575/2013</w:t>
            </w:r>
            <w:r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, institutions shall include, where applicable: </w:t>
            </w:r>
            <w:r w:rsidR="3C9E464D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a broad description of the modelling approach used to </w:t>
            </w:r>
            <w:r w:rsidR="3C9E464D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lastRenderedPageBreak/>
              <w:t>calculate the default risk charge referred to in Article 325ba(2)</w:t>
            </w:r>
            <w:r w:rsidR="00605F82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of the </w:t>
            </w:r>
            <w:r w:rsidR="3B21E08E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Regulation</w:t>
            </w:r>
            <w:r w:rsidR="5A4E6B5C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(EU) 575/</w:t>
            </w:r>
            <w:r w:rsidR="3B21E08E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2013  i</w:t>
            </w:r>
            <w:r w:rsidR="6BEF0970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ncluding</w:t>
            </w:r>
            <w:r w:rsidR="3C9E464D" w:rsidRPr="00DB0A4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the frequency of data update.</w:t>
            </w:r>
          </w:p>
        </w:tc>
      </w:tr>
    </w:tbl>
    <w:p w14:paraId="116B518F" w14:textId="73EB613A" w:rsidR="3765CAC5" w:rsidRDefault="3765CAC5">
      <w:pPr>
        <w:rPr>
          <w:rFonts w:ascii="Times New Roman" w:hAnsi="Times New Roman" w:cs="Times New Roman"/>
        </w:rPr>
      </w:pPr>
    </w:p>
    <w:p w14:paraId="471DC03E" w14:textId="77777777" w:rsidR="00445013" w:rsidRPr="00DB0A49" w:rsidRDefault="00445013">
      <w:pPr>
        <w:rPr>
          <w:rFonts w:ascii="Times New Roman" w:hAnsi="Times New Roman" w:cs="Times New Roman"/>
        </w:rPr>
      </w:pPr>
    </w:p>
    <w:p w14:paraId="681251D5" w14:textId="0749B91A" w:rsidR="00931C32" w:rsidRPr="001F1865" w:rsidRDefault="00931C32" w:rsidP="3821DFBC">
      <w:pPr>
        <w:pStyle w:val="Titlelevel2"/>
        <w:spacing w:before="0"/>
        <w:rPr>
          <w:rFonts w:ascii="Times New Roman" w:hAnsi="Times New Roman" w:cs="Times New Roman"/>
          <w:color w:val="auto"/>
          <w:sz w:val="24"/>
          <w:lang w:val="en-GB"/>
        </w:rPr>
      </w:pPr>
      <w:r w:rsidRPr="001F1865">
        <w:rPr>
          <w:rFonts w:ascii="Times New Roman" w:hAnsi="Times New Roman" w:cs="Times New Roman"/>
          <w:b/>
          <w:color w:val="auto"/>
          <w:sz w:val="24"/>
          <w:lang w:val="en-GB"/>
        </w:rPr>
        <w:t>Template EU MR2 - Market risk under the</w:t>
      </w:r>
      <w:r w:rsidR="5052D778" w:rsidRPr="001F1865">
        <w:rPr>
          <w:rFonts w:ascii="Times New Roman" w:hAnsi="Times New Roman" w:cs="Times New Roman"/>
          <w:b/>
          <w:color w:val="auto"/>
          <w:sz w:val="24"/>
          <w:lang w:val="en-GB"/>
        </w:rPr>
        <w:t xml:space="preserve"> alternative</w:t>
      </w:r>
      <w:r w:rsidRPr="001F1865">
        <w:rPr>
          <w:rFonts w:ascii="Times New Roman" w:hAnsi="Times New Roman" w:cs="Times New Roman"/>
          <w:b/>
          <w:color w:val="auto"/>
          <w:sz w:val="24"/>
          <w:lang w:val="en-GB"/>
        </w:rPr>
        <w:t xml:space="preserve"> internal </w:t>
      </w:r>
      <w:r w:rsidR="588CE7D0" w:rsidRPr="001F1865">
        <w:rPr>
          <w:rFonts w:ascii="Times New Roman" w:hAnsi="Times New Roman" w:cs="Times New Roman"/>
          <w:b/>
          <w:color w:val="auto"/>
          <w:sz w:val="24"/>
          <w:lang w:val="en-GB"/>
        </w:rPr>
        <w:t>m</w:t>
      </w:r>
      <w:r w:rsidRPr="001F1865">
        <w:rPr>
          <w:rFonts w:ascii="Times New Roman" w:hAnsi="Times New Roman" w:cs="Times New Roman"/>
          <w:b/>
          <w:color w:val="auto"/>
          <w:sz w:val="24"/>
          <w:lang w:val="en-GB"/>
        </w:rPr>
        <w:t xml:space="preserve">odel </w:t>
      </w:r>
      <w:r w:rsidR="18548FBB" w:rsidRPr="001F1865">
        <w:rPr>
          <w:rFonts w:ascii="Times New Roman" w:hAnsi="Times New Roman" w:cs="Times New Roman"/>
          <w:b/>
          <w:color w:val="auto"/>
          <w:sz w:val="24"/>
          <w:lang w:val="en-GB"/>
        </w:rPr>
        <w:t>a</w:t>
      </w:r>
      <w:r w:rsidRPr="001F1865">
        <w:rPr>
          <w:rFonts w:ascii="Times New Roman" w:hAnsi="Times New Roman" w:cs="Times New Roman"/>
          <w:b/>
          <w:color w:val="auto"/>
          <w:sz w:val="24"/>
          <w:lang w:val="en-GB"/>
        </w:rPr>
        <w:t>pproach (</w:t>
      </w:r>
      <w:r w:rsidR="3354C78D" w:rsidRPr="001F1865">
        <w:rPr>
          <w:rFonts w:ascii="Times New Roman" w:hAnsi="Times New Roman" w:cs="Times New Roman"/>
          <w:b/>
          <w:color w:val="auto"/>
          <w:sz w:val="24"/>
          <w:lang w:val="en-GB"/>
        </w:rPr>
        <w:t>A</w:t>
      </w:r>
      <w:r w:rsidRPr="001F1865">
        <w:rPr>
          <w:rFonts w:ascii="Times New Roman" w:hAnsi="Times New Roman" w:cs="Times New Roman"/>
          <w:b/>
          <w:color w:val="auto"/>
          <w:sz w:val="24"/>
          <w:lang w:val="en-GB"/>
        </w:rPr>
        <w:t>IMA):</w:t>
      </w:r>
      <w:r w:rsidRPr="001F1865">
        <w:rPr>
          <w:rFonts w:ascii="Times New Roman" w:hAnsi="Times New Roman" w:cs="Times New Roman"/>
          <w:color w:val="auto"/>
          <w:sz w:val="24"/>
          <w:lang w:val="en-GB"/>
        </w:rPr>
        <w:t xml:space="preserve"> fixed format</w:t>
      </w:r>
    </w:p>
    <w:p w14:paraId="2D64DF36" w14:textId="6604692C" w:rsidR="00931C32" w:rsidRPr="00DB0A49" w:rsidRDefault="00931C32" w:rsidP="00DB0A49">
      <w:pPr>
        <w:pStyle w:val="Titlelevel2"/>
        <w:numPr>
          <w:ilvl w:val="0"/>
          <w:numId w:val="4"/>
        </w:numPr>
        <w:spacing w:before="0"/>
        <w:ind w:left="284" w:hanging="284"/>
        <w:jc w:val="both"/>
        <w:rPr>
          <w:rFonts w:ascii="Times New Roman" w:eastAsiaTheme="minorEastAsia" w:hAnsi="Times New Roman" w:cs="Times New Roman"/>
          <w:color w:val="auto"/>
          <w:sz w:val="24"/>
        </w:rPr>
      </w:pPr>
      <w:r w:rsidRPr="001F1865">
        <w:rPr>
          <w:rFonts w:ascii="Times New Roman" w:eastAsiaTheme="minorEastAsia" w:hAnsi="Times New Roman" w:cs="Times New Roman"/>
          <w:color w:val="000000" w:themeColor="text1"/>
          <w:sz w:val="24"/>
          <w:lang w:val="en-GB"/>
        </w:rPr>
        <w:t>Institutions shall disclose the information referred to point (</w:t>
      </w:r>
      <w:r w:rsidR="4AD057AA" w:rsidRPr="001F1865">
        <w:rPr>
          <w:rFonts w:ascii="Times New Roman" w:eastAsiaTheme="minorEastAsia" w:hAnsi="Times New Roman" w:cs="Times New Roman"/>
          <w:color w:val="000000" w:themeColor="text1"/>
          <w:sz w:val="24"/>
          <w:lang w:val="en-GB"/>
        </w:rPr>
        <w:t>2</w:t>
      </w:r>
      <w:r w:rsidRPr="001F1865">
        <w:rPr>
          <w:rFonts w:ascii="Times New Roman" w:eastAsiaTheme="minorEastAsia" w:hAnsi="Times New Roman" w:cs="Times New Roman"/>
          <w:color w:val="000000" w:themeColor="text1"/>
          <w:sz w:val="24"/>
          <w:lang w:val="en-GB"/>
        </w:rPr>
        <w:t xml:space="preserve">) of Article 455 </w:t>
      </w:r>
      <w:r w:rsidR="167ECDDF" w:rsidRPr="001F1865">
        <w:rPr>
          <w:rFonts w:ascii="Times New Roman" w:eastAsiaTheme="minorEastAsia" w:hAnsi="Times New Roman" w:cs="Times New Roman"/>
          <w:color w:val="000000" w:themeColor="text1"/>
          <w:sz w:val="24"/>
          <w:lang w:val="en-GB"/>
        </w:rPr>
        <w:t>Regulation</w:t>
      </w:r>
      <w:r w:rsidR="5A4E6B5C" w:rsidRPr="001F1865">
        <w:rPr>
          <w:rFonts w:ascii="Times New Roman" w:eastAsiaTheme="minorEastAsia" w:hAnsi="Times New Roman" w:cs="Times New Roman"/>
          <w:color w:val="000000" w:themeColor="text1"/>
          <w:sz w:val="24"/>
          <w:lang w:val="en-GB"/>
        </w:rPr>
        <w:t xml:space="preserve"> (EU) 575/2013</w:t>
      </w:r>
      <w:r w:rsidRPr="001F1865">
        <w:rPr>
          <w:rFonts w:ascii="Times New Roman" w:eastAsiaTheme="minorEastAsia" w:hAnsi="Times New Roman" w:cs="Times New Roman"/>
          <w:color w:val="000000" w:themeColor="text1"/>
          <w:sz w:val="24"/>
          <w:lang w:val="en-GB"/>
        </w:rPr>
        <w:t xml:space="preserve"> by following the instructions provided below in this Annex to complete template EU MR2 which is presented in Annex XXIX.</w:t>
      </w:r>
      <w:r w:rsidR="00350C8C">
        <w:rPr>
          <w:rFonts w:ascii="Times New Roman" w:eastAsiaTheme="minorEastAsia" w:hAnsi="Times New Roman" w:cs="Times New Roman"/>
          <w:color w:val="000000" w:themeColor="text1"/>
          <w:sz w:val="24"/>
          <w:lang w:val="en-GB"/>
        </w:rPr>
        <w:t xml:space="preserve"> </w:t>
      </w:r>
      <w:r w:rsidR="00350C8C">
        <w:rPr>
          <w:rFonts w:ascii="Times New Roman" w:eastAsiaTheme="minorEastAsia" w:hAnsi="Times New Roman" w:cs="Times New Roman"/>
          <w:color w:val="auto"/>
          <w:sz w:val="24"/>
          <w:lang w:val="en-GB"/>
        </w:rPr>
        <w:t>Institutions shall not include any data on their Internal Risk transfer (IRT) desk in this template.</w:t>
      </w:r>
    </w:p>
    <w:tbl>
      <w:tblPr>
        <w:tblW w:w="84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2"/>
        <w:gridCol w:w="7242"/>
      </w:tblGrid>
      <w:tr w:rsidR="00931C32" w:rsidRPr="001F1865" w14:paraId="454671C8" w14:textId="77777777" w:rsidTr="0BE40342"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ECF57C" w14:textId="77777777" w:rsidR="00931C32" w:rsidRPr="001F1865" w:rsidRDefault="00931C32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 w:rsidRPr="001F1865">
              <w:rPr>
                <w:rFonts w:ascii="Times New Roman" w:hAnsi="Times New Roman" w:cs="Times New Roman"/>
                <w:b/>
                <w:sz w:val="24"/>
              </w:rPr>
              <w:t>Legal references and instructions</w:t>
            </w:r>
          </w:p>
        </w:tc>
      </w:tr>
      <w:tr w:rsidR="00931C32" w:rsidRPr="001F1865" w14:paraId="74EB4602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D9C09D3" w14:textId="77777777" w:rsidR="00931C32" w:rsidRPr="001F1865" w:rsidRDefault="00931C32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  <w:lang w:eastAsia="ja-JP"/>
              </w:rPr>
            </w:pPr>
            <w:r w:rsidRPr="001F1865">
              <w:rPr>
                <w:rFonts w:ascii="Times New Roman" w:hAnsi="Times New Roman" w:cs="Times New Roman"/>
                <w:b/>
                <w:sz w:val="24"/>
                <w:lang w:eastAsia="ja-JP"/>
              </w:rPr>
              <w:t>Row number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5527BB7" w14:textId="77777777" w:rsidR="00931C32" w:rsidRPr="001F1865" w:rsidRDefault="00931C32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  <w:lang w:eastAsia="ja-JP"/>
              </w:rPr>
            </w:pPr>
            <w:r w:rsidRPr="001F1865">
              <w:rPr>
                <w:rFonts w:ascii="Times New Roman" w:hAnsi="Times New Roman" w:cs="Times New Roman"/>
                <w:b/>
                <w:sz w:val="24"/>
                <w:lang w:eastAsia="ja-JP"/>
              </w:rPr>
              <w:t>Explanation</w:t>
            </w:r>
          </w:p>
        </w:tc>
      </w:tr>
      <w:tr w:rsidR="3765CAC5" w:rsidRPr="00DB0A49" w14:paraId="34D4196F" w14:textId="77777777" w:rsidTr="00DB0A49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587A1073" w14:textId="03BB75EC" w:rsidR="3765CAC5" w:rsidRPr="00DB0A49" w:rsidRDefault="59A8805A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ja-JP"/>
              </w:rPr>
            </w:pPr>
            <w:r w:rsidRPr="00DB0A49">
              <w:rPr>
                <w:rFonts w:ascii="Times New Roman" w:eastAsia="Times New Roman" w:hAnsi="Times New Roman" w:cs="Times New Roman"/>
                <w:sz w:val="24"/>
                <w:lang w:eastAsia="ja-JP"/>
              </w:rPr>
              <w:t>1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1AF62FAF" w14:textId="54B9E90E" w:rsidR="02494BE7" w:rsidRPr="00AA44B0" w:rsidRDefault="42390ABD" w:rsidP="4A0450B5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Unconstrained expected shortfall measure </w:t>
            </w:r>
            <w:r w:rsidR="2FC34BD8"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(UESt)</w:t>
            </w:r>
          </w:p>
          <w:p w14:paraId="1E53AB6F" w14:textId="2D37B3D8" w:rsidR="3E91330B" w:rsidRPr="00DB0A49" w:rsidRDefault="3BB31265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B0A49">
              <w:rPr>
                <w:rFonts w:ascii="Times New Roman" w:eastAsia="Times New Roman" w:hAnsi="Times New Roman" w:cs="Times New Roman"/>
                <w:sz w:val="24"/>
              </w:rPr>
              <w:t xml:space="preserve">The value disclosed </w:t>
            </w:r>
            <w:r w:rsidR="20BAA939" w:rsidRPr="00DB0A49">
              <w:rPr>
                <w:rFonts w:ascii="Times New Roman" w:hAnsi="Times New Roman" w:cs="Times New Roman"/>
                <w:sz w:val="24"/>
              </w:rPr>
              <w:t>shall be calculated at the level of the overall portfolio and not at the level of a br</w:t>
            </w:r>
            <w:r w:rsidR="1039BAA8" w:rsidRPr="00DB0A49">
              <w:rPr>
                <w:rFonts w:ascii="Times New Roman" w:hAnsi="Times New Roman" w:cs="Times New Roman"/>
                <w:sz w:val="24"/>
              </w:rPr>
              <w:t>o</w:t>
            </w:r>
            <w:r w:rsidR="20BAA939" w:rsidRPr="00DB0A49">
              <w:rPr>
                <w:rFonts w:ascii="Times New Roman" w:hAnsi="Times New Roman" w:cs="Times New Roman"/>
                <w:sz w:val="24"/>
              </w:rPr>
              <w:t xml:space="preserve">ad category </w:t>
            </w:r>
            <w:r w:rsidR="0715563F" w:rsidRPr="00DB0A49">
              <w:rPr>
                <w:rFonts w:ascii="Times New Roman" w:hAnsi="Times New Roman" w:cs="Times New Roman"/>
                <w:sz w:val="24"/>
              </w:rPr>
              <w:t>of risk</w:t>
            </w:r>
            <w:r w:rsidR="335A1535" w:rsidRPr="00DB0A49">
              <w:rPr>
                <w:rFonts w:ascii="Times New Roman" w:hAnsi="Times New Roman" w:cs="Times New Roman"/>
                <w:sz w:val="24"/>
              </w:rPr>
              <w:t xml:space="preserve"> according to Articles 325bb and 325bc </w:t>
            </w:r>
            <w:r w:rsidR="7E480FE0" w:rsidRPr="00DB0A49">
              <w:rPr>
                <w:rFonts w:ascii="Times New Roman" w:hAnsi="Times New Roman" w:cs="Times New Roman"/>
                <w:sz w:val="24"/>
              </w:rPr>
              <w:t>Regulation</w:t>
            </w:r>
            <w:r w:rsidR="5A4E6B5C" w:rsidRPr="00DB0A49">
              <w:rPr>
                <w:rFonts w:ascii="Times New Roman" w:hAnsi="Times New Roman" w:cs="Times New Roman"/>
                <w:sz w:val="24"/>
              </w:rPr>
              <w:t xml:space="preserve"> (EU) 575/2013</w:t>
            </w:r>
            <w:r w:rsidR="335A1535" w:rsidRPr="00DB0A49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4A0450B5" w:rsidRPr="00DB0A49" w14:paraId="26782036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601045CC" w14:textId="043660EE" w:rsidR="3B3426CC" w:rsidRPr="00DB0A49" w:rsidRDefault="3B3426CC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ja-JP"/>
              </w:rPr>
            </w:pPr>
            <w:r w:rsidRPr="00DB0A49">
              <w:rPr>
                <w:rFonts w:ascii="Times New Roman" w:eastAsia="Times New Roman" w:hAnsi="Times New Roman" w:cs="Times New Roman"/>
                <w:sz w:val="24"/>
                <w:lang w:eastAsia="ja-JP"/>
              </w:rPr>
              <w:t>2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2A1B0F63" w14:textId="348EF369" w:rsidR="3B3426CC" w:rsidRPr="00AA44B0" w:rsidRDefault="3B3426CC" w:rsidP="4A0450B5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Unconstrained expected shortfall measure for </w:t>
            </w:r>
            <w:r w:rsidR="01E12F8D"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the </w:t>
            </w:r>
            <w:r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risk factor category </w:t>
            </w:r>
            <w:r w:rsidR="6DCBCB4F"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i</w:t>
            </w:r>
            <w:r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nterest </w:t>
            </w:r>
            <w:r w:rsidR="2D55B8CC"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r</w:t>
            </w:r>
            <w:r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ate</w:t>
            </w:r>
          </w:p>
          <w:p w14:paraId="39E48A15" w14:textId="5243BB2A" w:rsidR="40EE3118" w:rsidRPr="00DB0A49" w:rsidRDefault="749F8553" w:rsidP="0BE4034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B0A49">
              <w:rPr>
                <w:rFonts w:ascii="Times New Roman" w:eastAsia="Times New Roman" w:hAnsi="Times New Roman" w:cs="Times New Roman"/>
                <w:sz w:val="24"/>
              </w:rPr>
              <w:t>T</w:t>
            </w:r>
            <w:r w:rsidR="5B594D8B" w:rsidRPr="00DB0A49">
              <w:rPr>
                <w:rFonts w:ascii="Times New Roman" w:eastAsia="Times New Roman" w:hAnsi="Times New Roman" w:cs="Times New Roman"/>
                <w:sz w:val="24"/>
              </w:rPr>
              <w:t>he</w:t>
            </w:r>
            <w:r w:rsidRPr="00DB0A49">
              <w:rPr>
                <w:rFonts w:ascii="Times New Roman" w:eastAsia="Times New Roman" w:hAnsi="Times New Roman" w:cs="Times New Roman"/>
                <w:sz w:val="24"/>
              </w:rPr>
              <w:t xml:space="preserve"> value disclosed shall </w:t>
            </w:r>
            <w:r w:rsidR="15402E32" w:rsidRPr="00DB0A49">
              <w:rPr>
                <w:rFonts w:ascii="Times New Roman" w:eastAsia="Times New Roman" w:hAnsi="Times New Roman" w:cs="Times New Roman"/>
                <w:sz w:val="24"/>
              </w:rPr>
              <w:t>be calculated for the risk factors of the interes</w:t>
            </w:r>
            <w:r w:rsidR="4C26D47D" w:rsidRPr="00DB0A49">
              <w:rPr>
                <w:rFonts w:ascii="Times New Roman" w:eastAsia="Times New Roman" w:hAnsi="Times New Roman" w:cs="Times New Roman"/>
                <w:sz w:val="24"/>
              </w:rPr>
              <w:t>t</w:t>
            </w:r>
            <w:r w:rsidR="15402E32" w:rsidRPr="00DB0A49">
              <w:rPr>
                <w:rFonts w:ascii="Times New Roman" w:eastAsia="Times New Roman" w:hAnsi="Times New Roman" w:cs="Times New Roman"/>
                <w:sz w:val="24"/>
              </w:rPr>
              <w:t xml:space="preserve"> rate risk category </w:t>
            </w:r>
            <w:r w:rsidR="61E1B363" w:rsidRPr="00DB0A49">
              <w:rPr>
                <w:rFonts w:ascii="Times New Roman" w:eastAsia="Times New Roman" w:hAnsi="Times New Roman" w:cs="Times New Roman"/>
                <w:sz w:val="24"/>
                <w:lang w:eastAsia="ja-JP"/>
              </w:rPr>
              <w:t xml:space="preserve">according to </w:t>
            </w:r>
            <w:r w:rsidR="05F82D7D" w:rsidRPr="00DB0A49">
              <w:rPr>
                <w:rFonts w:ascii="Times New Roman" w:eastAsia="Times New Roman" w:hAnsi="Times New Roman" w:cs="Times New Roman"/>
                <w:sz w:val="24"/>
              </w:rPr>
              <w:t>Articles 325bb</w:t>
            </w:r>
            <w:r w:rsidR="709C7A7B" w:rsidRPr="00DB0A49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 w:rsidR="05F82D7D" w:rsidRPr="00DB0A49">
              <w:rPr>
                <w:rFonts w:ascii="Times New Roman" w:eastAsia="Times New Roman" w:hAnsi="Times New Roman" w:cs="Times New Roman"/>
                <w:sz w:val="24"/>
              </w:rPr>
              <w:t>325b</w:t>
            </w:r>
            <w:r w:rsidR="75515E65" w:rsidRPr="00DB0A49">
              <w:rPr>
                <w:rFonts w:ascii="Times New Roman" w:eastAsia="Times New Roman" w:hAnsi="Times New Roman" w:cs="Times New Roman"/>
                <w:sz w:val="24"/>
              </w:rPr>
              <w:t>c</w:t>
            </w:r>
            <w:r w:rsidR="67C46542" w:rsidRPr="00DB0A49">
              <w:rPr>
                <w:rFonts w:ascii="Times New Roman" w:eastAsia="Times New Roman" w:hAnsi="Times New Roman" w:cs="Times New Roman"/>
                <w:sz w:val="24"/>
              </w:rPr>
              <w:t xml:space="preserve"> and 325bd</w:t>
            </w:r>
            <w:r w:rsidR="51F52224" w:rsidRPr="00DB0A4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16F76100" w:rsidRPr="00DB0A49">
              <w:rPr>
                <w:rFonts w:ascii="Times New Roman" w:eastAsia="Times New Roman" w:hAnsi="Times New Roman" w:cs="Times New Roman"/>
                <w:sz w:val="24"/>
              </w:rPr>
              <w:t>Regulation</w:t>
            </w:r>
            <w:r w:rsidR="5A4E6B5C" w:rsidRPr="00DB0A49">
              <w:rPr>
                <w:rFonts w:ascii="Times New Roman" w:eastAsia="Times New Roman" w:hAnsi="Times New Roman" w:cs="Times New Roman"/>
                <w:sz w:val="24"/>
              </w:rPr>
              <w:t xml:space="preserve"> (EU) 575/2013</w:t>
            </w:r>
            <w:r w:rsidR="51F52224" w:rsidRPr="00DB0A49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234F41" w:rsidRPr="00DB0A49" w14:paraId="1583C761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75B8C21" w14:textId="1D60FC2A" w:rsidR="00234F41" w:rsidRPr="00DB0A49" w:rsidRDefault="002F3022" w:rsidP="00234F41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ja-JP"/>
              </w:rPr>
            </w:pPr>
            <w:r w:rsidRPr="00DB0A49">
              <w:rPr>
                <w:rFonts w:ascii="Times New Roman" w:eastAsia="Times New Roman" w:hAnsi="Times New Roman" w:cs="Times New Roman"/>
                <w:sz w:val="24"/>
                <w:lang w:eastAsia="ja-JP"/>
              </w:rPr>
              <w:t>3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FEEC3A3" w14:textId="32D0F810" w:rsidR="00234F41" w:rsidRPr="00AA44B0" w:rsidRDefault="471075D0" w:rsidP="140F9DE1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Unconstrained expected shortfall measure for the risk factor category equity</w:t>
            </w:r>
            <w:r w:rsidRPr="00AA44B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4968BF82" w:rsidRPr="00AA44B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4E1BA488" w14:textId="705548F0" w:rsidR="00234F41" w:rsidRPr="00DB0A49" w:rsidRDefault="7A25B94F" w:rsidP="140F9DE1">
            <w:pPr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</w:rPr>
            </w:pPr>
            <w:r w:rsidRPr="00DB0A49">
              <w:rPr>
                <w:rFonts w:ascii="Times New Roman" w:eastAsia="Times New Roman" w:hAnsi="Times New Roman" w:cs="Times New Roman"/>
                <w:sz w:val="24"/>
              </w:rPr>
              <w:t xml:space="preserve">The value disclosed shall be calculated for the risk factors of </w:t>
            </w:r>
            <w:r w:rsidR="44BF35F4" w:rsidRPr="00DB0A49">
              <w:rPr>
                <w:rFonts w:ascii="Times New Roman" w:eastAsia="Times New Roman" w:hAnsi="Times New Roman" w:cs="Times New Roman"/>
                <w:sz w:val="24"/>
              </w:rPr>
              <w:t>equity</w:t>
            </w:r>
            <w:r w:rsidRPr="00DB0A49">
              <w:rPr>
                <w:rFonts w:ascii="Times New Roman" w:eastAsia="Times New Roman" w:hAnsi="Times New Roman" w:cs="Times New Roman"/>
                <w:sz w:val="24"/>
              </w:rPr>
              <w:t xml:space="preserve"> risk category </w:t>
            </w:r>
            <w:r w:rsidRPr="00DB0A49">
              <w:rPr>
                <w:rFonts w:ascii="Times New Roman" w:eastAsia="Times New Roman" w:hAnsi="Times New Roman" w:cs="Times New Roman"/>
                <w:sz w:val="24"/>
                <w:lang w:eastAsia="ja-JP"/>
              </w:rPr>
              <w:t xml:space="preserve">according to </w:t>
            </w:r>
            <w:r w:rsidRPr="00DB0A49">
              <w:rPr>
                <w:rFonts w:ascii="Times New Roman" w:eastAsia="Times New Roman" w:hAnsi="Times New Roman" w:cs="Times New Roman"/>
                <w:sz w:val="24"/>
              </w:rPr>
              <w:t xml:space="preserve">Articles 325bb, 325bc and 325bd </w:t>
            </w:r>
            <w:r w:rsidR="5EBFBD17" w:rsidRPr="00DB0A49">
              <w:rPr>
                <w:rFonts w:ascii="Times New Roman" w:eastAsia="Times New Roman" w:hAnsi="Times New Roman" w:cs="Times New Roman"/>
                <w:sz w:val="24"/>
              </w:rPr>
              <w:t>Regulation</w:t>
            </w:r>
            <w:r w:rsidR="5A4E6B5C" w:rsidRPr="00DB0A49">
              <w:rPr>
                <w:rFonts w:ascii="Times New Roman" w:eastAsia="Times New Roman" w:hAnsi="Times New Roman" w:cs="Times New Roman"/>
                <w:sz w:val="24"/>
              </w:rPr>
              <w:t xml:space="preserve"> (EU) 575/2013</w:t>
            </w:r>
            <w:r w:rsidR="3444B630" w:rsidRPr="00DB0A49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B86E1A" w:rsidRPr="00DB0A49" w14:paraId="3E75A527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6499A8B" w14:textId="729DAF1D" w:rsidR="00B86E1A" w:rsidRPr="00DB0A49" w:rsidRDefault="002F3022" w:rsidP="00B86E1A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ja-JP"/>
              </w:rPr>
            </w:pPr>
            <w:r w:rsidRPr="00DB0A49">
              <w:rPr>
                <w:rFonts w:ascii="Times New Roman" w:eastAsia="Times New Roman" w:hAnsi="Times New Roman" w:cs="Times New Roman"/>
                <w:sz w:val="24"/>
                <w:lang w:eastAsia="ja-JP"/>
              </w:rPr>
              <w:t>4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1D6A90B" w14:textId="77777777" w:rsidR="00B86E1A" w:rsidRPr="00AA44B0" w:rsidRDefault="00B86E1A" w:rsidP="00B86E1A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Unconstrained expected shortfall measure for the risk factor category commodity</w:t>
            </w:r>
            <w:r w:rsidRPr="00AA44B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70BA8462" w14:textId="47AECB7A" w:rsidR="00B86E1A" w:rsidRPr="00DB0A49" w:rsidRDefault="05EA5842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B0A4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662FC4E3" w:rsidRPr="00DB0A49">
              <w:rPr>
                <w:rFonts w:ascii="Times New Roman" w:eastAsia="Times New Roman" w:hAnsi="Times New Roman" w:cs="Times New Roman"/>
                <w:sz w:val="24"/>
              </w:rPr>
              <w:t>The value disclosed shall be calculated for the risk factors of the</w:t>
            </w:r>
            <w:r w:rsidR="418234B9" w:rsidRPr="00DB0A49">
              <w:rPr>
                <w:rFonts w:ascii="Times New Roman" w:eastAsia="Times New Roman" w:hAnsi="Times New Roman" w:cs="Times New Roman"/>
                <w:sz w:val="24"/>
              </w:rPr>
              <w:t xml:space="preserve"> commodity</w:t>
            </w:r>
            <w:r w:rsidR="662FC4E3" w:rsidRPr="00DB0A49">
              <w:rPr>
                <w:rFonts w:ascii="Times New Roman" w:eastAsia="Times New Roman" w:hAnsi="Times New Roman" w:cs="Times New Roman"/>
                <w:sz w:val="24"/>
              </w:rPr>
              <w:t xml:space="preserve"> risk category </w:t>
            </w:r>
            <w:r w:rsidR="662FC4E3" w:rsidRPr="00DB0A49">
              <w:rPr>
                <w:rFonts w:ascii="Times New Roman" w:eastAsia="Times New Roman" w:hAnsi="Times New Roman" w:cs="Times New Roman"/>
                <w:sz w:val="24"/>
                <w:lang w:eastAsia="ja-JP"/>
              </w:rPr>
              <w:t xml:space="preserve">according to </w:t>
            </w:r>
            <w:r w:rsidR="662FC4E3" w:rsidRPr="00DB0A49">
              <w:rPr>
                <w:rFonts w:ascii="Times New Roman" w:eastAsia="Times New Roman" w:hAnsi="Times New Roman" w:cs="Times New Roman"/>
                <w:sz w:val="24"/>
              </w:rPr>
              <w:t xml:space="preserve">Articles 325bb, 325bc and 325bd </w:t>
            </w:r>
            <w:r w:rsidR="57D731EF" w:rsidRPr="00DB0A49">
              <w:rPr>
                <w:rFonts w:ascii="Times New Roman" w:eastAsia="Times New Roman" w:hAnsi="Times New Roman" w:cs="Times New Roman"/>
                <w:sz w:val="24"/>
              </w:rPr>
              <w:t>Regulation</w:t>
            </w:r>
            <w:r w:rsidR="5A4E6B5C" w:rsidRPr="00DB0A49">
              <w:rPr>
                <w:rFonts w:ascii="Times New Roman" w:eastAsia="Times New Roman" w:hAnsi="Times New Roman" w:cs="Times New Roman"/>
                <w:sz w:val="24"/>
              </w:rPr>
              <w:t xml:space="preserve"> (EU) 575/2013</w:t>
            </w:r>
          </w:p>
        </w:tc>
      </w:tr>
      <w:tr w:rsidR="002F3022" w:rsidRPr="00DB0A49" w14:paraId="1C3E96A6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B3DAF73" w14:textId="5051FDEF" w:rsidR="002F3022" w:rsidRPr="00DB0A49" w:rsidRDefault="002F3022" w:rsidP="002F3022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ja-JP"/>
              </w:rPr>
            </w:pPr>
            <w:r w:rsidRPr="00DB0A49">
              <w:rPr>
                <w:rFonts w:ascii="Times New Roman" w:eastAsia="Times New Roman" w:hAnsi="Times New Roman" w:cs="Times New Roman"/>
                <w:sz w:val="24"/>
                <w:lang w:eastAsia="ja-JP"/>
              </w:rPr>
              <w:t>5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F42D096" w14:textId="4FA1AF42" w:rsidR="002F3022" w:rsidRPr="00AA44B0" w:rsidRDefault="12ADB0E7" w:rsidP="140F9DE1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Unconstrained expected shortfall measure for the risk factor category foreign exchange</w:t>
            </w:r>
          </w:p>
          <w:p w14:paraId="1880B223" w14:textId="34F16589" w:rsidR="002F3022" w:rsidRPr="00DB0A49" w:rsidRDefault="1F3BA536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B0A49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</w:rPr>
              <w:t xml:space="preserve"> </w:t>
            </w:r>
            <w:r w:rsidR="7C74C2F6" w:rsidRPr="00DB0A49">
              <w:rPr>
                <w:rFonts w:ascii="Times New Roman" w:eastAsia="Times New Roman" w:hAnsi="Times New Roman" w:cs="Times New Roman"/>
                <w:sz w:val="24"/>
              </w:rPr>
              <w:t xml:space="preserve"> The value disclosed shall be calculated for the risk factors of the </w:t>
            </w:r>
            <w:r w:rsidR="10BB7391" w:rsidRPr="00DB0A49">
              <w:rPr>
                <w:rFonts w:ascii="Times New Roman" w:eastAsia="Times New Roman" w:hAnsi="Times New Roman" w:cs="Times New Roman"/>
                <w:sz w:val="24"/>
              </w:rPr>
              <w:t>foreign exchange</w:t>
            </w:r>
            <w:r w:rsidR="7C74C2F6" w:rsidRPr="00DB0A49">
              <w:rPr>
                <w:rFonts w:ascii="Times New Roman" w:eastAsia="Times New Roman" w:hAnsi="Times New Roman" w:cs="Times New Roman"/>
                <w:sz w:val="24"/>
              </w:rPr>
              <w:t xml:space="preserve"> risk category </w:t>
            </w:r>
            <w:r w:rsidR="7C74C2F6" w:rsidRPr="00DB0A49">
              <w:rPr>
                <w:rFonts w:ascii="Times New Roman" w:eastAsia="Times New Roman" w:hAnsi="Times New Roman" w:cs="Times New Roman"/>
                <w:sz w:val="24"/>
                <w:lang w:eastAsia="ja-JP"/>
              </w:rPr>
              <w:t xml:space="preserve">according to </w:t>
            </w:r>
            <w:r w:rsidR="7C74C2F6" w:rsidRPr="00DB0A49">
              <w:rPr>
                <w:rFonts w:ascii="Times New Roman" w:eastAsia="Times New Roman" w:hAnsi="Times New Roman" w:cs="Times New Roman"/>
                <w:sz w:val="24"/>
              </w:rPr>
              <w:t xml:space="preserve">Articles 325bb, 325bc and 325bd </w:t>
            </w:r>
            <w:r w:rsidR="035B3B5C" w:rsidRPr="00DB0A49">
              <w:rPr>
                <w:rFonts w:ascii="Times New Roman" w:eastAsia="Times New Roman" w:hAnsi="Times New Roman" w:cs="Times New Roman"/>
                <w:sz w:val="24"/>
              </w:rPr>
              <w:t>Regulation</w:t>
            </w:r>
            <w:r w:rsidR="5A4E6B5C" w:rsidRPr="00DB0A49">
              <w:rPr>
                <w:rFonts w:ascii="Times New Roman" w:eastAsia="Times New Roman" w:hAnsi="Times New Roman" w:cs="Times New Roman"/>
                <w:sz w:val="24"/>
              </w:rPr>
              <w:t xml:space="preserve"> (EU) 575/2013</w:t>
            </w:r>
            <w:r w:rsidR="00AA44B0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234F41" w:rsidRPr="00DB0A49" w14:paraId="12D27988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2B07D6BA" w14:textId="0E7E67E0" w:rsidR="00234F41" w:rsidRPr="00DB0A49" w:rsidRDefault="00572E3E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ja-JP"/>
              </w:rPr>
            </w:pPr>
            <w:r w:rsidRPr="00DB0A49">
              <w:rPr>
                <w:rFonts w:ascii="Times New Roman" w:eastAsia="Times New Roman" w:hAnsi="Times New Roman" w:cs="Times New Roman"/>
                <w:sz w:val="24"/>
                <w:lang w:eastAsia="ja-JP"/>
              </w:rPr>
              <w:t>6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08BE84B9" w14:textId="21B277FE" w:rsidR="00234F41" w:rsidRPr="00AA44B0" w:rsidRDefault="00234F41" w:rsidP="00234F4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Unconstrained expected shortfall measure for the risk factor category credit spread </w:t>
            </w:r>
          </w:p>
          <w:p w14:paraId="5C567B92" w14:textId="2263B6AC" w:rsidR="00234F41" w:rsidRPr="00DB0A49" w:rsidRDefault="79641B5E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B0A49">
              <w:rPr>
                <w:rFonts w:ascii="Times New Roman" w:eastAsia="Times New Roman" w:hAnsi="Times New Roman" w:cs="Times New Roman"/>
                <w:sz w:val="24"/>
              </w:rPr>
              <w:t>The value disclosed shall be calculated for the risk factors of the</w:t>
            </w:r>
            <w:r w:rsidR="653DAA98" w:rsidRPr="00DB0A49">
              <w:rPr>
                <w:rFonts w:ascii="Times New Roman" w:eastAsia="Times New Roman" w:hAnsi="Times New Roman" w:cs="Times New Roman"/>
                <w:sz w:val="24"/>
              </w:rPr>
              <w:t xml:space="preserve"> credit spread </w:t>
            </w:r>
            <w:r w:rsidRPr="00DB0A49">
              <w:rPr>
                <w:rFonts w:ascii="Times New Roman" w:eastAsia="Times New Roman" w:hAnsi="Times New Roman" w:cs="Times New Roman"/>
                <w:sz w:val="24"/>
              </w:rPr>
              <w:t xml:space="preserve">risk category </w:t>
            </w:r>
            <w:r w:rsidRPr="00DB0A49">
              <w:rPr>
                <w:rFonts w:ascii="Times New Roman" w:eastAsia="Times New Roman" w:hAnsi="Times New Roman" w:cs="Times New Roman"/>
                <w:sz w:val="24"/>
                <w:lang w:eastAsia="ja-JP"/>
              </w:rPr>
              <w:t xml:space="preserve">according to </w:t>
            </w:r>
            <w:r w:rsidRPr="00DB0A49">
              <w:rPr>
                <w:rFonts w:ascii="Times New Roman" w:eastAsia="Times New Roman" w:hAnsi="Times New Roman" w:cs="Times New Roman"/>
                <w:sz w:val="24"/>
              </w:rPr>
              <w:t xml:space="preserve">Articles 325bb, 325bc and 325bd </w:t>
            </w:r>
            <w:r w:rsidR="66B44710" w:rsidRPr="00DB0A49">
              <w:rPr>
                <w:rFonts w:ascii="Times New Roman" w:eastAsia="Times New Roman" w:hAnsi="Times New Roman" w:cs="Times New Roman"/>
                <w:sz w:val="24"/>
              </w:rPr>
              <w:t>Regulation</w:t>
            </w:r>
            <w:r w:rsidR="5A4E6B5C" w:rsidRPr="00DB0A49">
              <w:rPr>
                <w:rFonts w:ascii="Times New Roman" w:eastAsia="Times New Roman" w:hAnsi="Times New Roman" w:cs="Times New Roman"/>
                <w:sz w:val="24"/>
              </w:rPr>
              <w:t xml:space="preserve"> (EU) 575/2013</w:t>
            </w:r>
            <w:r w:rsidR="2E509B0B" w:rsidRPr="00DB0A49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234F41" w:rsidRPr="00DB0A49" w14:paraId="4B55EABD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71FDAC90" w14:textId="59585282" w:rsidR="00234F41" w:rsidRPr="00DB0A49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ja-JP"/>
              </w:rPr>
            </w:pPr>
            <w:r w:rsidRPr="00DB0A49">
              <w:rPr>
                <w:rFonts w:ascii="Times New Roman" w:eastAsia="Times New Roman" w:hAnsi="Times New Roman" w:cs="Times New Roman"/>
                <w:sz w:val="24"/>
                <w:lang w:eastAsia="ja-JP"/>
              </w:rPr>
              <w:t>7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5DB2F1C1" w14:textId="77777777" w:rsidR="00AA44B0" w:rsidRPr="00AA44B0" w:rsidRDefault="471075D0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Sum of unconstrained expected shortfall measure for broad risk factor categories </w:t>
            </w:r>
            <w:r w:rsidRPr="00AA44B0">
              <w:rPr>
                <w:rFonts w:ascii="Times New Roman" w:eastAsia="Times New Roman" w:hAnsi="Times New Roman" w:cs="Times New Roman"/>
                <w:sz w:val="24"/>
              </w:rPr>
              <w:t>(∑UES</w:t>
            </w:r>
            <w:r w:rsidRPr="00AA44B0">
              <w:rPr>
                <w:rFonts w:ascii="Times New Roman" w:eastAsia="Times New Roman" w:hAnsi="Times New Roman" w:cs="Times New Roman"/>
                <w:sz w:val="24"/>
                <w:vertAlign w:val="superscript"/>
              </w:rPr>
              <w:t>i</w:t>
            </w:r>
            <w:r w:rsidRPr="00AA44B0">
              <w:rPr>
                <w:rFonts w:ascii="Times New Roman" w:eastAsia="Times New Roman" w:hAnsi="Times New Roman" w:cs="Times New Roman"/>
                <w:sz w:val="24"/>
                <w:vertAlign w:val="subscript"/>
              </w:rPr>
              <w:t>t</w:t>
            </w:r>
            <w:r w:rsidRPr="00AA44B0">
              <w:rPr>
                <w:rFonts w:ascii="Times New Roman" w:eastAsia="Times New Roman" w:hAnsi="Times New Roman" w:cs="Times New Roman"/>
                <w:sz w:val="24"/>
              </w:rPr>
              <w:t>)</w:t>
            </w:r>
            <w:r w:rsidR="00F80764" w:rsidRPr="00AA44B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014CC777" w14:textId="17C0E236" w:rsidR="00234F41" w:rsidRPr="00AA44B0" w:rsidRDefault="00F80764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AA44B0">
              <w:rPr>
                <w:rFonts w:ascii="Times New Roman" w:eastAsia="Times New Roman" w:hAnsi="Times New Roman" w:cs="Times New Roman"/>
                <w:sz w:val="24"/>
              </w:rPr>
              <w:t>Sum</w:t>
            </w:r>
            <w:r w:rsidR="471075D0" w:rsidRPr="00AA44B0">
              <w:rPr>
                <w:rFonts w:ascii="Times New Roman" w:eastAsia="Times New Roman" w:hAnsi="Times New Roman" w:cs="Times New Roman"/>
                <w:sz w:val="24"/>
              </w:rPr>
              <w:t xml:space="preserve"> of </w:t>
            </w:r>
            <w:r w:rsidRPr="00AA44B0">
              <w:rPr>
                <w:rFonts w:ascii="Times New Roman" w:eastAsia="Times New Roman" w:hAnsi="Times New Roman" w:cs="Times New Roman"/>
                <w:sz w:val="24"/>
              </w:rPr>
              <w:t xml:space="preserve">rows </w:t>
            </w:r>
            <w:r w:rsidR="471075D0" w:rsidRPr="00AA44B0">
              <w:rPr>
                <w:rFonts w:ascii="Times New Roman" w:eastAsia="Times New Roman" w:hAnsi="Times New Roman" w:cs="Times New Roman"/>
                <w:sz w:val="24"/>
              </w:rPr>
              <w:t>2 to 6</w:t>
            </w:r>
            <w:r w:rsidRPr="00AA44B0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14:paraId="0D4B3B7E" w14:textId="0C505591" w:rsidR="00234F41" w:rsidRPr="00DB0A49" w:rsidRDefault="00234F41" w:rsidP="140F9DE1">
            <w:pPr>
              <w:rPr>
                <w:rFonts w:ascii="Times New Roman" w:eastAsia="Times New Roman" w:hAnsi="Times New Roman" w:cs="Times New Roman"/>
                <w:color w:val="444444"/>
                <w:sz w:val="24"/>
              </w:rPr>
            </w:pPr>
          </w:p>
        </w:tc>
      </w:tr>
      <w:tr w:rsidR="00234F41" w:rsidRPr="00DB0A49" w14:paraId="329330EB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6256B5C8" w14:textId="228F99DD" w:rsidR="00234F41" w:rsidRPr="00DB0A49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ja-JP"/>
              </w:rPr>
            </w:pPr>
            <w:r w:rsidRPr="00DB0A49">
              <w:rPr>
                <w:rFonts w:ascii="Times New Roman" w:eastAsia="Times New Roman" w:hAnsi="Times New Roman" w:cs="Times New Roman"/>
                <w:sz w:val="24"/>
                <w:lang w:eastAsia="ja-JP"/>
              </w:rPr>
              <w:lastRenderedPageBreak/>
              <w:t>8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5E988D5B" w14:textId="6487394C" w:rsidR="00234F41" w:rsidRPr="00AA44B0" w:rsidRDefault="00234F41" w:rsidP="00234F41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Expected shortfall measure (ES</w:t>
            </w:r>
            <w:r w:rsidRPr="00AA44B0">
              <w:rPr>
                <w:rFonts w:ascii="Times New Roman" w:eastAsia="Times New Roman" w:hAnsi="Times New Roman" w:cs="Times New Roman"/>
                <w:b/>
                <w:bCs/>
                <w:sz w:val="24"/>
                <w:vertAlign w:val="subscript"/>
              </w:rPr>
              <w:t>t</w:t>
            </w:r>
            <w:r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)</w:t>
            </w:r>
          </w:p>
          <w:p w14:paraId="3985A7B9" w14:textId="37C4DB19" w:rsidR="00234F41" w:rsidRPr="00DB0A49" w:rsidRDefault="5D2FC7FD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B0A49">
              <w:rPr>
                <w:rFonts w:ascii="Times New Roman" w:eastAsia="Times New Roman" w:hAnsi="Times New Roman" w:cs="Times New Roman"/>
                <w:sz w:val="24"/>
              </w:rPr>
              <w:t>The e</w:t>
            </w:r>
            <w:r w:rsidR="5BABE3D1" w:rsidRPr="00DB0A49">
              <w:rPr>
                <w:rFonts w:ascii="Times New Roman" w:eastAsia="Times New Roman" w:hAnsi="Times New Roman" w:cs="Times New Roman"/>
                <w:sz w:val="24"/>
              </w:rPr>
              <w:t xml:space="preserve">xpected shortfall risk measure </w:t>
            </w:r>
            <w:r w:rsidR="7D7D63FD" w:rsidRPr="00DB0A49">
              <w:rPr>
                <w:rFonts w:ascii="Times New Roman" w:eastAsia="Times New Roman" w:hAnsi="Times New Roman" w:cs="Times New Roman"/>
                <w:sz w:val="24"/>
              </w:rPr>
              <w:t xml:space="preserve">shall be </w:t>
            </w:r>
            <w:r w:rsidR="5BABE3D1" w:rsidRPr="00DB0A49">
              <w:rPr>
                <w:rFonts w:ascii="Times New Roman" w:eastAsia="Times New Roman" w:hAnsi="Times New Roman" w:cs="Times New Roman"/>
                <w:sz w:val="24"/>
              </w:rPr>
              <w:t xml:space="preserve">calculated in accordance with Article </w:t>
            </w:r>
            <w:r w:rsidR="66505BFF" w:rsidRPr="00DB0A49">
              <w:rPr>
                <w:rFonts w:ascii="Times New Roman" w:eastAsia="Times New Roman" w:hAnsi="Times New Roman" w:cs="Times New Roman"/>
                <w:sz w:val="24"/>
              </w:rPr>
              <w:t>Article 325ba(1), point (a)(i)</w:t>
            </w:r>
            <w:r w:rsidR="5BABE3D1" w:rsidRPr="00DB0A4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105CD97D" w:rsidRPr="00DB0A49">
              <w:rPr>
                <w:rFonts w:ascii="Times New Roman" w:eastAsia="Times New Roman" w:hAnsi="Times New Roman" w:cs="Times New Roman"/>
                <w:sz w:val="24"/>
              </w:rPr>
              <w:t>Regulation</w:t>
            </w:r>
            <w:r w:rsidR="5A4E6B5C" w:rsidRPr="00DB0A49">
              <w:rPr>
                <w:rFonts w:ascii="Times New Roman" w:eastAsia="Times New Roman" w:hAnsi="Times New Roman" w:cs="Times New Roman"/>
                <w:sz w:val="24"/>
              </w:rPr>
              <w:t xml:space="preserve"> (EU) 575/2013</w:t>
            </w:r>
            <w:r w:rsidR="105CD97D" w:rsidRPr="00DB0A49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234F41" w:rsidRPr="00AA772E" w14:paraId="5C7A25A8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080EB380" w14:textId="3CBA7B62" w:rsidR="00234F41" w:rsidRPr="00445013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ja-JP"/>
              </w:rPr>
            </w:pPr>
            <w:r w:rsidRPr="00445013">
              <w:rPr>
                <w:rFonts w:ascii="Times New Roman" w:eastAsia="Times New Roman" w:hAnsi="Times New Roman" w:cs="Times New Roman"/>
                <w:sz w:val="24"/>
                <w:lang w:eastAsia="ja-JP"/>
              </w:rPr>
              <w:t>9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76CE40AF" w14:textId="0618CAD3" w:rsidR="00234F41" w:rsidRPr="00AA44B0" w:rsidRDefault="00234F41" w:rsidP="00234F41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Stress scenario risk measure (SS</w:t>
            </w:r>
            <w:r w:rsidRPr="00AA44B0">
              <w:rPr>
                <w:rFonts w:ascii="Times New Roman" w:eastAsia="Times New Roman" w:hAnsi="Times New Roman" w:cs="Times New Roman"/>
                <w:b/>
                <w:bCs/>
                <w:sz w:val="24"/>
                <w:vertAlign w:val="subscript"/>
              </w:rPr>
              <w:t>t</w:t>
            </w:r>
            <w:r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)</w:t>
            </w:r>
          </w:p>
          <w:p w14:paraId="1A984573" w14:textId="59113B26" w:rsidR="00234F41" w:rsidRPr="00DB0A49" w:rsidRDefault="060F6C17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B0A49">
              <w:rPr>
                <w:rFonts w:ascii="Times New Roman" w:eastAsia="Times New Roman" w:hAnsi="Times New Roman" w:cs="Times New Roman"/>
                <w:sz w:val="24"/>
              </w:rPr>
              <w:t>The</w:t>
            </w:r>
            <w:r w:rsidR="5BABE3D1" w:rsidRPr="00DB0A49">
              <w:rPr>
                <w:rFonts w:ascii="Times New Roman" w:eastAsia="Times New Roman" w:hAnsi="Times New Roman" w:cs="Times New Roman"/>
                <w:sz w:val="24"/>
              </w:rPr>
              <w:t xml:space="preserve"> stress scenario risk measure </w:t>
            </w:r>
            <w:r w:rsidR="5F15F480" w:rsidRPr="00DB0A49">
              <w:rPr>
                <w:rFonts w:ascii="Times New Roman" w:eastAsia="Times New Roman" w:hAnsi="Times New Roman" w:cs="Times New Roman"/>
                <w:sz w:val="24"/>
              </w:rPr>
              <w:t xml:space="preserve">shall be </w:t>
            </w:r>
            <w:r w:rsidR="5BABE3D1" w:rsidRPr="00DB0A49">
              <w:rPr>
                <w:rFonts w:ascii="Times New Roman" w:eastAsia="Times New Roman" w:hAnsi="Times New Roman" w:cs="Times New Roman"/>
                <w:sz w:val="24"/>
              </w:rPr>
              <w:t xml:space="preserve">calculated in accordance with </w:t>
            </w:r>
            <w:r w:rsidR="2456F255" w:rsidRPr="00DB0A49">
              <w:rPr>
                <w:rFonts w:ascii="Times New Roman" w:eastAsia="Times New Roman" w:hAnsi="Times New Roman" w:cs="Times New Roman"/>
                <w:sz w:val="24"/>
              </w:rPr>
              <w:t>Article 325ba(1), point (a)(ii)</w:t>
            </w:r>
            <w:r w:rsidR="5BABE3D1" w:rsidRPr="00DB0A4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12679AD5" w:rsidRPr="00DB0A49">
              <w:rPr>
                <w:rFonts w:ascii="Times New Roman" w:eastAsia="Times New Roman" w:hAnsi="Times New Roman" w:cs="Times New Roman"/>
                <w:sz w:val="24"/>
              </w:rPr>
              <w:t>Regulation</w:t>
            </w:r>
            <w:r w:rsidR="5A4E6B5C" w:rsidRPr="00DB0A49">
              <w:rPr>
                <w:rFonts w:ascii="Times New Roman" w:eastAsia="Times New Roman" w:hAnsi="Times New Roman" w:cs="Times New Roman"/>
                <w:sz w:val="24"/>
              </w:rPr>
              <w:t xml:space="preserve"> (EU) 575/2013</w:t>
            </w:r>
            <w:r w:rsidR="002F7116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234F41" w:rsidRPr="00AA772E" w14:paraId="3AAE30D9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5E8C72FB" w14:textId="2E7D9982" w:rsidR="00234F41" w:rsidRPr="00445013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ja-JP"/>
              </w:rPr>
            </w:pPr>
            <w:r w:rsidRPr="00445013">
              <w:rPr>
                <w:rFonts w:ascii="Times New Roman" w:eastAsia="Times New Roman" w:hAnsi="Times New Roman" w:cs="Times New Roman"/>
                <w:sz w:val="24"/>
                <w:lang w:eastAsia="ja-JP"/>
              </w:rPr>
              <w:t>10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79FBF8F2" w14:textId="1A7A8A4A" w:rsidR="00234F41" w:rsidRPr="00AA44B0" w:rsidRDefault="00234F41" w:rsidP="00234F41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Default risk charge (DRC</w:t>
            </w:r>
            <w:r w:rsidRPr="00AA44B0">
              <w:rPr>
                <w:rFonts w:ascii="Times New Roman" w:eastAsia="Times New Roman" w:hAnsi="Times New Roman" w:cs="Times New Roman"/>
                <w:b/>
                <w:bCs/>
                <w:sz w:val="24"/>
                <w:vertAlign w:val="subscript"/>
              </w:rPr>
              <w:t>t</w:t>
            </w:r>
            <w:r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)</w:t>
            </w:r>
          </w:p>
          <w:p w14:paraId="0AF5675B" w14:textId="1F8133B2" w:rsidR="00234F41" w:rsidRPr="00DB0A49" w:rsidRDefault="654BF7D8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B0A49">
              <w:rPr>
                <w:rFonts w:ascii="Times New Roman" w:eastAsia="Times New Roman" w:hAnsi="Times New Roman" w:cs="Times New Roman"/>
                <w:sz w:val="24"/>
              </w:rPr>
              <w:t>The d</w:t>
            </w:r>
            <w:r w:rsidR="5BABE3D1" w:rsidRPr="00DB0A49">
              <w:rPr>
                <w:rFonts w:ascii="Times New Roman" w:eastAsia="Times New Roman" w:hAnsi="Times New Roman" w:cs="Times New Roman"/>
                <w:sz w:val="24"/>
              </w:rPr>
              <w:t>efault risk charge</w:t>
            </w:r>
            <w:r w:rsidR="7214E0FE" w:rsidRPr="00DB0A49">
              <w:rPr>
                <w:rFonts w:ascii="Times New Roman" w:eastAsia="Times New Roman" w:hAnsi="Times New Roman" w:cs="Times New Roman"/>
                <w:sz w:val="24"/>
              </w:rPr>
              <w:t xml:space="preserve"> shall be calculated in accordance with 325ba(2), point (a) </w:t>
            </w:r>
            <w:r w:rsidR="1A8C08E2" w:rsidRPr="00DB0A49">
              <w:rPr>
                <w:rFonts w:ascii="Times New Roman" w:eastAsia="Times New Roman" w:hAnsi="Times New Roman" w:cs="Times New Roman"/>
                <w:sz w:val="24"/>
              </w:rPr>
              <w:t>Regulation</w:t>
            </w:r>
            <w:r w:rsidR="5A4E6B5C" w:rsidRPr="00DB0A49">
              <w:rPr>
                <w:rFonts w:ascii="Times New Roman" w:eastAsia="Times New Roman" w:hAnsi="Times New Roman" w:cs="Times New Roman"/>
                <w:sz w:val="24"/>
              </w:rPr>
              <w:t xml:space="preserve"> (EU) 575/2013</w:t>
            </w:r>
            <w:r w:rsidR="002F7116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234F41" w:rsidRPr="00AA772E" w14:paraId="001F5A7A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03795AF9" w14:textId="7BC27148" w:rsidR="00234F41" w:rsidRPr="00445013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ja-JP"/>
              </w:rPr>
            </w:pPr>
            <w:r w:rsidRPr="00445013">
              <w:rPr>
                <w:rFonts w:ascii="Times New Roman" w:eastAsia="Times New Roman" w:hAnsi="Times New Roman" w:cs="Times New Roman"/>
                <w:sz w:val="24"/>
                <w:lang w:eastAsia="ja-JP"/>
              </w:rPr>
              <w:t>11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06C377DB" w14:textId="02406F87" w:rsidR="00234F41" w:rsidRPr="00AA44B0" w:rsidRDefault="1AC2462E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PLAaddon</w:t>
            </w:r>
          </w:p>
          <w:p w14:paraId="72CEFFB9" w14:textId="21DFFB57" w:rsidR="00234F41" w:rsidRPr="00DB0A49" w:rsidRDefault="471075D0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B0A49">
              <w:rPr>
                <w:rFonts w:ascii="Times New Roman" w:eastAsia="Times New Roman" w:hAnsi="Times New Roman" w:cs="Times New Roman"/>
                <w:sz w:val="24"/>
              </w:rPr>
              <w:t>This value shall be calculated in accordance with</w:t>
            </w:r>
            <w:r w:rsidR="2B836C8D" w:rsidRPr="00DB0A49">
              <w:rPr>
                <w:rFonts w:ascii="Times New Roman" w:eastAsia="Times New Roman" w:hAnsi="Times New Roman" w:cs="Times New Roman"/>
                <w:sz w:val="24"/>
              </w:rPr>
              <w:t xml:space="preserve"> Article 325ba(3) of Regulation (EU) No 575/2013 in conjunction with</w:t>
            </w:r>
            <w:r w:rsidRPr="00DB0A49">
              <w:rPr>
                <w:rFonts w:ascii="Times New Roman" w:eastAsia="Times New Roman" w:hAnsi="Times New Roman" w:cs="Times New Roman"/>
                <w:sz w:val="24"/>
              </w:rPr>
              <w:t xml:space="preserve"> Article 10(1) of Regulation (EU) 2022/2059</w:t>
            </w:r>
            <w:r w:rsidR="002F7116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234F41" w:rsidRPr="00AA772E" w14:paraId="1E5CB73A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28C254C1" w14:textId="74B26BAD" w:rsidR="00234F41" w:rsidRPr="00445013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ja-JP"/>
              </w:rPr>
            </w:pPr>
            <w:r w:rsidRPr="00445013">
              <w:rPr>
                <w:rFonts w:ascii="Times New Roman" w:eastAsia="Times New Roman" w:hAnsi="Times New Roman" w:cs="Times New Roman"/>
                <w:sz w:val="24"/>
                <w:lang w:eastAsia="ja-JP"/>
              </w:rPr>
              <w:t>12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2675D025" w14:textId="6D4C388A" w:rsidR="00234F41" w:rsidRPr="00AA44B0" w:rsidRDefault="11A57A2D" w:rsidP="140F9DE1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A44B0">
              <w:rPr>
                <w:rFonts w:ascii="Times New Roman" w:hAnsi="Times New Roman" w:cs="Times New Roman"/>
                <w:b/>
                <w:bCs/>
                <w:sz w:val="24"/>
              </w:rPr>
              <w:t>OFR for on- and off-balance sheet business plus</w:t>
            </w:r>
            <w:r w:rsidR="471075D0" w:rsidRPr="00AA44B0"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  <w:r w:rsidR="32530794" w:rsidRPr="00AA44B0">
              <w:rPr>
                <w:rFonts w:ascii="Times New Roman" w:hAnsi="Times New Roman" w:cs="Times New Roman"/>
                <w:b/>
                <w:bCs/>
                <w:sz w:val="24"/>
              </w:rPr>
              <w:t>PLAaddon</w:t>
            </w:r>
            <w:r w:rsidR="471075D0" w:rsidRPr="00AA44B0">
              <w:rPr>
                <w:rFonts w:ascii="Times New Roman" w:hAnsi="Times New Roman" w:cs="Times New Roman"/>
                <w:b/>
                <w:bCs/>
                <w:sz w:val="24"/>
              </w:rPr>
              <w:t xml:space="preserve"> (AIMA + </w:t>
            </w:r>
            <w:r w:rsidR="639D3BBA" w:rsidRPr="00AA44B0">
              <w:rPr>
                <w:rFonts w:ascii="Times New Roman" w:hAnsi="Times New Roman" w:cs="Times New Roman"/>
                <w:b/>
                <w:bCs/>
                <w:sz w:val="24"/>
              </w:rPr>
              <w:t>PLAaddon</w:t>
            </w:r>
            <w:r w:rsidR="471075D0" w:rsidRPr="00AA44B0">
              <w:rPr>
                <w:rFonts w:ascii="Times New Roman" w:hAnsi="Times New Roman" w:cs="Times New Roman"/>
                <w:b/>
                <w:bCs/>
                <w:sz w:val="24"/>
              </w:rPr>
              <w:t>)</w:t>
            </w:r>
          </w:p>
          <w:p w14:paraId="595AB2F9" w14:textId="23FB87CE" w:rsidR="00234F41" w:rsidRPr="00DB0A49" w:rsidRDefault="00234F41" w:rsidP="00234F4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B0A49">
              <w:rPr>
                <w:rFonts w:ascii="Times New Roman" w:eastAsia="Times New Roman" w:hAnsi="Times New Roman" w:cs="Times New Roman"/>
                <w:sz w:val="24"/>
              </w:rPr>
              <w:t>This value shall be calculated in accordance with Article 10(1) of Regulation (EU) 2022/2059. The value of row 11 shall be added.</w:t>
            </w:r>
          </w:p>
        </w:tc>
      </w:tr>
      <w:tr w:rsidR="00234F41" w:rsidRPr="00AA772E" w14:paraId="4CFEF046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4323EEB1" w14:textId="3C3F701D" w:rsidR="00234F41" w:rsidRPr="00445013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ja-JP"/>
              </w:rPr>
            </w:pPr>
            <w:r w:rsidRPr="00445013">
              <w:rPr>
                <w:rFonts w:ascii="Times New Roman" w:eastAsia="Times New Roman" w:hAnsi="Times New Roman" w:cs="Times New Roman"/>
                <w:sz w:val="24"/>
                <w:lang w:eastAsia="ja-JP"/>
              </w:rPr>
              <w:t>13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64FCE8B3" w14:textId="20C19D22" w:rsidR="00234F41" w:rsidRPr="00AA44B0" w:rsidRDefault="471075D0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Total ASA OFR for t</w:t>
            </w:r>
            <w:r w:rsidRPr="00AA44B0">
              <w:rPr>
                <w:rFonts w:ascii="Times New Roman" w:hAnsi="Times New Roman" w:cs="Times New Roman"/>
                <w:b/>
                <w:bCs/>
                <w:sz w:val="24"/>
              </w:rPr>
              <w:t>rading des</w:t>
            </w:r>
            <w:r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ks ineligible to use the AIMA </w:t>
            </w:r>
            <w:r w:rsidR="482EC743" w:rsidRPr="00AA44B0">
              <w:rPr>
                <w:rFonts w:ascii="Times New Roman" w:hAnsi="Times New Roman" w:cs="Times New Roman"/>
                <w:b/>
                <w:bCs/>
                <w:sz w:val="24"/>
              </w:rPr>
              <w:t>(ASAnon-</w:t>
            </w:r>
            <w:r w:rsidR="6043BACB" w:rsidRPr="00AA44B0">
              <w:rPr>
                <w:rFonts w:ascii="Times New Roman" w:hAnsi="Times New Roman" w:cs="Times New Roman"/>
                <w:b/>
                <w:bCs/>
                <w:sz w:val="24"/>
              </w:rPr>
              <w:t>aima</w:t>
            </w:r>
            <w:r w:rsidR="482EC743" w:rsidRPr="00AA44B0">
              <w:rPr>
                <w:rFonts w:ascii="Times New Roman" w:hAnsi="Times New Roman" w:cs="Times New Roman"/>
                <w:b/>
                <w:bCs/>
                <w:sz w:val="24"/>
              </w:rPr>
              <w:t>)</w:t>
            </w:r>
          </w:p>
          <w:p w14:paraId="010A62FB" w14:textId="286F0BA2" w:rsidR="00234F41" w:rsidRPr="00DB0A49" w:rsidRDefault="11B9774E" w:rsidP="140F9DE1">
            <w:pPr>
              <w:rPr>
                <w:rFonts w:ascii="Times New Roman" w:eastAsia="Times New Roman" w:hAnsi="Times New Roman" w:cs="Times New Roman"/>
                <w:color w:val="444444"/>
                <w:sz w:val="24"/>
              </w:rPr>
            </w:pPr>
            <w:r w:rsidRPr="00FE3752">
              <w:rPr>
                <w:rFonts w:ascii="Times New Roman" w:eastAsia="Times New Roman" w:hAnsi="Times New Roman" w:cs="Times New Roman"/>
                <w:sz w:val="24"/>
              </w:rPr>
              <w:t>This value shall be calculated as set out in Article 325ba(3) of Regulation (EU) No 575/2013</w:t>
            </w:r>
            <w:r w:rsidR="00FE3752" w:rsidRPr="00FE3752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234F41" w:rsidRPr="00AA772E" w14:paraId="2E80D7EC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32017943" w14:textId="29CFFEEE" w:rsidR="00234F41" w:rsidRPr="00445013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ja-JP"/>
              </w:rPr>
            </w:pPr>
            <w:r w:rsidRPr="00445013">
              <w:rPr>
                <w:rFonts w:ascii="Times New Roman" w:eastAsia="Times New Roman" w:hAnsi="Times New Roman" w:cs="Times New Roman"/>
                <w:sz w:val="24"/>
                <w:lang w:eastAsia="ja-JP"/>
              </w:rPr>
              <w:t>14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77A4C34B" w14:textId="20DBF86B" w:rsidR="00234F41" w:rsidRPr="00AA44B0" w:rsidRDefault="471075D0" w:rsidP="140F9DE1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Difference in OFR under the AIMA and ASA for AIMA trading desks (</w:t>
            </w:r>
            <w:r w:rsidR="53768E03"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AIMA</w:t>
            </w:r>
            <w:r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-</w:t>
            </w:r>
            <w:r w:rsidR="5FCB1D39"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A</w:t>
            </w:r>
            <w:r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SA</w:t>
            </w:r>
            <w:r w:rsidR="0AC6FA36"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aima</w:t>
            </w:r>
            <w:r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)</w:t>
            </w:r>
          </w:p>
          <w:p w14:paraId="326E0483" w14:textId="73A09039" w:rsidR="00234F41" w:rsidRPr="00DB0A49" w:rsidRDefault="471075D0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FE3752">
              <w:rPr>
                <w:rFonts w:ascii="Times New Roman" w:eastAsia="Times New Roman" w:hAnsi="Times New Roman" w:cs="Times New Roman"/>
                <w:sz w:val="24"/>
              </w:rPr>
              <w:t xml:space="preserve">This value shall be calculated as the difference between </w:t>
            </w:r>
            <w:r w:rsidR="3F28F1E0" w:rsidRPr="00FE3752">
              <w:rPr>
                <w:rFonts w:ascii="Times New Roman" w:eastAsia="Times New Roman" w:hAnsi="Times New Roman" w:cs="Times New Roman"/>
                <w:sz w:val="24"/>
              </w:rPr>
              <w:t>A</w:t>
            </w:r>
            <w:r w:rsidRPr="00FE3752">
              <w:rPr>
                <w:rFonts w:ascii="Times New Roman" w:eastAsia="Times New Roman" w:hAnsi="Times New Roman" w:cs="Times New Roman"/>
                <w:sz w:val="24"/>
              </w:rPr>
              <w:t xml:space="preserve">IMA own funds requirements for </w:t>
            </w:r>
            <w:r w:rsidR="277A49BD" w:rsidRPr="00FE3752">
              <w:rPr>
                <w:rFonts w:ascii="Times New Roman" w:eastAsia="Times New Roman" w:hAnsi="Times New Roman" w:cs="Times New Roman"/>
                <w:sz w:val="24"/>
              </w:rPr>
              <w:t>A</w:t>
            </w:r>
            <w:r w:rsidRPr="00FE3752">
              <w:rPr>
                <w:rFonts w:ascii="Times New Roman" w:eastAsia="Times New Roman" w:hAnsi="Times New Roman" w:cs="Times New Roman"/>
                <w:sz w:val="24"/>
              </w:rPr>
              <w:t xml:space="preserve">IMA desks (Article </w:t>
            </w:r>
            <w:r w:rsidRPr="00DB0A49">
              <w:rPr>
                <w:rFonts w:ascii="Times New Roman" w:eastAsia="Times New Roman" w:hAnsi="Times New Roman" w:cs="Times New Roman"/>
                <w:sz w:val="24"/>
              </w:rPr>
              <w:t xml:space="preserve">10(1) of Regulation (EU) 2022/2059) and the value of </w:t>
            </w:r>
            <w:r w:rsidR="34A0388E" w:rsidRPr="00DB0A49">
              <w:rPr>
                <w:rFonts w:ascii="Times New Roman" w:eastAsia="Times New Roman" w:hAnsi="Times New Roman" w:cs="Times New Roman"/>
                <w:sz w:val="24"/>
              </w:rPr>
              <w:t>A</w:t>
            </w:r>
            <w:r w:rsidRPr="00DB0A49">
              <w:rPr>
                <w:rFonts w:ascii="Times New Roman" w:eastAsia="Times New Roman" w:hAnsi="Times New Roman" w:cs="Times New Roman"/>
                <w:sz w:val="24"/>
              </w:rPr>
              <w:t xml:space="preserve">SA own funds requirements for all </w:t>
            </w:r>
            <w:r w:rsidR="3138091C" w:rsidRPr="00DB0A49">
              <w:rPr>
                <w:rFonts w:ascii="Times New Roman" w:eastAsia="Times New Roman" w:hAnsi="Times New Roman" w:cs="Times New Roman"/>
                <w:sz w:val="24"/>
              </w:rPr>
              <w:t>A</w:t>
            </w:r>
            <w:r w:rsidRPr="00DB0A49">
              <w:rPr>
                <w:rFonts w:ascii="Times New Roman" w:eastAsia="Times New Roman" w:hAnsi="Times New Roman" w:cs="Times New Roman"/>
                <w:sz w:val="24"/>
              </w:rPr>
              <w:t>IMA desks (portfolio view) (Article 10(1) of Regulation (EU) 2022/2059)</w:t>
            </w:r>
            <w:r w:rsidR="002F7116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234F41" w:rsidRPr="00AA772E" w14:paraId="04D8994F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1E08381D" w14:textId="6243191D" w:rsidR="00234F41" w:rsidRPr="00445013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ja-JP"/>
              </w:rPr>
            </w:pPr>
            <w:r w:rsidRPr="00445013">
              <w:rPr>
                <w:rFonts w:ascii="Times New Roman" w:eastAsia="Times New Roman" w:hAnsi="Times New Roman" w:cs="Times New Roman"/>
                <w:sz w:val="24"/>
                <w:lang w:eastAsia="ja-JP"/>
              </w:rPr>
              <w:t>15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11DBA1AB" w14:textId="2D7FAA07" w:rsidR="00234F41" w:rsidRPr="00AA44B0" w:rsidRDefault="471075D0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ASA OFR for all trading desks (including those subject to AIMA) (</w:t>
            </w:r>
            <w:r w:rsidR="7DB6E073"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A</w:t>
            </w:r>
            <w:r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SA</w:t>
            </w:r>
            <w:r w:rsidR="7CE957D6"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all portfolio</w:t>
            </w:r>
            <w:r w:rsidRPr="00AA44B0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)</w:t>
            </w:r>
          </w:p>
          <w:p w14:paraId="7232E72B" w14:textId="0064FE14" w:rsidR="00234F41" w:rsidRPr="00DB0A49" w:rsidRDefault="3A829CD0" w:rsidP="140F9DE1">
            <w:pPr>
              <w:rPr>
                <w:rFonts w:ascii="Times New Roman" w:eastAsia="Times New Roman" w:hAnsi="Times New Roman" w:cs="Times New Roman"/>
                <w:color w:val="444444"/>
                <w:sz w:val="24"/>
              </w:rPr>
            </w:pPr>
            <w:r w:rsidRPr="00FE3752">
              <w:rPr>
                <w:rFonts w:ascii="Times New Roman" w:eastAsia="Times New Roman" w:hAnsi="Times New Roman" w:cs="Times New Roman"/>
                <w:sz w:val="24"/>
              </w:rPr>
              <w:t>This value shall be calculated as set out in Article 325ba(3) of Regulation (EU) No 575/2013</w:t>
            </w:r>
            <w:r w:rsidR="002F7116" w:rsidRPr="00FE3752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234F41" w:rsidRPr="00AA772E" w14:paraId="1AA0793B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1875442B" w14:textId="25353664" w:rsidR="00234F41" w:rsidRPr="00445013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ja-JP"/>
              </w:rPr>
            </w:pPr>
            <w:r w:rsidRPr="00445013">
              <w:rPr>
                <w:rFonts w:ascii="Times New Roman" w:eastAsia="Times New Roman" w:hAnsi="Times New Roman" w:cs="Times New Roman"/>
                <w:sz w:val="24"/>
                <w:lang w:eastAsia="ja-JP"/>
              </w:rPr>
              <w:t>16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2E1B75E7" w14:textId="2021ED29" w:rsidR="00234F41" w:rsidRPr="00FE3752" w:rsidRDefault="471075D0" w:rsidP="3821DFBC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FE375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Total </w:t>
            </w:r>
            <w:r w:rsidR="7E3B1295" w:rsidRPr="00FE375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own funds requir</w:t>
            </w:r>
            <w:r w:rsidR="002C44FE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e</w:t>
            </w:r>
            <w:r w:rsidR="7E3B1295" w:rsidRPr="00FE375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ments</w:t>
            </w:r>
            <w:r w:rsidRPr="00FE375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 AIMA</w:t>
            </w:r>
            <w:r w:rsidR="5D8D852E" w:rsidRPr="00FE375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 (TotalAIMA)</w:t>
            </w:r>
          </w:p>
          <w:p w14:paraId="11A40A93" w14:textId="2A4DA65C" w:rsidR="00234F41" w:rsidRPr="00DB0A49" w:rsidRDefault="7D4B7A18" w:rsidP="3821DFBC">
            <w:pPr>
              <w:rPr>
                <w:rFonts w:ascii="Times New Roman" w:eastAsia="Times New Roman" w:hAnsi="Times New Roman" w:cs="Times New Roman"/>
                <w:color w:val="444444"/>
                <w:sz w:val="24"/>
              </w:rPr>
            </w:pPr>
            <w:r w:rsidRPr="00FE3752">
              <w:rPr>
                <w:rFonts w:ascii="Times New Roman" w:eastAsia="Times New Roman" w:hAnsi="Times New Roman" w:cs="Times New Roman"/>
                <w:sz w:val="24"/>
              </w:rPr>
              <w:t>This value shall be calculated as set out in</w:t>
            </w:r>
            <w:r w:rsidR="6C8840B6" w:rsidRPr="00FE3752">
              <w:rPr>
                <w:rFonts w:ascii="Times New Roman" w:eastAsia="Times New Roman" w:hAnsi="Times New Roman" w:cs="Times New Roman"/>
                <w:sz w:val="24"/>
              </w:rPr>
              <w:t xml:space="preserve"> Article 325ba(3) of Regulation (EU) No 575/2013</w:t>
            </w:r>
            <w:r w:rsidR="002F7116" w:rsidRPr="00FE3752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Pr="00FE3752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234F41" w:rsidRPr="001F1865" w14:paraId="6CF294F9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5D7C567" w14:textId="77777777" w:rsidR="00234F41" w:rsidRPr="001F1865" w:rsidRDefault="00234F41" w:rsidP="00234F41">
            <w:pPr>
              <w:spacing w:after="240"/>
              <w:rPr>
                <w:rFonts w:ascii="Times New Roman" w:hAnsi="Times New Roman" w:cs="Times New Roman"/>
                <w:b/>
                <w:sz w:val="24"/>
                <w:lang w:eastAsia="ja-JP"/>
              </w:rPr>
            </w:pPr>
            <w:r w:rsidRPr="001F1865">
              <w:rPr>
                <w:rFonts w:ascii="Times New Roman" w:hAnsi="Times New Roman" w:cs="Times New Roman"/>
                <w:b/>
                <w:sz w:val="24"/>
                <w:lang w:eastAsia="ja-JP"/>
              </w:rPr>
              <w:t>Column letter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B0A2FF6" w14:textId="77777777" w:rsidR="00234F41" w:rsidRPr="001F1865" w:rsidRDefault="00234F41" w:rsidP="00234F41">
            <w:pPr>
              <w:spacing w:after="240"/>
              <w:rPr>
                <w:rFonts w:ascii="Times New Roman" w:hAnsi="Times New Roman" w:cs="Times New Roman"/>
                <w:b/>
                <w:sz w:val="24"/>
                <w:lang w:eastAsia="ja-JP"/>
              </w:rPr>
            </w:pPr>
            <w:r w:rsidRPr="001F1865">
              <w:rPr>
                <w:rFonts w:ascii="Times New Roman" w:hAnsi="Times New Roman" w:cs="Times New Roman"/>
                <w:b/>
                <w:sz w:val="24"/>
                <w:lang w:eastAsia="ja-JP"/>
              </w:rPr>
              <w:t>Explanation</w:t>
            </w:r>
          </w:p>
        </w:tc>
      </w:tr>
      <w:tr w:rsidR="00234F41" w:rsidRPr="00AA772E" w14:paraId="691830EE" w14:textId="77777777" w:rsidTr="00DB0A49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CF2D892" w14:textId="13945D56" w:rsidR="00234F41" w:rsidRPr="00445013" w:rsidRDefault="00234F41" w:rsidP="00DB0A49">
            <w:pPr>
              <w:jc w:val="center"/>
              <w:rPr>
                <w:rFonts w:ascii="Times New Roman" w:hAnsi="Times New Roman" w:cs="Times New Roman"/>
                <w:sz w:val="24"/>
                <w:lang w:eastAsia="ja-JP"/>
              </w:rPr>
            </w:pPr>
            <w:r w:rsidRPr="00DB0A49">
              <w:rPr>
                <w:rFonts w:ascii="Times New Roman" w:hAnsi="Times New Roman" w:cs="Times New Roman"/>
                <w:sz w:val="24"/>
                <w:lang w:eastAsia="ja-JP"/>
              </w:rPr>
              <w:t>a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5BC3495" w14:textId="6299B921" w:rsidR="00234F41" w:rsidRPr="00DB0A49" w:rsidRDefault="00234F41" w:rsidP="00234F41">
            <w:pPr>
              <w:rPr>
                <w:rFonts w:ascii="Times New Roman" w:hAnsi="Times New Roman" w:cs="Times New Roman"/>
                <w:sz w:val="24"/>
                <w:lang w:eastAsia="ja-JP"/>
              </w:rPr>
            </w:pPr>
            <w:r w:rsidRPr="00445013">
              <w:rPr>
                <w:rFonts w:ascii="Times New Roman" w:hAnsi="Times New Roman" w:cs="Times New Roman"/>
                <w:sz w:val="24"/>
                <w:lang w:eastAsia="ja-JP"/>
              </w:rPr>
              <w:t>Disclosure of the most recent risk measure [row 1 to 10] or own funds requirement</w:t>
            </w:r>
            <w:r w:rsidR="002C44FE">
              <w:rPr>
                <w:rFonts w:ascii="Times New Roman" w:hAnsi="Times New Roman" w:cs="Times New Roman"/>
                <w:sz w:val="24"/>
                <w:lang w:eastAsia="ja-JP"/>
              </w:rPr>
              <w:t>s</w:t>
            </w:r>
            <w:r w:rsidRPr="00445013">
              <w:rPr>
                <w:rFonts w:ascii="Times New Roman" w:hAnsi="Times New Roman" w:cs="Times New Roman"/>
                <w:sz w:val="24"/>
                <w:lang w:eastAsia="ja-JP"/>
              </w:rPr>
              <w:t xml:space="preserve"> [row 11 to 16] at the current quarter</w:t>
            </w:r>
            <w:r w:rsidR="002F7116">
              <w:rPr>
                <w:rFonts w:ascii="Times New Roman" w:hAnsi="Times New Roman" w:cs="Times New Roman"/>
                <w:sz w:val="24"/>
                <w:lang w:eastAsia="ja-JP"/>
              </w:rPr>
              <w:t>.</w:t>
            </w:r>
            <w:r w:rsidRPr="00445013">
              <w:rPr>
                <w:rFonts w:ascii="Times New Roman" w:hAnsi="Times New Roman" w:cs="Times New Roman"/>
                <w:sz w:val="24"/>
                <w:lang w:eastAsia="ja-JP"/>
              </w:rPr>
              <w:t xml:space="preserve"> </w:t>
            </w:r>
          </w:p>
        </w:tc>
      </w:tr>
      <w:tr w:rsidR="00825C6F" w:rsidRPr="00AA772E" w14:paraId="3E585EB2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81655A" w14:textId="6A209115" w:rsidR="00825C6F" w:rsidRPr="00445013" w:rsidRDefault="00825C6F" w:rsidP="00825C6F">
            <w:pPr>
              <w:jc w:val="center"/>
              <w:rPr>
                <w:rFonts w:ascii="Times New Roman" w:hAnsi="Times New Roman" w:cs="Times New Roman"/>
                <w:sz w:val="24"/>
                <w:lang w:eastAsia="ja-JP"/>
              </w:rPr>
            </w:pPr>
            <w:r w:rsidRPr="00445013">
              <w:rPr>
                <w:rFonts w:ascii="Times New Roman" w:hAnsi="Times New Roman" w:cs="Times New Roman"/>
                <w:sz w:val="24"/>
                <w:lang w:eastAsia="ja-JP"/>
              </w:rPr>
              <w:t>b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19F853" w14:textId="5237A310" w:rsidR="00825C6F" w:rsidRPr="00445013" w:rsidRDefault="00825C6F" w:rsidP="3821DFBC">
            <w:pPr>
              <w:rPr>
                <w:rFonts w:ascii="Times New Roman" w:hAnsi="Times New Roman" w:cs="Times New Roman"/>
                <w:sz w:val="24"/>
                <w:lang w:eastAsia="ja-JP"/>
              </w:rPr>
            </w:pPr>
            <w:r w:rsidRPr="00445013">
              <w:rPr>
                <w:rFonts w:ascii="Times New Roman" w:hAnsi="Times New Roman" w:cs="Times New Roman"/>
                <w:sz w:val="24"/>
                <w:lang w:eastAsia="ja-JP"/>
              </w:rPr>
              <w:t>Mean value of the Risk measure [row 1 to 10] over the previous 60 business day</w:t>
            </w:r>
            <w:r w:rsidR="65F44FA7" w:rsidRPr="00445013">
              <w:rPr>
                <w:rFonts w:ascii="Times New Roman" w:hAnsi="Times New Roman" w:cs="Times New Roman"/>
                <w:sz w:val="24"/>
                <w:lang w:eastAsia="ja-JP"/>
              </w:rPr>
              <w:t>s</w:t>
            </w:r>
            <w:r w:rsidRPr="00445013">
              <w:rPr>
                <w:rFonts w:ascii="Times New Roman" w:hAnsi="Times New Roman" w:cs="Times New Roman"/>
                <w:sz w:val="24"/>
                <w:lang w:eastAsia="ja-JP"/>
              </w:rPr>
              <w:t xml:space="preserve"> [row 1 to 9] or over the previous 12 weeks [row 10] at the current quarter</w:t>
            </w:r>
            <w:r w:rsidR="002F7116">
              <w:rPr>
                <w:rFonts w:ascii="Times New Roman" w:hAnsi="Times New Roman" w:cs="Times New Roman"/>
                <w:sz w:val="24"/>
                <w:lang w:eastAsia="ja-JP"/>
              </w:rPr>
              <w:t>.</w:t>
            </w:r>
          </w:p>
        </w:tc>
      </w:tr>
      <w:tr w:rsidR="00234F41" w:rsidRPr="00AA772E" w14:paraId="541E0443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D9A3D63" w14:textId="38507D4F" w:rsidR="00234F41" w:rsidRPr="00445013" w:rsidRDefault="00825C6F" w:rsidP="00DB0A49">
            <w:pPr>
              <w:jc w:val="center"/>
              <w:rPr>
                <w:rFonts w:ascii="Times New Roman" w:hAnsi="Times New Roman" w:cs="Times New Roman"/>
                <w:sz w:val="24"/>
                <w:lang w:eastAsia="ja-JP"/>
              </w:rPr>
            </w:pPr>
            <w:r w:rsidRPr="00445013">
              <w:rPr>
                <w:rFonts w:ascii="Times New Roman" w:hAnsi="Times New Roman" w:cs="Times New Roman"/>
                <w:sz w:val="24"/>
                <w:lang w:eastAsia="ja-JP"/>
              </w:rPr>
              <w:t>c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AE0E847" w14:textId="02E42442" w:rsidR="00234F41" w:rsidRPr="00445013" w:rsidRDefault="00234F41" w:rsidP="3821DFBC">
            <w:pPr>
              <w:rPr>
                <w:rFonts w:ascii="Times New Roman" w:hAnsi="Times New Roman" w:cs="Times New Roman"/>
                <w:sz w:val="24"/>
                <w:lang w:eastAsia="ja-JP"/>
              </w:rPr>
            </w:pPr>
            <w:r w:rsidRPr="00445013">
              <w:rPr>
                <w:rFonts w:ascii="Times New Roman" w:hAnsi="Times New Roman" w:cs="Times New Roman"/>
                <w:sz w:val="24"/>
                <w:lang w:eastAsia="ja-JP"/>
              </w:rPr>
              <w:t>Highest Risk measure over the previous 60 business day</w:t>
            </w:r>
            <w:r w:rsidR="2C9C033A" w:rsidRPr="00445013">
              <w:rPr>
                <w:rFonts w:ascii="Times New Roman" w:hAnsi="Times New Roman" w:cs="Times New Roman"/>
                <w:sz w:val="24"/>
                <w:lang w:eastAsia="ja-JP"/>
              </w:rPr>
              <w:t>s</w:t>
            </w:r>
            <w:r w:rsidRPr="00445013">
              <w:rPr>
                <w:rFonts w:ascii="Times New Roman" w:hAnsi="Times New Roman" w:cs="Times New Roman"/>
                <w:sz w:val="24"/>
                <w:lang w:eastAsia="ja-JP"/>
              </w:rPr>
              <w:t xml:space="preserve"> [row 1 to </w:t>
            </w:r>
            <w:r w:rsidR="509CC21A" w:rsidRPr="00445013">
              <w:rPr>
                <w:rFonts w:ascii="Times New Roman" w:hAnsi="Times New Roman" w:cs="Times New Roman"/>
                <w:sz w:val="24"/>
                <w:lang w:eastAsia="ja-JP"/>
              </w:rPr>
              <w:t>6</w:t>
            </w:r>
            <w:r w:rsidRPr="00445013">
              <w:rPr>
                <w:rFonts w:ascii="Times New Roman" w:hAnsi="Times New Roman" w:cs="Times New Roman"/>
                <w:sz w:val="24"/>
                <w:lang w:eastAsia="ja-JP"/>
              </w:rPr>
              <w:t>] at the current quarter</w:t>
            </w:r>
            <w:r w:rsidR="002F7116">
              <w:rPr>
                <w:rFonts w:ascii="Times New Roman" w:hAnsi="Times New Roman" w:cs="Times New Roman"/>
                <w:sz w:val="24"/>
                <w:lang w:eastAsia="ja-JP"/>
              </w:rPr>
              <w:t>.</w:t>
            </w:r>
          </w:p>
        </w:tc>
      </w:tr>
      <w:tr w:rsidR="00234F41" w:rsidRPr="00AA772E" w14:paraId="517652D9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4185729" w14:textId="054FA251" w:rsidR="00234F41" w:rsidRPr="00445013" w:rsidRDefault="00825C6F" w:rsidP="00234F41">
            <w:pPr>
              <w:jc w:val="center"/>
              <w:rPr>
                <w:rFonts w:ascii="Times New Roman" w:hAnsi="Times New Roman" w:cs="Times New Roman"/>
                <w:sz w:val="24"/>
                <w:lang w:eastAsia="ja-JP"/>
              </w:rPr>
            </w:pPr>
            <w:r w:rsidRPr="00445013">
              <w:rPr>
                <w:rFonts w:ascii="Times New Roman" w:hAnsi="Times New Roman" w:cs="Times New Roman"/>
                <w:sz w:val="24"/>
                <w:lang w:eastAsia="ja-JP"/>
              </w:rPr>
              <w:t>d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9CA32AC" w14:textId="30C74DA0" w:rsidR="00234F41" w:rsidRPr="00445013" w:rsidRDefault="00234F41" w:rsidP="3821DFBC">
            <w:pPr>
              <w:rPr>
                <w:rFonts w:ascii="Times New Roman" w:hAnsi="Times New Roman" w:cs="Times New Roman"/>
                <w:sz w:val="24"/>
                <w:lang w:eastAsia="ja-JP"/>
              </w:rPr>
            </w:pPr>
            <w:r w:rsidRPr="00445013">
              <w:rPr>
                <w:rFonts w:ascii="Times New Roman" w:hAnsi="Times New Roman" w:cs="Times New Roman"/>
                <w:sz w:val="24"/>
                <w:lang w:eastAsia="ja-JP"/>
              </w:rPr>
              <w:t>Lowest Risk measure over the previous 60 business day</w:t>
            </w:r>
            <w:r w:rsidR="6A21B232" w:rsidRPr="00445013">
              <w:rPr>
                <w:rFonts w:ascii="Times New Roman" w:hAnsi="Times New Roman" w:cs="Times New Roman"/>
                <w:sz w:val="24"/>
                <w:lang w:eastAsia="ja-JP"/>
              </w:rPr>
              <w:t>s</w:t>
            </w:r>
            <w:r w:rsidRPr="00445013">
              <w:rPr>
                <w:rFonts w:ascii="Times New Roman" w:hAnsi="Times New Roman" w:cs="Times New Roman"/>
                <w:sz w:val="24"/>
                <w:lang w:eastAsia="ja-JP"/>
              </w:rPr>
              <w:t xml:space="preserve"> [row 1 to </w:t>
            </w:r>
            <w:r w:rsidR="6FDFAB55" w:rsidRPr="00445013">
              <w:rPr>
                <w:rFonts w:ascii="Times New Roman" w:hAnsi="Times New Roman" w:cs="Times New Roman"/>
                <w:sz w:val="24"/>
                <w:lang w:eastAsia="ja-JP"/>
              </w:rPr>
              <w:t>6</w:t>
            </w:r>
            <w:r w:rsidRPr="00445013">
              <w:rPr>
                <w:rFonts w:ascii="Times New Roman" w:hAnsi="Times New Roman" w:cs="Times New Roman"/>
                <w:sz w:val="24"/>
                <w:lang w:eastAsia="ja-JP"/>
              </w:rPr>
              <w:t>] at the current quarter</w:t>
            </w:r>
            <w:r w:rsidR="002F7116">
              <w:rPr>
                <w:rFonts w:ascii="Times New Roman" w:hAnsi="Times New Roman" w:cs="Times New Roman"/>
                <w:sz w:val="24"/>
                <w:lang w:eastAsia="ja-JP"/>
              </w:rPr>
              <w:t>.</w:t>
            </w:r>
          </w:p>
        </w:tc>
      </w:tr>
      <w:tr w:rsidR="00234F41" w:rsidRPr="00AA772E" w14:paraId="41E2A894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9FA296F" w14:textId="5510FEEB" w:rsidR="00234F41" w:rsidRPr="00445013" w:rsidRDefault="00234F41" w:rsidP="00234F41">
            <w:pPr>
              <w:jc w:val="center"/>
              <w:rPr>
                <w:rFonts w:ascii="Times New Roman" w:hAnsi="Times New Roman" w:cs="Times New Roman"/>
                <w:sz w:val="24"/>
                <w:lang w:eastAsia="ja-JP"/>
              </w:rPr>
            </w:pPr>
            <w:r w:rsidRPr="00445013">
              <w:rPr>
                <w:rFonts w:ascii="Times New Roman" w:hAnsi="Times New Roman" w:cs="Times New Roman"/>
                <w:sz w:val="24"/>
                <w:lang w:eastAsia="ja-JP"/>
              </w:rPr>
              <w:t>e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657FA4A" w14:textId="0166676A" w:rsidR="00234F41" w:rsidRPr="00445013" w:rsidRDefault="00234F4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445013">
              <w:rPr>
                <w:rFonts w:ascii="Times New Roman" w:hAnsi="Times New Roman" w:cs="Times New Roman"/>
                <w:sz w:val="24"/>
                <w:lang w:eastAsia="ja-JP"/>
              </w:rPr>
              <w:t>Number of back-testing overshootings</w:t>
            </w:r>
            <w:r w:rsidR="3F645DFE" w:rsidRPr="00445013">
              <w:rPr>
                <w:rFonts w:ascii="Times New Roman" w:hAnsi="Times New Roman" w:cs="Times New Roman"/>
                <w:sz w:val="24"/>
                <w:lang w:eastAsia="ja-JP"/>
              </w:rPr>
              <w:t xml:space="preserve"> [row 1]</w:t>
            </w:r>
          </w:p>
          <w:p w14:paraId="486CF129" w14:textId="49048050" w:rsidR="00234F41" w:rsidRPr="00445013" w:rsidRDefault="51A69309" w:rsidP="0BE4034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B0A49">
              <w:rPr>
                <w:rFonts w:ascii="Times New Roman" w:eastAsia="Times New Roman" w:hAnsi="Times New Roman" w:cs="Times New Roman"/>
                <w:sz w:val="24"/>
              </w:rPr>
              <w:t>The number of overshootings reported in this cell shall be the number used for the determination of the add-on in accordance with Table 3 of Article 325</w:t>
            </w:r>
            <w:r w:rsidR="62428427" w:rsidRPr="00DB0A49">
              <w:rPr>
                <w:rFonts w:ascii="Times New Roman" w:eastAsia="Times New Roman" w:hAnsi="Times New Roman" w:cs="Times New Roman"/>
                <w:sz w:val="24"/>
              </w:rPr>
              <w:t>b</w:t>
            </w:r>
            <w:r w:rsidRPr="00DB0A49">
              <w:rPr>
                <w:rFonts w:ascii="Times New Roman" w:eastAsia="Times New Roman" w:hAnsi="Times New Roman" w:cs="Times New Roman"/>
                <w:sz w:val="24"/>
              </w:rPr>
              <w:t xml:space="preserve">f(6), point (b) </w:t>
            </w:r>
            <w:r w:rsidR="04D070BB" w:rsidRPr="00DB0A49">
              <w:rPr>
                <w:rFonts w:ascii="Times New Roman" w:eastAsia="Times New Roman" w:hAnsi="Times New Roman" w:cs="Times New Roman"/>
                <w:sz w:val="24"/>
              </w:rPr>
              <w:t>of Regulation</w:t>
            </w:r>
            <w:r w:rsidR="5A4E6B5C" w:rsidRPr="00DB0A49">
              <w:rPr>
                <w:rFonts w:ascii="Times New Roman" w:eastAsia="Times New Roman" w:hAnsi="Times New Roman" w:cs="Times New Roman"/>
                <w:sz w:val="24"/>
              </w:rPr>
              <w:t xml:space="preserve"> (EU) 575/2013</w:t>
            </w:r>
            <w:r w:rsidRPr="00DB0A49">
              <w:rPr>
                <w:rFonts w:ascii="Times New Roman" w:eastAsia="Times New Roman" w:hAnsi="Times New Roman" w:cs="Times New Roman"/>
                <w:sz w:val="24"/>
              </w:rPr>
              <w:t xml:space="preserve">. Overshootings </w:t>
            </w:r>
            <w:r w:rsidRPr="00DB0A49">
              <w:rPr>
                <w:rFonts w:ascii="Times New Roman" w:eastAsia="Times New Roman" w:hAnsi="Times New Roman" w:cs="Times New Roman"/>
                <w:sz w:val="24"/>
              </w:rPr>
              <w:lastRenderedPageBreak/>
              <w:t>that are excluded with the permission of the competent authority shall not be included.</w:t>
            </w:r>
          </w:p>
        </w:tc>
      </w:tr>
      <w:tr w:rsidR="00234F41" w:rsidRPr="00AA772E" w14:paraId="4299B6F7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3441333" w14:textId="19304036" w:rsidR="00234F41" w:rsidRPr="00445013" w:rsidRDefault="00234F41" w:rsidP="00234F41">
            <w:pPr>
              <w:jc w:val="center"/>
              <w:rPr>
                <w:rFonts w:ascii="Times New Roman" w:hAnsi="Times New Roman" w:cs="Times New Roman"/>
                <w:sz w:val="24"/>
                <w:lang w:eastAsia="ja-JP"/>
              </w:rPr>
            </w:pPr>
            <w:r w:rsidRPr="00445013">
              <w:rPr>
                <w:rFonts w:ascii="Times New Roman" w:hAnsi="Times New Roman" w:cs="Times New Roman"/>
                <w:sz w:val="24"/>
                <w:lang w:eastAsia="ja-JP"/>
              </w:rPr>
              <w:lastRenderedPageBreak/>
              <w:t>f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C8BD1C0" w14:textId="66C9B10A" w:rsidR="00234F41" w:rsidRPr="00445013" w:rsidRDefault="00234F41" w:rsidP="00234F41">
            <w:pPr>
              <w:rPr>
                <w:rFonts w:ascii="Times New Roman" w:hAnsi="Times New Roman" w:cs="Times New Roman"/>
                <w:sz w:val="24"/>
                <w:lang w:eastAsia="ja-JP"/>
              </w:rPr>
            </w:pPr>
            <w:r w:rsidRPr="00445013">
              <w:rPr>
                <w:rFonts w:ascii="Times New Roman" w:hAnsi="Times New Roman" w:cs="Times New Roman"/>
                <w:sz w:val="24"/>
                <w:lang w:eastAsia="ja-JP"/>
              </w:rPr>
              <w:t>Most recent risk measure [row 1 to 10] or own funds requirement</w:t>
            </w:r>
            <w:r w:rsidR="002C44FE">
              <w:rPr>
                <w:rFonts w:ascii="Times New Roman" w:hAnsi="Times New Roman" w:cs="Times New Roman"/>
                <w:sz w:val="24"/>
                <w:lang w:eastAsia="ja-JP"/>
              </w:rPr>
              <w:t xml:space="preserve">s </w:t>
            </w:r>
            <w:r w:rsidRPr="00445013">
              <w:rPr>
                <w:rFonts w:ascii="Times New Roman" w:hAnsi="Times New Roman" w:cs="Times New Roman"/>
                <w:sz w:val="24"/>
                <w:lang w:eastAsia="ja-JP"/>
              </w:rPr>
              <w:t>[row 11 to 16] at the previous quarter</w:t>
            </w:r>
            <w:r w:rsidR="002F7116">
              <w:rPr>
                <w:rFonts w:ascii="Times New Roman" w:hAnsi="Times New Roman" w:cs="Times New Roman"/>
                <w:sz w:val="24"/>
                <w:lang w:eastAsia="ja-JP"/>
              </w:rPr>
              <w:t>.</w:t>
            </w:r>
            <w:r w:rsidRPr="00445013">
              <w:rPr>
                <w:rFonts w:ascii="Times New Roman" w:hAnsi="Times New Roman" w:cs="Times New Roman"/>
                <w:sz w:val="24"/>
                <w:lang w:eastAsia="ja-JP"/>
              </w:rPr>
              <w:t xml:space="preserve"> </w:t>
            </w:r>
          </w:p>
        </w:tc>
      </w:tr>
      <w:tr w:rsidR="00234F41" w:rsidRPr="001F1865" w14:paraId="2CC40313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883754D" w14:textId="4239198E" w:rsidR="00234F41" w:rsidRPr="001F1865" w:rsidRDefault="00234F41" w:rsidP="00234F41">
            <w:pPr>
              <w:jc w:val="center"/>
              <w:rPr>
                <w:rFonts w:ascii="Times New Roman" w:hAnsi="Times New Roman" w:cs="Times New Roman"/>
                <w:sz w:val="24"/>
                <w:lang w:eastAsia="ja-JP"/>
              </w:rPr>
            </w:pPr>
            <w:r w:rsidRPr="001F1865">
              <w:rPr>
                <w:rFonts w:ascii="Times New Roman" w:hAnsi="Times New Roman" w:cs="Times New Roman"/>
                <w:sz w:val="24"/>
                <w:lang w:eastAsia="ja-JP"/>
              </w:rPr>
              <w:t>g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088BFF1" w14:textId="1DB2F358" w:rsidR="00234F41" w:rsidRPr="001F1865" w:rsidRDefault="00234F41" w:rsidP="00234F41">
            <w:pPr>
              <w:rPr>
                <w:rFonts w:ascii="Times New Roman" w:hAnsi="Times New Roman" w:cs="Times New Roman"/>
                <w:sz w:val="24"/>
                <w:lang w:eastAsia="ja-JP"/>
              </w:rPr>
            </w:pPr>
            <w:r w:rsidRPr="001F1865">
              <w:rPr>
                <w:rFonts w:ascii="Times New Roman" w:hAnsi="Times New Roman" w:cs="Times New Roman"/>
                <w:sz w:val="24"/>
                <w:lang w:eastAsia="ja-JP"/>
              </w:rPr>
              <w:t>Mean value of the Risk measure [row 1 to 10] over the previous 60 business day [row 1 to 9] or over the previous 12 weeks [row 10] at the previous quarter</w:t>
            </w:r>
            <w:r w:rsidR="002F7116">
              <w:rPr>
                <w:rFonts w:ascii="Times New Roman" w:hAnsi="Times New Roman" w:cs="Times New Roman"/>
                <w:sz w:val="24"/>
                <w:lang w:eastAsia="ja-JP"/>
              </w:rPr>
              <w:t>.</w:t>
            </w:r>
          </w:p>
        </w:tc>
      </w:tr>
    </w:tbl>
    <w:p w14:paraId="60061E4C" w14:textId="6CE0B0D3" w:rsidR="00AA4A0F" w:rsidRPr="001F1865" w:rsidRDefault="00AA4A0F" w:rsidP="00931C32">
      <w:pPr>
        <w:pStyle w:val="Titlelevel2"/>
        <w:spacing w:before="0"/>
        <w:rPr>
          <w:rFonts w:ascii="Times New Roman" w:hAnsi="Times New Roman" w:cs="Times New Roman"/>
          <w:b/>
          <w:color w:val="auto"/>
          <w:sz w:val="24"/>
          <w:lang w:val="en-GB"/>
        </w:rPr>
      </w:pPr>
    </w:p>
    <w:p w14:paraId="7EADC0A6" w14:textId="5B12A297" w:rsidR="00AA4A0F" w:rsidRPr="001F1865" w:rsidRDefault="00AA4A0F" w:rsidP="140F9DE1">
      <w:pPr>
        <w:pStyle w:val="Titlelevel2"/>
        <w:spacing w:before="0"/>
        <w:rPr>
          <w:rFonts w:ascii="Times New Roman" w:hAnsi="Times New Roman" w:cs="Times New Roman"/>
          <w:color w:val="auto"/>
          <w:sz w:val="24"/>
          <w:lang w:val="en-GB"/>
        </w:rPr>
      </w:pPr>
      <w:r w:rsidRPr="001F1865">
        <w:rPr>
          <w:rFonts w:ascii="Times New Roman" w:hAnsi="Times New Roman" w:cs="Times New Roman"/>
          <w:b/>
          <w:color w:val="auto"/>
          <w:sz w:val="24"/>
          <w:lang w:val="en-GB"/>
        </w:rPr>
        <w:t>Template EU MR 3 - Market risk under the simplified standardised approach (SSA)</w:t>
      </w:r>
      <w:r w:rsidRPr="001F1865">
        <w:rPr>
          <w:rFonts w:ascii="Times New Roman" w:hAnsi="Times New Roman" w:cs="Times New Roman"/>
          <w:color w:val="auto"/>
          <w:sz w:val="24"/>
          <w:lang w:val="en-GB"/>
        </w:rPr>
        <w:t>: fixed format</w:t>
      </w:r>
    </w:p>
    <w:p w14:paraId="6AC491D2" w14:textId="6E61C37E" w:rsidR="00AA4A0F" w:rsidRPr="001F1865" w:rsidRDefault="00AA4A0F" w:rsidP="00DB0A49">
      <w:pPr>
        <w:pStyle w:val="Titlelevel2"/>
        <w:numPr>
          <w:ilvl w:val="0"/>
          <w:numId w:val="5"/>
        </w:numPr>
        <w:spacing w:before="0"/>
        <w:ind w:left="284" w:hanging="284"/>
        <w:jc w:val="both"/>
        <w:rPr>
          <w:rFonts w:ascii="Times New Roman" w:hAnsi="Times New Roman" w:cs="Times New Roman"/>
          <w:b/>
          <w:color w:val="auto"/>
          <w:sz w:val="24"/>
          <w:lang w:val="en-GB"/>
        </w:rPr>
      </w:pPr>
      <w:r w:rsidRPr="001F1865">
        <w:rPr>
          <w:rFonts w:ascii="Times New Roman" w:eastAsiaTheme="minorEastAsia" w:hAnsi="Times New Roman" w:cs="Times New Roman"/>
          <w:color w:val="000000" w:themeColor="text1"/>
          <w:sz w:val="24"/>
          <w:lang w:val="en-GB"/>
        </w:rPr>
        <w:t xml:space="preserve">Institutions shall disclose the information referred to in Article 445 </w:t>
      </w:r>
      <w:r w:rsidR="3EAC4B84" w:rsidRPr="001F1865">
        <w:rPr>
          <w:rFonts w:ascii="Times New Roman" w:eastAsiaTheme="minorEastAsia" w:hAnsi="Times New Roman" w:cs="Times New Roman"/>
          <w:color w:val="000000" w:themeColor="text1"/>
          <w:sz w:val="24"/>
          <w:lang w:val="en-GB"/>
        </w:rPr>
        <w:t>Regulation</w:t>
      </w:r>
      <w:r w:rsidR="5A4E6B5C" w:rsidRPr="001F1865">
        <w:rPr>
          <w:rFonts w:ascii="Times New Roman" w:eastAsiaTheme="minorEastAsia" w:hAnsi="Times New Roman" w:cs="Times New Roman"/>
          <w:color w:val="000000" w:themeColor="text1"/>
          <w:sz w:val="24"/>
          <w:lang w:val="en-GB"/>
        </w:rPr>
        <w:t xml:space="preserve"> (EU) 575/2013</w:t>
      </w:r>
      <w:r w:rsidRPr="001F1865">
        <w:rPr>
          <w:rFonts w:ascii="Times New Roman" w:eastAsiaTheme="minorEastAsia" w:hAnsi="Times New Roman" w:cs="Times New Roman"/>
          <w:color w:val="000000" w:themeColor="text1"/>
          <w:sz w:val="24"/>
          <w:lang w:val="en-GB"/>
        </w:rPr>
        <w:t xml:space="preserve"> by following the instructions provided below in this Annex to complete template EU MR 3 which is presented in Annex XXIX</w:t>
      </w:r>
      <w:r w:rsidR="00FE3752">
        <w:rPr>
          <w:rFonts w:ascii="Times New Roman" w:eastAsiaTheme="minorEastAsia" w:hAnsi="Times New Roman" w:cs="Times New Roman"/>
          <w:color w:val="000000" w:themeColor="text1"/>
          <w:sz w:val="24"/>
          <w:lang w:val="en-GB"/>
        </w:rPr>
        <w:t xml:space="preserve"> of the IT solutions</w:t>
      </w:r>
      <w:r w:rsidRPr="001F1865">
        <w:rPr>
          <w:rFonts w:ascii="Times New Roman" w:eastAsiaTheme="minorEastAsia" w:hAnsi="Times New Roman" w:cs="Times New Roman"/>
          <w:color w:val="000000" w:themeColor="text1"/>
          <w:sz w:val="24"/>
          <w:lang w:val="en-GB"/>
        </w:rPr>
        <w:t>.</w:t>
      </w:r>
    </w:p>
    <w:tbl>
      <w:tblPr>
        <w:tblW w:w="84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2"/>
        <w:gridCol w:w="7242"/>
      </w:tblGrid>
      <w:tr w:rsidR="00AA4A0F" w:rsidRPr="001F1865" w14:paraId="31CE5A52" w14:textId="77777777" w:rsidTr="0BE40342"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21B0653" w14:textId="77777777" w:rsidR="00AA4A0F" w:rsidRPr="001F1865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 w:rsidRPr="001F1865">
              <w:rPr>
                <w:rFonts w:ascii="Times New Roman" w:hAnsi="Times New Roman" w:cs="Times New Roman"/>
                <w:b/>
                <w:sz w:val="24"/>
              </w:rPr>
              <w:t>Legal references and instructions</w:t>
            </w:r>
          </w:p>
        </w:tc>
      </w:tr>
      <w:tr w:rsidR="00AA4A0F" w:rsidRPr="001F1865" w14:paraId="5141F344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46BD028" w14:textId="77777777" w:rsidR="00AA4A0F" w:rsidRPr="001F1865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  <w:lang w:eastAsia="ja-JP"/>
              </w:rPr>
            </w:pPr>
            <w:r w:rsidRPr="001F1865">
              <w:rPr>
                <w:rFonts w:ascii="Times New Roman" w:hAnsi="Times New Roman" w:cs="Times New Roman"/>
                <w:b/>
                <w:sz w:val="24"/>
                <w:lang w:eastAsia="ja-JP"/>
              </w:rPr>
              <w:t>Row number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71D7C9A" w14:textId="77777777" w:rsidR="00AA4A0F" w:rsidRPr="001F1865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  <w:lang w:eastAsia="ja-JP"/>
              </w:rPr>
            </w:pPr>
            <w:r w:rsidRPr="001F1865">
              <w:rPr>
                <w:rFonts w:ascii="Times New Roman" w:hAnsi="Times New Roman" w:cs="Times New Roman"/>
                <w:b/>
                <w:sz w:val="24"/>
                <w:lang w:eastAsia="ja-JP"/>
              </w:rPr>
              <w:t>Explanation</w:t>
            </w:r>
          </w:p>
        </w:tc>
      </w:tr>
      <w:tr w:rsidR="00AA4A0F" w:rsidRPr="001F1865" w14:paraId="2557E2E3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A1E50F1" w14:textId="77777777" w:rsidR="00AA4A0F" w:rsidRPr="001F1865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lang w:eastAsia="ja-JP"/>
              </w:rPr>
            </w:pPr>
          </w:p>
        </w:tc>
        <w:tc>
          <w:tcPr>
            <w:tcW w:w="7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8141434" w14:textId="77777777" w:rsidR="00AA4A0F" w:rsidRPr="001F1865" w:rsidRDefault="00AA4A0F" w:rsidP="00DE090B">
            <w:pPr>
              <w:spacing w:after="24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lang w:eastAsia="ja-JP"/>
              </w:rPr>
            </w:pPr>
          </w:p>
        </w:tc>
      </w:tr>
      <w:tr w:rsidR="00AA4A0F" w:rsidRPr="001F1865" w14:paraId="739AED95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E9B2" w14:textId="77777777" w:rsidR="00AA4A0F" w:rsidRPr="001F1865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lang w:eastAsia="ja-JP"/>
              </w:rPr>
            </w:pPr>
            <w:r w:rsidRPr="001F1865">
              <w:rPr>
                <w:rFonts w:ascii="Times New Roman" w:hAnsi="Times New Roman" w:cs="Times New Roman"/>
                <w:sz w:val="24"/>
                <w:lang w:eastAsia="ja-JP"/>
              </w:rPr>
              <w:t>1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D133A" w14:textId="77777777" w:rsidR="00AA4A0F" w:rsidRPr="001F1865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  <w:lang w:eastAsia="ja-JP"/>
              </w:rPr>
            </w:pPr>
            <w:r w:rsidRPr="001F1865">
              <w:rPr>
                <w:rFonts w:ascii="Times New Roman" w:hAnsi="Times New Roman" w:cs="Times New Roman"/>
                <w:b/>
                <w:sz w:val="24"/>
                <w:lang w:eastAsia="ja-JP"/>
              </w:rPr>
              <w:t xml:space="preserve">Interest rate risk (general and specific) </w:t>
            </w:r>
          </w:p>
          <w:p w14:paraId="53976F70" w14:textId="7239AE46" w:rsidR="00AA4A0F" w:rsidRPr="001F1865" w:rsidRDefault="00AA4A0F" w:rsidP="0BE40342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sz w:val="24"/>
                <w:lang w:eastAsia="ja-JP"/>
              </w:rPr>
            </w:pPr>
            <w:r w:rsidRPr="001F1865">
              <w:rPr>
                <w:rFonts w:ascii="Times New Roman" w:hAnsi="Times New Roman" w:cs="Times New Roman"/>
                <w:sz w:val="24"/>
              </w:rPr>
              <w:t xml:space="preserve">General and specific risk of positions in traded debt instruments in the trading book, in accordance with Chapter 2 of Title IV of Part Three </w:t>
            </w:r>
            <w:r w:rsidR="0406BB73" w:rsidRPr="001F1865">
              <w:rPr>
                <w:rFonts w:ascii="Times New Roman" w:hAnsi="Times New Roman" w:cs="Times New Roman"/>
                <w:sz w:val="24"/>
              </w:rPr>
              <w:t>Regulation</w:t>
            </w:r>
            <w:r w:rsidR="5A4E6B5C" w:rsidRPr="001F1865">
              <w:rPr>
                <w:rFonts w:ascii="Times New Roman" w:hAnsi="Times New Roman" w:cs="Times New Roman"/>
                <w:sz w:val="24"/>
              </w:rPr>
              <w:t xml:space="preserve"> (EU) 575/2013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>, excluding specific risk related to securitisation</w:t>
            </w:r>
            <w:r w:rsidR="00445013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AA4A0F" w:rsidRPr="001F1865" w14:paraId="3866E5CD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95B6D" w14:textId="77777777" w:rsidR="00AA4A0F" w:rsidRPr="001F1865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b/>
                <w:sz w:val="24"/>
                <w:lang w:eastAsia="ja-JP"/>
              </w:rPr>
            </w:pPr>
            <w:r w:rsidRPr="001F1865">
              <w:rPr>
                <w:rFonts w:ascii="Times New Roman" w:hAnsi="Times New Roman" w:cs="Times New Roman"/>
                <w:sz w:val="24"/>
                <w:lang w:eastAsia="ja-JP"/>
              </w:rPr>
              <w:t>2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2676" w14:textId="77777777" w:rsidR="00AA4A0F" w:rsidRPr="001F1865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  <w:lang w:eastAsia="ja-JP"/>
              </w:rPr>
            </w:pPr>
            <w:r w:rsidRPr="001F1865">
              <w:rPr>
                <w:rFonts w:ascii="Times New Roman" w:hAnsi="Times New Roman" w:cs="Times New Roman"/>
                <w:b/>
                <w:sz w:val="24"/>
                <w:lang w:eastAsia="ja-JP"/>
              </w:rPr>
              <w:t>Equity risk (general and specific)</w:t>
            </w:r>
          </w:p>
          <w:p w14:paraId="7CB149BE" w14:textId="7EC2652A" w:rsidR="00AA4A0F" w:rsidRPr="001F1865" w:rsidRDefault="00AA4A0F" w:rsidP="0BE40342">
            <w:pPr>
              <w:spacing w:after="240"/>
              <w:jc w:val="both"/>
              <w:rPr>
                <w:rFonts w:ascii="Times New Roman" w:hAnsi="Times New Roman" w:cs="Times New Roman"/>
                <w:sz w:val="24"/>
                <w:lang w:eastAsia="ja-JP"/>
              </w:rPr>
            </w:pPr>
            <w:r w:rsidRPr="001F1865">
              <w:rPr>
                <w:rFonts w:ascii="Times New Roman" w:hAnsi="Times New Roman" w:cs="Times New Roman"/>
                <w:sz w:val="24"/>
              </w:rPr>
              <w:t xml:space="preserve">General and specific risk of positions in equities in the trading book, in accordance with Chapter 2 of Title IV of Part Three </w:t>
            </w:r>
            <w:r w:rsidR="5270E00E" w:rsidRPr="001F1865">
              <w:rPr>
                <w:rFonts w:ascii="Times New Roman" w:hAnsi="Times New Roman" w:cs="Times New Roman"/>
                <w:sz w:val="24"/>
              </w:rPr>
              <w:t>Regulation</w:t>
            </w:r>
            <w:r w:rsidR="5A4E6B5C" w:rsidRPr="001F1865">
              <w:rPr>
                <w:rFonts w:ascii="Times New Roman" w:hAnsi="Times New Roman" w:cs="Times New Roman"/>
                <w:sz w:val="24"/>
              </w:rPr>
              <w:t xml:space="preserve"> (EU) 575/2013</w:t>
            </w:r>
            <w:r w:rsidR="00445013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AA4A0F" w:rsidRPr="001F1865" w14:paraId="036D3FF7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AB2FA" w14:textId="77777777" w:rsidR="00AA4A0F" w:rsidRPr="001F1865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lang w:eastAsia="ja-JP"/>
              </w:rPr>
            </w:pPr>
            <w:r w:rsidRPr="001F1865">
              <w:rPr>
                <w:rFonts w:ascii="Times New Roman" w:hAnsi="Times New Roman" w:cs="Times New Roman"/>
                <w:sz w:val="24"/>
                <w:lang w:eastAsia="ja-JP"/>
              </w:rPr>
              <w:t>3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01EE" w14:textId="77777777" w:rsidR="00AA4A0F" w:rsidRPr="001F1865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  <w:lang w:eastAsia="ja-JP"/>
              </w:rPr>
            </w:pPr>
            <w:r w:rsidRPr="001F1865">
              <w:rPr>
                <w:rFonts w:ascii="Times New Roman" w:hAnsi="Times New Roman" w:cs="Times New Roman"/>
                <w:b/>
                <w:sz w:val="24"/>
                <w:lang w:eastAsia="ja-JP"/>
              </w:rPr>
              <w:t>Commodity risk</w:t>
            </w:r>
          </w:p>
          <w:p w14:paraId="63B3CA85" w14:textId="0B927E14" w:rsidR="00AA4A0F" w:rsidRPr="001F1865" w:rsidRDefault="00AA4A0F" w:rsidP="0BE40342">
            <w:pPr>
              <w:spacing w:after="240"/>
              <w:rPr>
                <w:rFonts w:ascii="Times New Roman" w:hAnsi="Times New Roman" w:cs="Times New Roman"/>
                <w:sz w:val="24"/>
                <w:lang w:eastAsia="ja-JP"/>
              </w:rPr>
            </w:pPr>
            <w:r w:rsidRPr="001F1865">
              <w:rPr>
                <w:rFonts w:ascii="Times New Roman" w:hAnsi="Times New Roman" w:cs="Times New Roman"/>
                <w:sz w:val="24"/>
                <w:lang w:eastAsia="ja-JP"/>
              </w:rPr>
              <w:t xml:space="preserve">Risk of positions in commodities in accordance with Chapter 4 of Title IV of Part Three </w:t>
            </w:r>
            <w:r w:rsidR="7EBFBB7D" w:rsidRPr="001F1865">
              <w:rPr>
                <w:rFonts w:ascii="Times New Roman" w:hAnsi="Times New Roman" w:cs="Times New Roman"/>
                <w:sz w:val="24"/>
                <w:lang w:eastAsia="ja-JP"/>
              </w:rPr>
              <w:t>Regulation</w:t>
            </w:r>
            <w:r w:rsidR="5A4E6B5C" w:rsidRPr="001F1865">
              <w:rPr>
                <w:rFonts w:ascii="Times New Roman" w:hAnsi="Times New Roman" w:cs="Times New Roman"/>
                <w:sz w:val="24"/>
                <w:lang w:eastAsia="ja-JP"/>
              </w:rPr>
              <w:t xml:space="preserve"> (EU) 575/2013</w:t>
            </w:r>
            <w:r w:rsidR="7EBFBB7D" w:rsidRPr="001F1865">
              <w:rPr>
                <w:rFonts w:ascii="Times New Roman" w:hAnsi="Times New Roman" w:cs="Times New Roman"/>
                <w:sz w:val="24"/>
                <w:lang w:eastAsia="ja-JP"/>
              </w:rPr>
              <w:t>.</w:t>
            </w:r>
          </w:p>
        </w:tc>
      </w:tr>
      <w:tr w:rsidR="00AA4A0F" w:rsidRPr="001F1865" w14:paraId="7A3EA1BB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B8C93" w14:textId="77777777" w:rsidR="00AA4A0F" w:rsidRPr="001F1865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b/>
                <w:sz w:val="24"/>
                <w:lang w:eastAsia="ja-JP"/>
              </w:rPr>
            </w:pPr>
            <w:r w:rsidRPr="001F1865">
              <w:rPr>
                <w:rFonts w:ascii="Times New Roman" w:hAnsi="Times New Roman" w:cs="Times New Roman"/>
                <w:sz w:val="24"/>
                <w:lang w:eastAsia="ja-JP"/>
              </w:rPr>
              <w:t>4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C8C77" w14:textId="77777777" w:rsidR="00AA4A0F" w:rsidRPr="001F1865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  <w:lang w:eastAsia="ja-JP"/>
              </w:rPr>
            </w:pPr>
            <w:r w:rsidRPr="001F1865">
              <w:rPr>
                <w:rFonts w:ascii="Times New Roman" w:hAnsi="Times New Roman" w:cs="Times New Roman"/>
                <w:b/>
                <w:sz w:val="24"/>
                <w:lang w:eastAsia="ja-JP"/>
              </w:rPr>
              <w:t>Foreign exchange risk</w:t>
            </w:r>
          </w:p>
          <w:p w14:paraId="0EF57964" w14:textId="5BB6583A" w:rsidR="00AA4A0F" w:rsidRPr="001F1865" w:rsidRDefault="00AA4A0F" w:rsidP="0BE40342">
            <w:pPr>
              <w:spacing w:after="240"/>
              <w:jc w:val="both"/>
              <w:rPr>
                <w:rFonts w:ascii="Times New Roman" w:hAnsi="Times New Roman" w:cs="Times New Roman"/>
                <w:sz w:val="24"/>
                <w:lang w:eastAsia="ja-JP"/>
              </w:rPr>
            </w:pPr>
            <w:r w:rsidRPr="001F1865">
              <w:rPr>
                <w:rFonts w:ascii="Times New Roman" w:hAnsi="Times New Roman" w:cs="Times New Roman"/>
                <w:sz w:val="24"/>
                <w:lang w:eastAsia="ja-JP"/>
              </w:rPr>
              <w:t xml:space="preserve">Risk of positions in foreign exchange in accordance with Chapter 3 of Title IV of Part Three </w:t>
            </w:r>
            <w:r w:rsidR="622179F0" w:rsidRPr="001F1865">
              <w:rPr>
                <w:rFonts w:ascii="Times New Roman" w:hAnsi="Times New Roman" w:cs="Times New Roman"/>
                <w:sz w:val="24"/>
                <w:lang w:eastAsia="ja-JP"/>
              </w:rPr>
              <w:t>Regulation</w:t>
            </w:r>
            <w:r w:rsidR="5A4E6B5C" w:rsidRPr="001F1865">
              <w:rPr>
                <w:rFonts w:ascii="Times New Roman" w:hAnsi="Times New Roman" w:cs="Times New Roman"/>
                <w:sz w:val="24"/>
                <w:lang w:eastAsia="ja-JP"/>
              </w:rPr>
              <w:t xml:space="preserve"> (EU) 575/2013</w:t>
            </w:r>
            <w:r w:rsidR="00445013">
              <w:rPr>
                <w:rFonts w:ascii="Times New Roman" w:hAnsi="Times New Roman" w:cs="Times New Roman"/>
                <w:sz w:val="24"/>
                <w:lang w:eastAsia="ja-JP"/>
              </w:rPr>
              <w:t>.</w:t>
            </w:r>
          </w:p>
        </w:tc>
      </w:tr>
      <w:tr w:rsidR="00AA4A0F" w:rsidRPr="001F1865" w14:paraId="510BA8A3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F69CF" w14:textId="77777777" w:rsidR="00AA4A0F" w:rsidRPr="001F1865" w:rsidRDefault="00AA4A0F" w:rsidP="00DE090B">
            <w:pPr>
              <w:jc w:val="center"/>
              <w:rPr>
                <w:rFonts w:ascii="Times New Roman" w:hAnsi="Times New Roman" w:cs="Times New Roman"/>
                <w:sz w:val="24"/>
                <w:lang w:eastAsia="ja-JP"/>
              </w:rPr>
            </w:pPr>
            <w:r w:rsidRPr="001F1865">
              <w:rPr>
                <w:rFonts w:ascii="Times New Roman" w:hAnsi="Times New Roman" w:cs="Times New Roman"/>
                <w:sz w:val="24"/>
                <w:lang w:eastAsia="ja-JP"/>
              </w:rPr>
              <w:t>5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B132C" w14:textId="77777777" w:rsidR="00AA4A0F" w:rsidRPr="001F1865" w:rsidRDefault="00AA4A0F" w:rsidP="00DE090B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Securitisation (specific risk)</w:t>
            </w:r>
          </w:p>
          <w:p w14:paraId="20BB6B2F" w14:textId="370CD600" w:rsidR="00AA4A0F" w:rsidRPr="00DE72D6" w:rsidRDefault="00AA4A0F" w:rsidP="00DE090B">
            <w:pPr>
              <w:rPr>
                <w:rFonts w:ascii="Times New Roman" w:hAnsi="Times New Roman" w:cs="Times New Roman"/>
              </w:rPr>
            </w:pPr>
            <w:r w:rsidRPr="001F1865">
              <w:rPr>
                <w:rFonts w:ascii="Times New Roman" w:eastAsia="Times New Roman" w:hAnsi="Times New Roman" w:cs="Times New Roman"/>
                <w:sz w:val="24"/>
              </w:rPr>
              <w:t xml:space="preserve">Specific risk of securitisation positions in the trading book in accordance with Articles 337 and 338 of Chapter 2 of Title IV of Part Three </w:t>
            </w:r>
            <w:r w:rsidR="3D0FF6D2" w:rsidRPr="001F1865">
              <w:rPr>
                <w:rFonts w:ascii="Times New Roman" w:eastAsia="Times New Roman" w:hAnsi="Times New Roman" w:cs="Times New Roman"/>
                <w:sz w:val="24"/>
              </w:rPr>
              <w:t>Regulation</w:t>
            </w:r>
            <w:r w:rsidR="5A4E6B5C" w:rsidRPr="001F1865">
              <w:rPr>
                <w:rFonts w:ascii="Times New Roman" w:eastAsia="Times New Roman" w:hAnsi="Times New Roman" w:cs="Times New Roman"/>
                <w:sz w:val="24"/>
              </w:rPr>
              <w:t xml:space="preserve"> (EU) 575/2013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AA4A0F" w:rsidRPr="001F1865" w14:paraId="7C502C6B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168C1" w14:textId="77777777" w:rsidR="00AA4A0F" w:rsidRPr="001F1865" w:rsidRDefault="00AA4A0F" w:rsidP="00DE090B">
            <w:pPr>
              <w:jc w:val="center"/>
              <w:rPr>
                <w:rFonts w:ascii="Times New Roman" w:hAnsi="Times New Roman" w:cs="Times New Roman"/>
                <w:sz w:val="24"/>
                <w:lang w:eastAsia="ja-JP"/>
              </w:rPr>
            </w:pPr>
            <w:r w:rsidRPr="001F1865">
              <w:rPr>
                <w:rFonts w:ascii="Times New Roman" w:hAnsi="Times New Roman" w:cs="Times New Roman"/>
                <w:sz w:val="24"/>
                <w:lang w:eastAsia="ja-JP"/>
              </w:rPr>
              <w:lastRenderedPageBreak/>
              <w:t>6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C9167" w14:textId="77777777" w:rsidR="00AA4A0F" w:rsidRPr="001F1865" w:rsidRDefault="00AA4A0F" w:rsidP="00DE090B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Total OFR S-SA </w:t>
            </w:r>
          </w:p>
          <w:p w14:paraId="5DD2D55D" w14:textId="027A9E83" w:rsidR="00AA4A0F" w:rsidRPr="001F1865" w:rsidRDefault="00AA4A0F" w:rsidP="00DE090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sz w:val="24"/>
              </w:rPr>
              <w:t>Disclosure of own funds requirements referred to in Article 438</w:t>
            </w:r>
            <w:r w:rsidR="2F9537E2" w:rsidRPr="001F1865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4010298B" w:rsidRPr="001F1865">
              <w:rPr>
                <w:rFonts w:ascii="Times New Roman" w:eastAsia="Times New Roman" w:hAnsi="Times New Roman" w:cs="Times New Roman"/>
                <w:sz w:val="24"/>
              </w:rPr>
              <w:t>point (d) of Regulation</w:t>
            </w:r>
            <w:r w:rsidR="5A4E6B5C" w:rsidRPr="001F1865">
              <w:rPr>
                <w:rFonts w:ascii="Times New Roman" w:eastAsia="Times New Roman" w:hAnsi="Times New Roman" w:cs="Times New Roman"/>
                <w:sz w:val="24"/>
              </w:rPr>
              <w:t xml:space="preserve"> (EU) 575/2013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>, computed as the simple sum of amounts in the above rows 1 to 5</w:t>
            </w:r>
            <w:r w:rsidR="009874FB">
              <w:rPr>
                <w:rFonts w:ascii="Times New Roman" w:eastAsia="Times New Roman" w:hAnsi="Times New Roman" w:cs="Times New Roman"/>
                <w:sz w:val="24"/>
              </w:rPr>
              <w:t xml:space="preserve"> for column a and computed as the simple sum of amounts in the above rows 1 to 4 for the columns b, c and d</w:t>
            </w:r>
            <w:r w:rsidR="4FD6A758" w:rsidRPr="001F1865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AA4A0F" w:rsidRPr="001F1865" w14:paraId="56185555" w14:textId="77777777" w:rsidTr="00DB0A49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AC50AB2" w14:textId="77777777" w:rsidR="00AA4A0F" w:rsidRPr="001F1865" w:rsidRDefault="00AA4A0F" w:rsidP="00DE090B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Column letter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4381206" w14:textId="77777777" w:rsidR="00AA4A0F" w:rsidRPr="00DB0A49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  <w:lang w:eastAsia="ja-JP"/>
              </w:rPr>
            </w:pPr>
            <w:r w:rsidRPr="00DB0A49">
              <w:rPr>
                <w:rFonts w:ascii="Times New Roman" w:hAnsi="Times New Roman" w:cs="Times New Roman"/>
                <w:b/>
                <w:sz w:val="24"/>
                <w:lang w:eastAsia="ja-JP"/>
              </w:rPr>
              <w:t>Explanation</w:t>
            </w:r>
          </w:p>
        </w:tc>
      </w:tr>
      <w:tr w:rsidR="00AA4A0F" w:rsidRPr="001F1865" w14:paraId="2E9CE451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E8E7FF5" w14:textId="77777777" w:rsidR="00AA4A0F" w:rsidRPr="001F1865" w:rsidRDefault="00AA4A0F" w:rsidP="00DE090B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BCFD14A" w14:textId="77777777" w:rsidR="00AA4A0F" w:rsidRPr="00FE3752" w:rsidRDefault="00AA4A0F" w:rsidP="00DE090B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FE3752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Outright products</w:t>
            </w:r>
          </w:p>
        </w:tc>
      </w:tr>
      <w:tr w:rsidR="00AA4A0F" w:rsidRPr="001F1865" w14:paraId="5A2CAA0E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FC87F" w14:textId="77777777" w:rsidR="00AA4A0F" w:rsidRPr="001F1865" w:rsidRDefault="00AA4A0F" w:rsidP="00DE090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F1865">
              <w:rPr>
                <w:rFonts w:ascii="Times New Roman" w:eastAsia="Times New Roman" w:hAnsi="Times New Roman" w:cs="Times New Roman"/>
                <w:sz w:val="24"/>
              </w:rPr>
              <w:t>a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B9E82" w14:textId="3E3EB933" w:rsidR="00AA4A0F" w:rsidRPr="00DB0A49" w:rsidRDefault="00AA4A0F" w:rsidP="00DE090B">
            <w:pPr>
              <w:rPr>
                <w:rFonts w:ascii="Times New Roman" w:eastAsia="Calibri" w:hAnsi="Times New Roman" w:cs="Times New Roman"/>
                <w:szCs w:val="22"/>
              </w:rPr>
            </w:pPr>
            <w:r w:rsidRPr="001F1865">
              <w:rPr>
                <w:rFonts w:ascii="Times New Roman" w:eastAsia="Times New Roman" w:hAnsi="Times New Roman" w:cs="Times New Roman"/>
                <w:sz w:val="24"/>
              </w:rPr>
              <w:t>Positions in products that are not optional and are not included in the approaches of the RTS for non-delta risk of options in the standardised market risk approach</w:t>
            </w:r>
            <w:r w:rsidRPr="00DB0A49">
              <w:rPr>
                <w:rFonts w:ascii="Times New Roman" w:eastAsia="Calibri" w:hAnsi="Times New Roman" w:cs="Times New Roman"/>
                <w:szCs w:val="22"/>
                <w:vertAlign w:val="superscript"/>
              </w:rPr>
              <w:footnoteReference w:id="3"/>
            </w:r>
            <w:r w:rsidR="00445013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AA4A0F" w:rsidRPr="001F1865" w14:paraId="198A0D0F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7E84CA33" w14:textId="77777777" w:rsidR="00AA4A0F" w:rsidRPr="001F1865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lang w:eastAsia="ja-JP"/>
              </w:rPr>
            </w:pPr>
          </w:p>
        </w:tc>
        <w:tc>
          <w:tcPr>
            <w:tcW w:w="7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74E150A" w14:textId="77777777" w:rsidR="00AA4A0F" w:rsidRPr="001F1865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  <w:lang w:eastAsia="ja-JP"/>
              </w:rPr>
            </w:pPr>
            <w:r w:rsidRPr="001F1865">
              <w:rPr>
                <w:rFonts w:ascii="Times New Roman" w:hAnsi="Times New Roman" w:cs="Times New Roman"/>
                <w:b/>
                <w:sz w:val="24"/>
                <w:lang w:eastAsia="ja-JP"/>
              </w:rPr>
              <w:t>Options</w:t>
            </w:r>
          </w:p>
        </w:tc>
      </w:tr>
      <w:tr w:rsidR="00AA4A0F" w:rsidRPr="001F1865" w14:paraId="4D311DFE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3A58E" w14:textId="77777777" w:rsidR="00AA4A0F" w:rsidRPr="001F1865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b/>
                <w:bCs/>
                <w:sz w:val="24"/>
                <w:lang w:eastAsia="ja-JP"/>
              </w:rPr>
            </w:pPr>
            <w:r w:rsidRPr="001F1865">
              <w:rPr>
                <w:rFonts w:ascii="Times New Roman" w:hAnsi="Times New Roman" w:cs="Times New Roman"/>
                <w:sz w:val="24"/>
                <w:lang w:eastAsia="ja-JP"/>
              </w:rPr>
              <w:t>b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31FC3" w14:textId="77777777" w:rsidR="00AA4A0F" w:rsidRPr="001F1865" w:rsidRDefault="00AA4A0F" w:rsidP="00DE090B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1F1865">
              <w:rPr>
                <w:rFonts w:ascii="Times New Roman" w:hAnsi="Times New Roman" w:cs="Times New Roman"/>
                <w:b/>
                <w:sz w:val="24"/>
              </w:rPr>
              <w:t>Simplified approach</w:t>
            </w:r>
          </w:p>
          <w:p w14:paraId="71365A3F" w14:textId="32ACEA9A" w:rsidR="00AA4A0F" w:rsidRPr="001F1865" w:rsidRDefault="00AA4A0F" w:rsidP="0BE40342">
            <w:pPr>
              <w:spacing w:after="240"/>
              <w:jc w:val="both"/>
              <w:rPr>
                <w:rFonts w:ascii="Times New Roman" w:hAnsi="Times New Roman" w:cs="Times New Roman"/>
                <w:b/>
                <w:bCs/>
                <w:sz w:val="24"/>
                <w:lang w:eastAsia="ja-JP"/>
              </w:rPr>
            </w:pPr>
            <w:r w:rsidRPr="001F1865">
              <w:rPr>
                <w:rFonts w:ascii="Times New Roman" w:hAnsi="Times New Roman" w:cs="Times New Roman"/>
                <w:sz w:val="24"/>
              </w:rPr>
              <w:t xml:space="preserve">Options or warrants </w:t>
            </w:r>
            <w:r w:rsidRPr="001F1865">
              <w:rPr>
                <w:rFonts w:ascii="Times New Roman" w:hAnsi="Times New Roman" w:cs="Times New Roman"/>
                <w:sz w:val="24"/>
                <w:lang w:eastAsia="ja-JP"/>
              </w:rPr>
              <w:t>as defined in Article 329 (3) of Chapter 2 of Title IV of Part Three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7E0935AF" w:rsidRPr="001F1865">
              <w:rPr>
                <w:rFonts w:ascii="Times New Roman" w:eastAsia="Times New Roman" w:hAnsi="Times New Roman" w:cs="Times New Roman"/>
                <w:sz w:val="24"/>
              </w:rPr>
              <w:t>Regulation</w:t>
            </w:r>
            <w:r w:rsidR="5A4E6B5C" w:rsidRPr="001F1865">
              <w:rPr>
                <w:rFonts w:ascii="Times New Roman" w:eastAsia="Times New Roman" w:hAnsi="Times New Roman" w:cs="Times New Roman"/>
                <w:sz w:val="24"/>
              </w:rPr>
              <w:t xml:space="preserve"> (EU) 575/2013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 xml:space="preserve"> for which institutions calculate the own funds requirements related to the </w:t>
            </w:r>
            <w:r w:rsidRPr="001F1865">
              <w:rPr>
                <w:rFonts w:ascii="Times New Roman" w:hAnsi="Times New Roman" w:cs="Times New Roman"/>
                <w:sz w:val="24"/>
              </w:rPr>
              <w:t xml:space="preserve">non-delta risk 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>using the simplified approach</w:t>
            </w:r>
            <w:r w:rsidRPr="00DB0A49">
              <w:rPr>
                <w:rStyle w:val="FootnoteReference"/>
                <w:rFonts w:ascii="Times New Roman" w:eastAsia="Times New Roman" w:hAnsi="Times New Roman" w:cs="Times New Roman"/>
              </w:rPr>
              <w:footnoteReference w:id="4"/>
            </w:r>
            <w:r w:rsidR="00445013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AA4A0F" w:rsidRPr="001F1865" w14:paraId="41891054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883E5" w14:textId="77777777" w:rsidR="00AA4A0F" w:rsidRPr="001F1865" w:rsidRDefault="00AA4A0F" w:rsidP="00DE090B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F1865">
              <w:rPr>
                <w:rFonts w:ascii="Times New Roman" w:hAnsi="Times New Roman" w:cs="Times New Roman"/>
                <w:sz w:val="24"/>
                <w:lang w:eastAsia="ja-JP"/>
              </w:rPr>
              <w:t>c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8D43E" w14:textId="77777777" w:rsidR="00AA4A0F" w:rsidRPr="001F1865" w:rsidRDefault="00AA4A0F" w:rsidP="00DE090B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1F1865">
              <w:rPr>
                <w:rFonts w:ascii="Times New Roman" w:hAnsi="Times New Roman" w:cs="Times New Roman"/>
                <w:b/>
                <w:sz w:val="24"/>
              </w:rPr>
              <w:t>Delta plus approach</w:t>
            </w:r>
          </w:p>
          <w:p w14:paraId="4982FF4D" w14:textId="11E24DA9" w:rsidR="00AA4A0F" w:rsidRPr="001F1865" w:rsidRDefault="00AA4A0F" w:rsidP="0BE40342">
            <w:pPr>
              <w:spacing w:after="240"/>
              <w:jc w:val="both"/>
              <w:rPr>
                <w:rFonts w:ascii="Times New Roman" w:hAnsi="Times New Roman" w:cs="Times New Roman"/>
                <w:b/>
                <w:bCs/>
                <w:sz w:val="24"/>
                <w:lang w:eastAsia="ja-JP"/>
              </w:rPr>
            </w:pPr>
            <w:r w:rsidRPr="001F1865">
              <w:rPr>
                <w:rFonts w:ascii="Times New Roman" w:hAnsi="Times New Roman" w:cs="Times New Roman"/>
                <w:sz w:val="24"/>
              </w:rPr>
              <w:t xml:space="preserve">Options or warrants </w:t>
            </w:r>
            <w:r w:rsidRPr="001F1865">
              <w:rPr>
                <w:rFonts w:ascii="Times New Roman" w:hAnsi="Times New Roman" w:cs="Times New Roman"/>
                <w:sz w:val="24"/>
                <w:lang w:eastAsia="ja-JP"/>
              </w:rPr>
              <w:t>in the trading book as defined in Article 329 (3) of Chapter 2 of Title IV of Part Three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FE3752">
              <w:rPr>
                <w:rFonts w:ascii="Times New Roman" w:eastAsia="Times New Roman" w:hAnsi="Times New Roman" w:cs="Times New Roman"/>
                <w:sz w:val="24"/>
              </w:rPr>
              <w:t xml:space="preserve">of </w:t>
            </w:r>
            <w:r w:rsidR="76E999B5" w:rsidRPr="001F1865">
              <w:rPr>
                <w:rFonts w:ascii="Times New Roman" w:eastAsia="Times New Roman" w:hAnsi="Times New Roman" w:cs="Times New Roman"/>
                <w:sz w:val="24"/>
              </w:rPr>
              <w:t>Regulation</w:t>
            </w:r>
            <w:r w:rsidR="5A4E6B5C" w:rsidRPr="001F1865">
              <w:rPr>
                <w:rFonts w:ascii="Times New Roman" w:eastAsia="Times New Roman" w:hAnsi="Times New Roman" w:cs="Times New Roman"/>
                <w:sz w:val="24"/>
              </w:rPr>
              <w:t xml:space="preserve"> (EU) 575/2013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 xml:space="preserve"> for which institutions calculate the own funds requirements related to the </w:t>
            </w:r>
            <w:r w:rsidRPr="001F1865">
              <w:rPr>
                <w:rFonts w:ascii="Times New Roman" w:hAnsi="Times New Roman" w:cs="Times New Roman"/>
                <w:sz w:val="24"/>
              </w:rPr>
              <w:t xml:space="preserve">non-delta risk 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>using the delta plus approach</w:t>
            </w:r>
            <w:r w:rsidRPr="00DB0A49">
              <w:rPr>
                <w:rStyle w:val="FootnoteReference"/>
                <w:rFonts w:ascii="Times New Roman" w:eastAsia="Times New Roman" w:hAnsi="Times New Roman" w:cs="Times New Roman"/>
              </w:rPr>
              <w:footnoteReference w:id="5"/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AA4A0F" w:rsidRPr="001F1865" w14:paraId="4EBB665F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43ACF" w14:textId="77777777" w:rsidR="00AA4A0F" w:rsidRPr="001F1865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b/>
                <w:bCs/>
                <w:sz w:val="24"/>
                <w:lang w:eastAsia="ja-JP"/>
              </w:rPr>
            </w:pPr>
            <w:r w:rsidRPr="001F1865">
              <w:rPr>
                <w:rFonts w:ascii="Times New Roman" w:hAnsi="Times New Roman" w:cs="Times New Roman"/>
                <w:sz w:val="24"/>
                <w:lang w:eastAsia="ja-JP"/>
              </w:rPr>
              <w:t>d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0FE4D" w14:textId="77777777" w:rsidR="00AA4A0F" w:rsidRPr="001F1865" w:rsidRDefault="00AA4A0F" w:rsidP="00DE090B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1F1865">
              <w:rPr>
                <w:rFonts w:ascii="Times New Roman" w:hAnsi="Times New Roman" w:cs="Times New Roman"/>
                <w:b/>
                <w:sz w:val="24"/>
              </w:rPr>
              <w:t>Scenario approach</w:t>
            </w:r>
          </w:p>
          <w:p w14:paraId="2B78A76A" w14:textId="583FBB66" w:rsidR="00AA4A0F" w:rsidRPr="001F1865" w:rsidRDefault="00AA4A0F" w:rsidP="0BE40342">
            <w:pPr>
              <w:spacing w:after="240"/>
              <w:jc w:val="both"/>
              <w:rPr>
                <w:rFonts w:ascii="Times New Roman" w:hAnsi="Times New Roman" w:cs="Times New Roman"/>
                <w:b/>
                <w:bCs/>
                <w:sz w:val="24"/>
                <w:lang w:eastAsia="ja-JP"/>
              </w:rPr>
            </w:pPr>
            <w:r w:rsidRPr="001F1865">
              <w:rPr>
                <w:rFonts w:ascii="Times New Roman" w:hAnsi="Times New Roman" w:cs="Times New Roman"/>
                <w:sz w:val="24"/>
              </w:rPr>
              <w:t xml:space="preserve">Options or warrants </w:t>
            </w:r>
            <w:r w:rsidRPr="001F1865">
              <w:rPr>
                <w:rFonts w:ascii="Times New Roman" w:hAnsi="Times New Roman" w:cs="Times New Roman"/>
                <w:sz w:val="24"/>
                <w:lang w:eastAsia="ja-JP"/>
              </w:rPr>
              <w:t>in the trading book as defined in Article 329 (3) of Chapter 2 of Title IV of Part Three</w:t>
            </w:r>
            <w:r w:rsidR="00FE3752">
              <w:rPr>
                <w:rFonts w:ascii="Times New Roman" w:hAnsi="Times New Roman" w:cs="Times New Roman"/>
                <w:sz w:val="24"/>
                <w:lang w:eastAsia="ja-JP"/>
              </w:rPr>
              <w:t xml:space="preserve"> of </w:t>
            </w:r>
            <w:r w:rsidR="00FE3752" w:rsidRPr="001F1865">
              <w:rPr>
                <w:rFonts w:ascii="Times New Roman" w:eastAsia="Times New Roman" w:hAnsi="Times New Roman" w:cs="Times New Roman"/>
                <w:sz w:val="24"/>
              </w:rPr>
              <w:t xml:space="preserve">Regulation (EU) 575/2013 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 xml:space="preserve"> for which institutions calculate the own funds requirements related to the </w:t>
            </w:r>
            <w:r w:rsidRPr="001F1865">
              <w:rPr>
                <w:rFonts w:ascii="Times New Roman" w:hAnsi="Times New Roman" w:cs="Times New Roman"/>
                <w:sz w:val="24"/>
              </w:rPr>
              <w:t xml:space="preserve">non-delta risk </w:t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>using the scenario approach</w:t>
            </w:r>
            <w:r w:rsidRPr="00DB0A49">
              <w:rPr>
                <w:rStyle w:val="FootnoteReference"/>
                <w:rFonts w:ascii="Times New Roman" w:eastAsia="Times New Roman" w:hAnsi="Times New Roman" w:cs="Times New Roman"/>
              </w:rPr>
              <w:footnoteReference w:id="6"/>
            </w:r>
            <w:r w:rsidRPr="001F1865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</w:tbl>
    <w:p w14:paraId="79592B57" w14:textId="77777777" w:rsidR="00931C32" w:rsidRPr="001F1865" w:rsidRDefault="00931C32" w:rsidP="00931C32">
      <w:pPr>
        <w:pStyle w:val="Titlelevel2"/>
        <w:spacing w:before="0"/>
        <w:rPr>
          <w:rFonts w:ascii="Times New Roman" w:hAnsi="Times New Roman" w:cs="Times New Roman"/>
          <w:b/>
          <w:color w:val="auto"/>
          <w:sz w:val="24"/>
          <w:lang w:val="en-GB"/>
        </w:rPr>
      </w:pPr>
    </w:p>
    <w:sectPr w:rsidR="00931C32" w:rsidRPr="001F1865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1A622" w14:textId="77777777" w:rsidR="00F2772C" w:rsidRDefault="00F2772C" w:rsidP="00931C32">
      <w:r>
        <w:separator/>
      </w:r>
    </w:p>
  </w:endnote>
  <w:endnote w:type="continuationSeparator" w:id="0">
    <w:p w14:paraId="5609A27D" w14:textId="77777777" w:rsidR="00F2772C" w:rsidRDefault="00F2772C" w:rsidP="00931C32">
      <w:r>
        <w:continuationSeparator/>
      </w:r>
    </w:p>
  </w:endnote>
  <w:endnote w:type="continuationNotice" w:id="1">
    <w:p w14:paraId="2EEBBAF9" w14:textId="77777777" w:rsidR="00677CBD" w:rsidRDefault="00677C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Times New Roman&quot;,serif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29608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B6A1F2" w14:textId="77777777" w:rsidR="001E400B" w:rsidRDefault="001E400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3585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2946DB82" w14:textId="77777777" w:rsidR="001E400B" w:rsidRDefault="001E40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7FBD0" w14:textId="77777777" w:rsidR="00F2772C" w:rsidRDefault="00F2772C" w:rsidP="00931C32">
      <w:r>
        <w:separator/>
      </w:r>
    </w:p>
  </w:footnote>
  <w:footnote w:type="continuationSeparator" w:id="0">
    <w:p w14:paraId="012E5BFC" w14:textId="77777777" w:rsidR="00F2772C" w:rsidRDefault="00F2772C" w:rsidP="00931C32">
      <w:r>
        <w:continuationSeparator/>
      </w:r>
    </w:p>
  </w:footnote>
  <w:footnote w:type="continuationNotice" w:id="1">
    <w:p w14:paraId="05A445BA" w14:textId="77777777" w:rsidR="00677CBD" w:rsidRDefault="00677CBD"/>
  </w:footnote>
  <w:footnote w:id="2">
    <w:p w14:paraId="62EBF3C5" w14:textId="4E8F5FFE" w:rsidR="00931C32" w:rsidRPr="00222AAB" w:rsidRDefault="00931C32" w:rsidP="007F0B68">
      <w:pPr>
        <w:pStyle w:val="FootnoteText"/>
      </w:pPr>
      <w:r w:rsidRPr="00346640">
        <w:rPr>
          <w:rStyle w:val="FootnoteReference"/>
          <w:rFonts w:cstheme="minorHAnsi"/>
        </w:rPr>
        <w:footnoteRef/>
      </w:r>
      <w:r w:rsidRPr="00222AAB">
        <w:t xml:space="preserve"> </w:t>
      </w:r>
      <w:r>
        <w:tab/>
      </w:r>
      <w:r w:rsidR="00D920BD">
        <w:rPr>
          <w:lang w:eastAsia="en-GB"/>
        </w:rPr>
        <w:t>Regulation (EU) No 575/2013 of the European Parliament and of the Council of 26 June 2013 on prudential requirements for credit institutions and amending Regulation (EU) No 648/2012, as amended by Regulation (EU) No 2024/1623</w:t>
      </w:r>
      <w:r w:rsidR="002316A7">
        <w:rPr>
          <w:lang w:eastAsia="en-GB"/>
        </w:rPr>
        <w:t xml:space="preserve"> </w:t>
      </w:r>
      <w:r w:rsidR="002316A7">
        <w:rPr>
          <w:color w:val="444444"/>
          <w:lang w:eastAsia="en-GB"/>
        </w:rPr>
        <w:t>(</w:t>
      </w:r>
      <w:hyperlink r:id="rId1" w:history="1">
        <w:r w:rsidR="002316A7">
          <w:rPr>
            <w:rStyle w:val="Hyperlink"/>
            <w:color w:val="800080"/>
            <w:lang w:eastAsia="en-GB"/>
          </w:rPr>
          <w:t>OJ L 176, 27.6.2013, p. 1</w:t>
        </w:r>
      </w:hyperlink>
      <w:r w:rsidR="002316A7">
        <w:rPr>
          <w:color w:val="800080"/>
          <w:u w:val="single"/>
          <w:lang w:eastAsia="en-GB"/>
        </w:rPr>
        <w:t xml:space="preserve">; </w:t>
      </w:r>
      <w:hyperlink r:id="rId2" w:history="1">
        <w:r w:rsidR="002316A7">
          <w:rPr>
            <w:rStyle w:val="Hyperlink"/>
          </w:rPr>
          <w:t>Regulation - EU - 2024/1623 - EN - EUR-Lex (europa.eu)</w:t>
        </w:r>
      </w:hyperlink>
      <w:r w:rsidR="002316A7">
        <w:rPr>
          <w:color w:val="444444"/>
          <w:lang w:eastAsia="en-GB"/>
        </w:rPr>
        <w:t>)</w:t>
      </w:r>
      <w:r w:rsidR="002316A7">
        <w:rPr>
          <w:lang w:eastAsia="en-GB"/>
        </w:rPr>
        <w:t>.</w:t>
      </w:r>
    </w:p>
  </w:footnote>
  <w:footnote w:id="3">
    <w:p w14:paraId="6651B5AC" w14:textId="77777777" w:rsidR="00AA4A0F" w:rsidRPr="008158FF" w:rsidRDefault="00AA4A0F" w:rsidP="00AA4A0F">
      <w:pPr>
        <w:pStyle w:val="FootnoteText"/>
      </w:pPr>
      <w:r>
        <w:footnoteRef/>
      </w:r>
      <w:r>
        <w:t xml:space="preserve"> </w:t>
      </w:r>
      <w:r>
        <w:tab/>
      </w:r>
      <w:r w:rsidRPr="00715C8B">
        <w:t>As defined in COMMISSION DELEGATED REGULATION (EU) No 528/2014 of 12 March 2014 supplementing Regulation (EU) No 575/2013 of the European Parliament and of the Council with regard to regulatory technical standards for non-delta risk of options in the standardised market risk approach (OJ L 148, 20.5.2014, p. 29).</w:t>
      </w:r>
    </w:p>
  </w:footnote>
  <w:footnote w:id="4">
    <w:p w14:paraId="67B37F98" w14:textId="77777777" w:rsidR="00AA4A0F" w:rsidRPr="00222AAB" w:rsidRDefault="00AA4A0F" w:rsidP="00AA4A0F">
      <w:pPr>
        <w:pStyle w:val="FootnoteText"/>
      </w:pPr>
      <w:r w:rsidRPr="00346640">
        <w:rPr>
          <w:rStyle w:val="FootnoteReference"/>
          <w:rFonts w:cstheme="minorHAnsi"/>
        </w:rPr>
        <w:footnoteRef/>
      </w:r>
      <w:r w:rsidRPr="00222AAB">
        <w:t xml:space="preserve"> </w:t>
      </w:r>
      <w:r>
        <w:tab/>
      </w:r>
      <w:r w:rsidRPr="00222AAB">
        <w:t>As defined in COMMISSION DELEGATED REGULATION (EU) No 528/2014 of 12 March 2014 supplementing Regulation (EU) No 575/2013 of the European Parliament and of the Council with regard to regulatory technical standards for non-delta risk of options in the standardised market risk approach (OJ L 148, 20.5.2014, p. 29).</w:t>
      </w:r>
    </w:p>
  </w:footnote>
  <w:footnote w:id="5">
    <w:p w14:paraId="6C32CA93" w14:textId="77777777" w:rsidR="00AA4A0F" w:rsidRPr="00222AAB" w:rsidRDefault="00AA4A0F" w:rsidP="00AA4A0F">
      <w:pPr>
        <w:pStyle w:val="FootnoteText"/>
      </w:pPr>
      <w:r w:rsidRPr="00346640">
        <w:rPr>
          <w:rStyle w:val="FootnoteReference"/>
          <w:rFonts w:cstheme="minorHAnsi"/>
        </w:rPr>
        <w:footnoteRef/>
      </w:r>
      <w:r w:rsidRPr="00222AAB">
        <w:t xml:space="preserve"> </w:t>
      </w:r>
      <w:r>
        <w:tab/>
      </w:r>
      <w:r w:rsidRPr="00222AAB">
        <w:t>As defined in COMMISSION DELEGATED REGULATION (EU) No 528/2014 of 12 March 2014 supplementing Regulation (EU) No 575/2013 of the European Parliament and of the Council with regard to regulatory technical standards for non-delta risk of options in the standardised market risk approach (OJ L 148, 20.5.2014, p. 29).</w:t>
      </w:r>
    </w:p>
  </w:footnote>
  <w:footnote w:id="6">
    <w:p w14:paraId="739259DE" w14:textId="77777777" w:rsidR="00AA4A0F" w:rsidRPr="00222AAB" w:rsidRDefault="00AA4A0F" w:rsidP="00AA4A0F">
      <w:pPr>
        <w:pStyle w:val="FootnoteText"/>
      </w:pPr>
      <w:r w:rsidRPr="00346640">
        <w:rPr>
          <w:rStyle w:val="FootnoteReference"/>
          <w:rFonts w:cstheme="minorHAnsi"/>
        </w:rPr>
        <w:footnoteRef/>
      </w:r>
      <w:r w:rsidRPr="00222AAB">
        <w:t xml:space="preserve"> </w:t>
      </w:r>
      <w:r>
        <w:tab/>
      </w:r>
      <w:r w:rsidRPr="00222AAB">
        <w:t>As defined in COMMISSION DELEGATED REGULATION (EU) No 528/2014 of 12 March 2014 supplementing Regulation (EU) No 575/2013 of the European Parliament and of the Council with regard to regulatory technical standards for non-delta risk of options in the standardised market risk approach (OJ L 148, 20.5.2014, p. 29).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BEF00" w14:textId="2FF13506" w:rsidR="001E400B" w:rsidRDefault="003711D5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538BE4FF" wp14:editId="37B8D3A0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9525"/>
              <wp:wrapNone/>
              <wp:docPr id="2" name="Text Box 2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56FCDE" w14:textId="162F82C7" w:rsidR="003711D5" w:rsidRPr="00DB0A49" w:rsidRDefault="003711D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 w:rsidRPr="00DB0A49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538BE4F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EBA Regular Use" style="position:absolute;margin-left:0;margin-top:0;width:34.95pt;height:34.95pt;z-index:251658241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1A56FCDE" w14:textId="162F82C7" w:rsidR="003711D5" w:rsidRPr="00DB0A49" w:rsidRDefault="003711D5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 w:rsidRPr="00DB0A49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9C43A" w14:textId="273E788A" w:rsidR="001E400B" w:rsidRDefault="003711D5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77F8E82E" wp14:editId="22A30FA4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9525"/>
              <wp:wrapNone/>
              <wp:docPr id="3" name="Text Box 3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E81BB6A" w14:textId="11FFB457" w:rsidR="003711D5" w:rsidRPr="00DB0A49" w:rsidRDefault="003711D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 w:rsidRPr="00DB0A49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77F8E82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EBA Regular Use" style="position:absolute;margin-left:0;margin-top:0;width:34.95pt;height:34.95pt;z-index:251658242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3E81BB6A" w14:textId="11FFB457" w:rsidR="003711D5" w:rsidRPr="00DB0A49" w:rsidRDefault="003711D5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 w:rsidRPr="00DB0A49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39945" w14:textId="5EFD03C3" w:rsidR="001E400B" w:rsidRDefault="003711D5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B864388" wp14:editId="43407DD0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9525"/>
              <wp:wrapNone/>
              <wp:docPr id="1" name="Text Box 1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9E11F3" w14:textId="6F23960E" w:rsidR="003711D5" w:rsidRPr="00DB0A49" w:rsidRDefault="003711D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 w:rsidRPr="00DB0A49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2B86438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EBA Regular Use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749E11F3" w14:textId="6F23960E" w:rsidR="003711D5" w:rsidRPr="00DB0A49" w:rsidRDefault="003711D5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 w:rsidRPr="00DB0A49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75914"/>
    <w:multiLevelType w:val="hybridMultilevel"/>
    <w:tmpl w:val="9A60C088"/>
    <w:lvl w:ilvl="0" w:tplc="858CAB9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8B3313"/>
    <w:multiLevelType w:val="hybridMultilevel"/>
    <w:tmpl w:val="3FB20E04"/>
    <w:lvl w:ilvl="0" w:tplc="0804D116">
      <w:start w:val="1"/>
      <w:numFmt w:val="decimal"/>
      <w:lvlText w:val="%1."/>
      <w:lvlJc w:val="left"/>
      <w:pPr>
        <w:ind w:left="1070" w:hanging="360"/>
      </w:pPr>
      <w:rPr>
        <w:b w:val="0"/>
        <w:color w:val="auto"/>
        <w:sz w:val="22"/>
        <w:szCs w:val="22"/>
        <w:lang w:val="en-GB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44831"/>
    <w:multiLevelType w:val="hybridMultilevel"/>
    <w:tmpl w:val="7B5E3790"/>
    <w:lvl w:ilvl="0" w:tplc="A4E42E54">
      <w:start w:val="1"/>
      <w:numFmt w:val="decimal"/>
      <w:lvlText w:val="%1."/>
      <w:lvlJc w:val="left"/>
      <w:pPr>
        <w:ind w:left="1070" w:hanging="360"/>
      </w:pPr>
      <w:rPr>
        <w:b w:val="0"/>
        <w:color w:val="auto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C464D"/>
    <w:multiLevelType w:val="hybridMultilevel"/>
    <w:tmpl w:val="7E3EA194"/>
    <w:lvl w:ilvl="0" w:tplc="C1D6BA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7D5598"/>
    <w:multiLevelType w:val="hybridMultilevel"/>
    <w:tmpl w:val="32BCBD6C"/>
    <w:lvl w:ilvl="0" w:tplc="6F103DC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52ECD9"/>
    <w:multiLevelType w:val="hybridMultilevel"/>
    <w:tmpl w:val="FFFFFFFF"/>
    <w:lvl w:ilvl="0" w:tplc="E932B00C">
      <w:start w:val="1"/>
      <w:numFmt w:val="decimal"/>
      <w:lvlText w:val="%1."/>
      <w:lvlJc w:val="left"/>
      <w:pPr>
        <w:ind w:left="720" w:hanging="360"/>
      </w:pPr>
    </w:lvl>
    <w:lvl w:ilvl="1" w:tplc="48C88220">
      <w:start w:val="1"/>
      <w:numFmt w:val="lowerLetter"/>
      <w:lvlText w:val="%2."/>
      <w:lvlJc w:val="left"/>
      <w:pPr>
        <w:ind w:left="1440" w:hanging="360"/>
      </w:pPr>
    </w:lvl>
    <w:lvl w:ilvl="2" w:tplc="7E166E12">
      <w:start w:val="1"/>
      <w:numFmt w:val="lowerRoman"/>
      <w:lvlText w:val="%3."/>
      <w:lvlJc w:val="right"/>
      <w:pPr>
        <w:ind w:left="2160" w:hanging="180"/>
      </w:pPr>
    </w:lvl>
    <w:lvl w:ilvl="3" w:tplc="10D641B0">
      <w:start w:val="1"/>
      <w:numFmt w:val="decimal"/>
      <w:lvlText w:val="%4."/>
      <w:lvlJc w:val="left"/>
      <w:pPr>
        <w:ind w:left="2880" w:hanging="360"/>
      </w:pPr>
    </w:lvl>
    <w:lvl w:ilvl="4" w:tplc="51DA6A34">
      <w:start w:val="1"/>
      <w:numFmt w:val="lowerLetter"/>
      <w:lvlText w:val="%5."/>
      <w:lvlJc w:val="left"/>
      <w:pPr>
        <w:ind w:left="3600" w:hanging="360"/>
      </w:pPr>
    </w:lvl>
    <w:lvl w:ilvl="5" w:tplc="B596B25E">
      <w:start w:val="1"/>
      <w:numFmt w:val="lowerRoman"/>
      <w:lvlText w:val="%6."/>
      <w:lvlJc w:val="right"/>
      <w:pPr>
        <w:ind w:left="4320" w:hanging="180"/>
      </w:pPr>
    </w:lvl>
    <w:lvl w:ilvl="6" w:tplc="5E96F650">
      <w:start w:val="1"/>
      <w:numFmt w:val="decimal"/>
      <w:lvlText w:val="%7."/>
      <w:lvlJc w:val="left"/>
      <w:pPr>
        <w:ind w:left="5040" w:hanging="360"/>
      </w:pPr>
    </w:lvl>
    <w:lvl w:ilvl="7" w:tplc="16062A40">
      <w:start w:val="1"/>
      <w:numFmt w:val="lowerLetter"/>
      <w:lvlText w:val="%8."/>
      <w:lvlJc w:val="left"/>
      <w:pPr>
        <w:ind w:left="5760" w:hanging="360"/>
      </w:pPr>
    </w:lvl>
    <w:lvl w:ilvl="8" w:tplc="20CE046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9FB826"/>
    <w:multiLevelType w:val="hybridMultilevel"/>
    <w:tmpl w:val="FFFFFFFF"/>
    <w:lvl w:ilvl="0" w:tplc="916C4F76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2CE8F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2679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C034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1484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3E2C4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72EE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384C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A0FE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C159B3"/>
    <w:multiLevelType w:val="hybridMultilevel"/>
    <w:tmpl w:val="01102932"/>
    <w:lvl w:ilvl="0" w:tplc="674E8D52">
      <w:start w:val="6"/>
      <w:numFmt w:val="decimal"/>
      <w:lvlText w:val="%1."/>
      <w:lvlJc w:val="left"/>
      <w:pPr>
        <w:ind w:left="1070" w:hanging="360"/>
      </w:pPr>
      <w:rPr>
        <w:rFonts w:hint="default"/>
        <w:b w:val="0"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5270715">
    <w:abstractNumId w:val="6"/>
  </w:num>
  <w:num w:numId="2" w16cid:durableId="1371295629">
    <w:abstractNumId w:val="5"/>
  </w:num>
  <w:num w:numId="3" w16cid:durableId="1245528726">
    <w:abstractNumId w:val="3"/>
  </w:num>
  <w:num w:numId="4" w16cid:durableId="164059399">
    <w:abstractNumId w:val="2"/>
  </w:num>
  <w:num w:numId="5" w16cid:durableId="1786731752">
    <w:abstractNumId w:val="7"/>
  </w:num>
  <w:num w:numId="6" w16cid:durableId="1612781493">
    <w:abstractNumId w:val="0"/>
  </w:num>
  <w:num w:numId="7" w16cid:durableId="1525171532">
    <w:abstractNumId w:val="4"/>
  </w:num>
  <w:num w:numId="8" w16cid:durableId="6747656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ctiveWritingStyle w:appName="MSWord" w:lang="en-GB" w:vendorID="64" w:dllVersion="0" w:nlCheck="1" w:checkStyle="0"/>
  <w:activeWritingStyle w:appName="MSWord" w:lang="en-US" w:vendorID="64" w:dllVersion="0" w:nlCheck="1" w:checkStyle="0"/>
  <w:defaultTabStop w:val="720"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EC2249"/>
    <w:rsid w:val="000336E7"/>
    <w:rsid w:val="0003639D"/>
    <w:rsid w:val="000370C1"/>
    <w:rsid w:val="00090EA4"/>
    <w:rsid w:val="000B08B4"/>
    <w:rsid w:val="000C11E2"/>
    <w:rsid w:val="000C7025"/>
    <w:rsid w:val="000D77D3"/>
    <w:rsid w:val="001018F4"/>
    <w:rsid w:val="001057C3"/>
    <w:rsid w:val="0011346D"/>
    <w:rsid w:val="00160583"/>
    <w:rsid w:val="001609D9"/>
    <w:rsid w:val="001737C7"/>
    <w:rsid w:val="00180294"/>
    <w:rsid w:val="001941CB"/>
    <w:rsid w:val="001B4290"/>
    <w:rsid w:val="001B6FDE"/>
    <w:rsid w:val="001D2F69"/>
    <w:rsid w:val="001E400B"/>
    <w:rsid w:val="001E5FF3"/>
    <w:rsid w:val="001F1865"/>
    <w:rsid w:val="00200AE2"/>
    <w:rsid w:val="00214362"/>
    <w:rsid w:val="002316A7"/>
    <w:rsid w:val="00234F41"/>
    <w:rsid w:val="00243650"/>
    <w:rsid w:val="00257A70"/>
    <w:rsid w:val="00260316"/>
    <w:rsid w:val="00264C63"/>
    <w:rsid w:val="00265D4A"/>
    <w:rsid w:val="00266BB6"/>
    <w:rsid w:val="002808D9"/>
    <w:rsid w:val="0028138E"/>
    <w:rsid w:val="002A353C"/>
    <w:rsid w:val="002C07D9"/>
    <w:rsid w:val="002C1404"/>
    <w:rsid w:val="002C44FE"/>
    <w:rsid w:val="002C5234"/>
    <w:rsid w:val="002F3022"/>
    <w:rsid w:val="002F7116"/>
    <w:rsid w:val="00313F1F"/>
    <w:rsid w:val="00347F3B"/>
    <w:rsid w:val="00350C8C"/>
    <w:rsid w:val="003711D5"/>
    <w:rsid w:val="003B4210"/>
    <w:rsid w:val="003B45C4"/>
    <w:rsid w:val="003C13EE"/>
    <w:rsid w:val="003E7DFC"/>
    <w:rsid w:val="003F26DE"/>
    <w:rsid w:val="00433034"/>
    <w:rsid w:val="0043C992"/>
    <w:rsid w:val="00445013"/>
    <w:rsid w:val="004832DE"/>
    <w:rsid w:val="00487226"/>
    <w:rsid w:val="00487DDA"/>
    <w:rsid w:val="00498A5B"/>
    <w:rsid w:val="0049D48D"/>
    <w:rsid w:val="004C112C"/>
    <w:rsid w:val="004D0D9E"/>
    <w:rsid w:val="00522E9A"/>
    <w:rsid w:val="00537B45"/>
    <w:rsid w:val="00572E3E"/>
    <w:rsid w:val="005938AD"/>
    <w:rsid w:val="005B429A"/>
    <w:rsid w:val="005C6FC8"/>
    <w:rsid w:val="005E135A"/>
    <w:rsid w:val="005E6E16"/>
    <w:rsid w:val="0060218B"/>
    <w:rsid w:val="00605F82"/>
    <w:rsid w:val="00621E9C"/>
    <w:rsid w:val="0065560D"/>
    <w:rsid w:val="00671C85"/>
    <w:rsid w:val="0067349D"/>
    <w:rsid w:val="00677CBD"/>
    <w:rsid w:val="0068248E"/>
    <w:rsid w:val="006852CB"/>
    <w:rsid w:val="006A5A7A"/>
    <w:rsid w:val="006B62CF"/>
    <w:rsid w:val="006BDE35"/>
    <w:rsid w:val="006D7761"/>
    <w:rsid w:val="006E3585"/>
    <w:rsid w:val="006E73FE"/>
    <w:rsid w:val="00701D8F"/>
    <w:rsid w:val="00714AE5"/>
    <w:rsid w:val="007336D9"/>
    <w:rsid w:val="007541E2"/>
    <w:rsid w:val="0079214C"/>
    <w:rsid w:val="00795618"/>
    <w:rsid w:val="007A4465"/>
    <w:rsid w:val="007D19BD"/>
    <w:rsid w:val="007D59E2"/>
    <w:rsid w:val="007E00FD"/>
    <w:rsid w:val="007E7D7A"/>
    <w:rsid w:val="007F0B68"/>
    <w:rsid w:val="007F14DD"/>
    <w:rsid w:val="007F2DC3"/>
    <w:rsid w:val="008158FF"/>
    <w:rsid w:val="00824BCF"/>
    <w:rsid w:val="00825C6F"/>
    <w:rsid w:val="00827740"/>
    <w:rsid w:val="00857EB9"/>
    <w:rsid w:val="00877F9B"/>
    <w:rsid w:val="008A05A4"/>
    <w:rsid w:val="008D03CB"/>
    <w:rsid w:val="009063C1"/>
    <w:rsid w:val="00911AB2"/>
    <w:rsid w:val="00931C32"/>
    <w:rsid w:val="00974577"/>
    <w:rsid w:val="0098272B"/>
    <w:rsid w:val="009874FB"/>
    <w:rsid w:val="009A6C30"/>
    <w:rsid w:val="00A50483"/>
    <w:rsid w:val="00A57E44"/>
    <w:rsid w:val="00A66CC7"/>
    <w:rsid w:val="00A71B45"/>
    <w:rsid w:val="00A75779"/>
    <w:rsid w:val="00A857E0"/>
    <w:rsid w:val="00A87CCE"/>
    <w:rsid w:val="00A93BC7"/>
    <w:rsid w:val="00A94820"/>
    <w:rsid w:val="00AA44B0"/>
    <w:rsid w:val="00AA4A0F"/>
    <w:rsid w:val="00AA772E"/>
    <w:rsid w:val="00AB6AC8"/>
    <w:rsid w:val="00AD6592"/>
    <w:rsid w:val="00AF5A1F"/>
    <w:rsid w:val="00B02BFD"/>
    <w:rsid w:val="00B17E7B"/>
    <w:rsid w:val="00B335DB"/>
    <w:rsid w:val="00B3658A"/>
    <w:rsid w:val="00B55C66"/>
    <w:rsid w:val="00B6384D"/>
    <w:rsid w:val="00B83EB1"/>
    <w:rsid w:val="00B86E1A"/>
    <w:rsid w:val="00B9598A"/>
    <w:rsid w:val="00BA0BDC"/>
    <w:rsid w:val="00BA2AA9"/>
    <w:rsid w:val="00BD6C00"/>
    <w:rsid w:val="00BE4793"/>
    <w:rsid w:val="00BE603F"/>
    <w:rsid w:val="00C06844"/>
    <w:rsid w:val="00C17F4F"/>
    <w:rsid w:val="00C213B7"/>
    <w:rsid w:val="00C225C5"/>
    <w:rsid w:val="00C3247D"/>
    <w:rsid w:val="00C45A99"/>
    <w:rsid w:val="00C53337"/>
    <w:rsid w:val="00C622B1"/>
    <w:rsid w:val="00C802F7"/>
    <w:rsid w:val="00C82CB4"/>
    <w:rsid w:val="00C84951"/>
    <w:rsid w:val="00CA0B40"/>
    <w:rsid w:val="00CD55C8"/>
    <w:rsid w:val="00CF112B"/>
    <w:rsid w:val="00CF17F8"/>
    <w:rsid w:val="00D0172B"/>
    <w:rsid w:val="00D45AA4"/>
    <w:rsid w:val="00D6625B"/>
    <w:rsid w:val="00D708CB"/>
    <w:rsid w:val="00D9145B"/>
    <w:rsid w:val="00D920BD"/>
    <w:rsid w:val="00DB0A49"/>
    <w:rsid w:val="00DE090B"/>
    <w:rsid w:val="00DE4020"/>
    <w:rsid w:val="00DE5B78"/>
    <w:rsid w:val="00DE72D6"/>
    <w:rsid w:val="00DF6C74"/>
    <w:rsid w:val="00DF7AF6"/>
    <w:rsid w:val="00E077AE"/>
    <w:rsid w:val="00E21B21"/>
    <w:rsid w:val="00E31B3A"/>
    <w:rsid w:val="00E33CFA"/>
    <w:rsid w:val="00E374FB"/>
    <w:rsid w:val="00E52C25"/>
    <w:rsid w:val="00E67450"/>
    <w:rsid w:val="00E7623F"/>
    <w:rsid w:val="00E8357D"/>
    <w:rsid w:val="00E9795A"/>
    <w:rsid w:val="00EA5911"/>
    <w:rsid w:val="00EB0DA2"/>
    <w:rsid w:val="00EC10EF"/>
    <w:rsid w:val="00EC2249"/>
    <w:rsid w:val="00F0799F"/>
    <w:rsid w:val="00F2772C"/>
    <w:rsid w:val="00F5701F"/>
    <w:rsid w:val="00F66685"/>
    <w:rsid w:val="00F806E6"/>
    <w:rsid w:val="00F80764"/>
    <w:rsid w:val="00F85A37"/>
    <w:rsid w:val="00F96CAA"/>
    <w:rsid w:val="00FB1DFD"/>
    <w:rsid w:val="00FC71A8"/>
    <w:rsid w:val="00FE3752"/>
    <w:rsid w:val="00FF5D12"/>
    <w:rsid w:val="013AE0EC"/>
    <w:rsid w:val="013E6BA9"/>
    <w:rsid w:val="01D445E4"/>
    <w:rsid w:val="01DD6D36"/>
    <w:rsid w:val="01DFB7EB"/>
    <w:rsid w:val="01E12F8D"/>
    <w:rsid w:val="01E55ABC"/>
    <w:rsid w:val="01E5A4EE"/>
    <w:rsid w:val="02494BE7"/>
    <w:rsid w:val="0266B904"/>
    <w:rsid w:val="02A66E37"/>
    <w:rsid w:val="02C4BBFE"/>
    <w:rsid w:val="02DA3C0A"/>
    <w:rsid w:val="02EBAE71"/>
    <w:rsid w:val="0309E604"/>
    <w:rsid w:val="035B3B5C"/>
    <w:rsid w:val="03793D97"/>
    <w:rsid w:val="03965670"/>
    <w:rsid w:val="03FE34DC"/>
    <w:rsid w:val="0406BB73"/>
    <w:rsid w:val="0419BD32"/>
    <w:rsid w:val="0424B465"/>
    <w:rsid w:val="0444CEFE"/>
    <w:rsid w:val="0465FC31"/>
    <w:rsid w:val="0478E1D1"/>
    <w:rsid w:val="04AAA319"/>
    <w:rsid w:val="04AF4EF7"/>
    <w:rsid w:val="04D070BB"/>
    <w:rsid w:val="04E38A17"/>
    <w:rsid w:val="04FA38B7"/>
    <w:rsid w:val="05EA5842"/>
    <w:rsid w:val="05F82D7D"/>
    <w:rsid w:val="060F6C17"/>
    <w:rsid w:val="0611DCCC"/>
    <w:rsid w:val="06503780"/>
    <w:rsid w:val="065E80CE"/>
    <w:rsid w:val="06A57226"/>
    <w:rsid w:val="06E4D96F"/>
    <w:rsid w:val="0715563F"/>
    <w:rsid w:val="07162E1C"/>
    <w:rsid w:val="0745D248"/>
    <w:rsid w:val="0761F1F8"/>
    <w:rsid w:val="0785B826"/>
    <w:rsid w:val="07922AD6"/>
    <w:rsid w:val="084CAEBA"/>
    <w:rsid w:val="08677D6F"/>
    <w:rsid w:val="0904027C"/>
    <w:rsid w:val="0922977E"/>
    <w:rsid w:val="09A3E23B"/>
    <w:rsid w:val="09FD1D50"/>
    <w:rsid w:val="0A14281A"/>
    <w:rsid w:val="0AC6FA36"/>
    <w:rsid w:val="0AEFC274"/>
    <w:rsid w:val="0B3FB29C"/>
    <w:rsid w:val="0BAA9654"/>
    <w:rsid w:val="0BB4E059"/>
    <w:rsid w:val="0BE40342"/>
    <w:rsid w:val="0BF1EAA1"/>
    <w:rsid w:val="0C680F01"/>
    <w:rsid w:val="0C75B420"/>
    <w:rsid w:val="0C79685A"/>
    <w:rsid w:val="0C7CF9AD"/>
    <w:rsid w:val="0CA68764"/>
    <w:rsid w:val="0CA716D1"/>
    <w:rsid w:val="0D04DF7A"/>
    <w:rsid w:val="0D275784"/>
    <w:rsid w:val="0D59D24B"/>
    <w:rsid w:val="0D7CF685"/>
    <w:rsid w:val="0DA56CFB"/>
    <w:rsid w:val="0E4C370B"/>
    <w:rsid w:val="0E7958B7"/>
    <w:rsid w:val="0E82FCE9"/>
    <w:rsid w:val="0E9810F5"/>
    <w:rsid w:val="0EBD9696"/>
    <w:rsid w:val="0F8C82AF"/>
    <w:rsid w:val="0FAD7BDF"/>
    <w:rsid w:val="0FDDE9F8"/>
    <w:rsid w:val="0FEA77C3"/>
    <w:rsid w:val="10332C22"/>
    <w:rsid w:val="1039BAA8"/>
    <w:rsid w:val="103CEB06"/>
    <w:rsid w:val="105966F7"/>
    <w:rsid w:val="105CD97D"/>
    <w:rsid w:val="105FAE25"/>
    <w:rsid w:val="1076596F"/>
    <w:rsid w:val="10BB7391"/>
    <w:rsid w:val="10DA8B40"/>
    <w:rsid w:val="110B538E"/>
    <w:rsid w:val="110BAC0F"/>
    <w:rsid w:val="11210FEE"/>
    <w:rsid w:val="118FDEEB"/>
    <w:rsid w:val="119A7C89"/>
    <w:rsid w:val="11A57A2D"/>
    <w:rsid w:val="11B9774E"/>
    <w:rsid w:val="11EB99D0"/>
    <w:rsid w:val="11FE2AC9"/>
    <w:rsid w:val="12599BAC"/>
    <w:rsid w:val="12679AD5"/>
    <w:rsid w:val="12894712"/>
    <w:rsid w:val="1290D411"/>
    <w:rsid w:val="12ADB0E7"/>
    <w:rsid w:val="12D9F196"/>
    <w:rsid w:val="1303875D"/>
    <w:rsid w:val="1383F52E"/>
    <w:rsid w:val="13974EE7"/>
    <w:rsid w:val="140F9DE1"/>
    <w:rsid w:val="14122C02"/>
    <w:rsid w:val="141290D0"/>
    <w:rsid w:val="142D883B"/>
    <w:rsid w:val="145659DD"/>
    <w:rsid w:val="145F55D9"/>
    <w:rsid w:val="14D2E2DE"/>
    <w:rsid w:val="14D86BD5"/>
    <w:rsid w:val="15402E32"/>
    <w:rsid w:val="15902733"/>
    <w:rsid w:val="1595FF36"/>
    <w:rsid w:val="159674C5"/>
    <w:rsid w:val="15A0274B"/>
    <w:rsid w:val="15ADFC63"/>
    <w:rsid w:val="15BABEB3"/>
    <w:rsid w:val="15BB7894"/>
    <w:rsid w:val="15D193E9"/>
    <w:rsid w:val="1616B043"/>
    <w:rsid w:val="163EE3A4"/>
    <w:rsid w:val="167ECDDF"/>
    <w:rsid w:val="16F55480"/>
    <w:rsid w:val="16F76100"/>
    <w:rsid w:val="17156926"/>
    <w:rsid w:val="173BDDB8"/>
    <w:rsid w:val="1796AF2F"/>
    <w:rsid w:val="1798CE14"/>
    <w:rsid w:val="17A74E34"/>
    <w:rsid w:val="181DB5E2"/>
    <w:rsid w:val="184D50B5"/>
    <w:rsid w:val="18548FBB"/>
    <w:rsid w:val="18F31956"/>
    <w:rsid w:val="1947A530"/>
    <w:rsid w:val="19A5E992"/>
    <w:rsid w:val="19A6EB79"/>
    <w:rsid w:val="19BD89BE"/>
    <w:rsid w:val="1A06906B"/>
    <w:rsid w:val="1A56DA11"/>
    <w:rsid w:val="1A816D86"/>
    <w:rsid w:val="1A8C08E2"/>
    <w:rsid w:val="1A9BC125"/>
    <w:rsid w:val="1AC2462E"/>
    <w:rsid w:val="1ADB6A38"/>
    <w:rsid w:val="1C553831"/>
    <w:rsid w:val="1CC88A43"/>
    <w:rsid w:val="1CD45785"/>
    <w:rsid w:val="1CDAB5BF"/>
    <w:rsid w:val="1D05CFA3"/>
    <w:rsid w:val="1D71DCB0"/>
    <w:rsid w:val="1D86C871"/>
    <w:rsid w:val="1DAFA5B4"/>
    <w:rsid w:val="1DF704CA"/>
    <w:rsid w:val="1E012910"/>
    <w:rsid w:val="1E1A8D65"/>
    <w:rsid w:val="1E2A4C2C"/>
    <w:rsid w:val="1E44D953"/>
    <w:rsid w:val="1E4B6898"/>
    <w:rsid w:val="1E689576"/>
    <w:rsid w:val="1E775069"/>
    <w:rsid w:val="1E7FF856"/>
    <w:rsid w:val="1EB702DA"/>
    <w:rsid w:val="1ED470E2"/>
    <w:rsid w:val="1F1BC5C4"/>
    <w:rsid w:val="1F256432"/>
    <w:rsid w:val="1F3BA536"/>
    <w:rsid w:val="1F64B9F6"/>
    <w:rsid w:val="1F7589B2"/>
    <w:rsid w:val="2048A19C"/>
    <w:rsid w:val="204B2419"/>
    <w:rsid w:val="2052D33B"/>
    <w:rsid w:val="20971A5B"/>
    <w:rsid w:val="20BAA939"/>
    <w:rsid w:val="2151C270"/>
    <w:rsid w:val="2177F6EC"/>
    <w:rsid w:val="22087F1A"/>
    <w:rsid w:val="22326B9B"/>
    <w:rsid w:val="223EDED0"/>
    <w:rsid w:val="22454DD3"/>
    <w:rsid w:val="224E1E9F"/>
    <w:rsid w:val="22B32477"/>
    <w:rsid w:val="230597CC"/>
    <w:rsid w:val="23097F10"/>
    <w:rsid w:val="2353290E"/>
    <w:rsid w:val="23797513"/>
    <w:rsid w:val="23F0E3A5"/>
    <w:rsid w:val="2404232F"/>
    <w:rsid w:val="243C9D54"/>
    <w:rsid w:val="2456F255"/>
    <w:rsid w:val="24621A9E"/>
    <w:rsid w:val="24896332"/>
    <w:rsid w:val="248B5059"/>
    <w:rsid w:val="24BC9442"/>
    <w:rsid w:val="24CAA7EB"/>
    <w:rsid w:val="24E39C7A"/>
    <w:rsid w:val="2513A64A"/>
    <w:rsid w:val="258B83A7"/>
    <w:rsid w:val="25D01BDE"/>
    <w:rsid w:val="25E2C28E"/>
    <w:rsid w:val="26618037"/>
    <w:rsid w:val="2686F3C8"/>
    <w:rsid w:val="26CC74D3"/>
    <w:rsid w:val="26E6B9CB"/>
    <w:rsid w:val="2716EDAD"/>
    <w:rsid w:val="2718BEF6"/>
    <w:rsid w:val="272C34AF"/>
    <w:rsid w:val="275945DB"/>
    <w:rsid w:val="277A49BD"/>
    <w:rsid w:val="27A218A6"/>
    <w:rsid w:val="27AC5450"/>
    <w:rsid w:val="27C3ED88"/>
    <w:rsid w:val="280248AD"/>
    <w:rsid w:val="284B470C"/>
    <w:rsid w:val="28525830"/>
    <w:rsid w:val="2888E6A1"/>
    <w:rsid w:val="288C200E"/>
    <w:rsid w:val="28B48F57"/>
    <w:rsid w:val="28F3D042"/>
    <w:rsid w:val="29112AA6"/>
    <w:rsid w:val="29519A63"/>
    <w:rsid w:val="29726F75"/>
    <w:rsid w:val="29F29B33"/>
    <w:rsid w:val="2A361900"/>
    <w:rsid w:val="2A44CE55"/>
    <w:rsid w:val="2A91DC01"/>
    <w:rsid w:val="2AE5C952"/>
    <w:rsid w:val="2AE7EE98"/>
    <w:rsid w:val="2B836C8D"/>
    <w:rsid w:val="2C9C033A"/>
    <w:rsid w:val="2C9D839C"/>
    <w:rsid w:val="2CD55D33"/>
    <w:rsid w:val="2D55B8CC"/>
    <w:rsid w:val="2D7FD1A3"/>
    <w:rsid w:val="2DAC2377"/>
    <w:rsid w:val="2DD4E655"/>
    <w:rsid w:val="2E262DBC"/>
    <w:rsid w:val="2E509B0B"/>
    <w:rsid w:val="2EB9C0BE"/>
    <w:rsid w:val="2F26FAA0"/>
    <w:rsid w:val="2F9537E2"/>
    <w:rsid w:val="2F9935B4"/>
    <w:rsid w:val="2FB2935D"/>
    <w:rsid w:val="2FC0E997"/>
    <w:rsid w:val="2FC34BD8"/>
    <w:rsid w:val="2FF17F43"/>
    <w:rsid w:val="309E130C"/>
    <w:rsid w:val="309F56BA"/>
    <w:rsid w:val="3138091C"/>
    <w:rsid w:val="31C6F8C8"/>
    <w:rsid w:val="32370E96"/>
    <w:rsid w:val="32530794"/>
    <w:rsid w:val="32BD1CA8"/>
    <w:rsid w:val="32F125D9"/>
    <w:rsid w:val="333A71EB"/>
    <w:rsid w:val="3354C78D"/>
    <w:rsid w:val="335A1535"/>
    <w:rsid w:val="335CF22B"/>
    <w:rsid w:val="33618848"/>
    <w:rsid w:val="343B0E60"/>
    <w:rsid w:val="3444B630"/>
    <w:rsid w:val="3458ED09"/>
    <w:rsid w:val="345C6F23"/>
    <w:rsid w:val="34A0388E"/>
    <w:rsid w:val="34B24874"/>
    <w:rsid w:val="34C450E8"/>
    <w:rsid w:val="34E8B93B"/>
    <w:rsid w:val="357C3DA5"/>
    <w:rsid w:val="35B1697F"/>
    <w:rsid w:val="35F689C6"/>
    <w:rsid w:val="360DB258"/>
    <w:rsid w:val="3620D915"/>
    <w:rsid w:val="3628C69B"/>
    <w:rsid w:val="3630BF65"/>
    <w:rsid w:val="36329550"/>
    <w:rsid w:val="3684899C"/>
    <w:rsid w:val="375736AC"/>
    <w:rsid w:val="3759DA62"/>
    <w:rsid w:val="375B6C0F"/>
    <w:rsid w:val="3765CAC5"/>
    <w:rsid w:val="37CDA40F"/>
    <w:rsid w:val="381B84D7"/>
    <w:rsid w:val="3821DFBC"/>
    <w:rsid w:val="386B0A6A"/>
    <w:rsid w:val="38AB8981"/>
    <w:rsid w:val="38FB720A"/>
    <w:rsid w:val="393F566D"/>
    <w:rsid w:val="3951EE12"/>
    <w:rsid w:val="39B332E1"/>
    <w:rsid w:val="39B75538"/>
    <w:rsid w:val="3A1F7E5A"/>
    <w:rsid w:val="3A452C4E"/>
    <w:rsid w:val="3A6E7108"/>
    <w:rsid w:val="3A76AB14"/>
    <w:rsid w:val="3A829CD0"/>
    <w:rsid w:val="3A84F2A5"/>
    <w:rsid w:val="3A858703"/>
    <w:rsid w:val="3A9012BA"/>
    <w:rsid w:val="3A9D2D50"/>
    <w:rsid w:val="3AC2C657"/>
    <w:rsid w:val="3B21E08E"/>
    <w:rsid w:val="3B3426CC"/>
    <w:rsid w:val="3BB31265"/>
    <w:rsid w:val="3C2AA7CF"/>
    <w:rsid w:val="3C7228A8"/>
    <w:rsid w:val="3C9E464D"/>
    <w:rsid w:val="3D0FF6D2"/>
    <w:rsid w:val="3E207EC7"/>
    <w:rsid w:val="3E2CC804"/>
    <w:rsid w:val="3E91330B"/>
    <w:rsid w:val="3EAC4B84"/>
    <w:rsid w:val="3EDECD12"/>
    <w:rsid w:val="3F04A19E"/>
    <w:rsid w:val="3F1E6A46"/>
    <w:rsid w:val="3F2103D8"/>
    <w:rsid w:val="3F28F1E0"/>
    <w:rsid w:val="3F3E3A05"/>
    <w:rsid w:val="3F645DFE"/>
    <w:rsid w:val="3FD57785"/>
    <w:rsid w:val="4010298B"/>
    <w:rsid w:val="404B81C6"/>
    <w:rsid w:val="4094CF28"/>
    <w:rsid w:val="40C48A2F"/>
    <w:rsid w:val="40E7EA50"/>
    <w:rsid w:val="40EE3118"/>
    <w:rsid w:val="40F9F09B"/>
    <w:rsid w:val="412A9867"/>
    <w:rsid w:val="418234B9"/>
    <w:rsid w:val="42390ABD"/>
    <w:rsid w:val="42B03F9A"/>
    <w:rsid w:val="42D8874E"/>
    <w:rsid w:val="42FF262F"/>
    <w:rsid w:val="431E3AAE"/>
    <w:rsid w:val="433A3EA3"/>
    <w:rsid w:val="4374D251"/>
    <w:rsid w:val="43810F13"/>
    <w:rsid w:val="444E1581"/>
    <w:rsid w:val="444EE6CF"/>
    <w:rsid w:val="44623929"/>
    <w:rsid w:val="44BF35F4"/>
    <w:rsid w:val="45371F7C"/>
    <w:rsid w:val="453EDF03"/>
    <w:rsid w:val="45F55FEC"/>
    <w:rsid w:val="462B8B89"/>
    <w:rsid w:val="4644B909"/>
    <w:rsid w:val="46581DAE"/>
    <w:rsid w:val="46AC7313"/>
    <w:rsid w:val="46ECAB22"/>
    <w:rsid w:val="471075D0"/>
    <w:rsid w:val="471984FB"/>
    <w:rsid w:val="473BD9A6"/>
    <w:rsid w:val="4775810C"/>
    <w:rsid w:val="482EC743"/>
    <w:rsid w:val="48484374"/>
    <w:rsid w:val="4857209D"/>
    <w:rsid w:val="48688054"/>
    <w:rsid w:val="4949147C"/>
    <w:rsid w:val="4968BF82"/>
    <w:rsid w:val="4A01280B"/>
    <w:rsid w:val="4A0450B5"/>
    <w:rsid w:val="4A30DCB3"/>
    <w:rsid w:val="4A6A4E1A"/>
    <w:rsid w:val="4A6C2180"/>
    <w:rsid w:val="4AC5B611"/>
    <w:rsid w:val="4AD057AA"/>
    <w:rsid w:val="4AD17AAD"/>
    <w:rsid w:val="4AD67064"/>
    <w:rsid w:val="4AF90071"/>
    <w:rsid w:val="4B144A9C"/>
    <w:rsid w:val="4B1E0054"/>
    <w:rsid w:val="4B8A22DD"/>
    <w:rsid w:val="4C26D47D"/>
    <w:rsid w:val="4CE18675"/>
    <w:rsid w:val="4D081AF5"/>
    <w:rsid w:val="4D3E0EC7"/>
    <w:rsid w:val="4D610E01"/>
    <w:rsid w:val="4D88C67F"/>
    <w:rsid w:val="4DA1EEDC"/>
    <w:rsid w:val="4E1F3559"/>
    <w:rsid w:val="4E2D94EE"/>
    <w:rsid w:val="4E3C7069"/>
    <w:rsid w:val="4E51ABE0"/>
    <w:rsid w:val="4ED4992E"/>
    <w:rsid w:val="4F2E289B"/>
    <w:rsid w:val="4F571A23"/>
    <w:rsid w:val="4FBE5092"/>
    <w:rsid w:val="4FD6A758"/>
    <w:rsid w:val="4FEAD79A"/>
    <w:rsid w:val="50492228"/>
    <w:rsid w:val="5052D778"/>
    <w:rsid w:val="509CC21A"/>
    <w:rsid w:val="50EE0EFC"/>
    <w:rsid w:val="517DDA85"/>
    <w:rsid w:val="5196DDA9"/>
    <w:rsid w:val="51A69309"/>
    <w:rsid w:val="51BF0249"/>
    <w:rsid w:val="51F52224"/>
    <w:rsid w:val="52052518"/>
    <w:rsid w:val="5215A594"/>
    <w:rsid w:val="5248ACDC"/>
    <w:rsid w:val="5270E00E"/>
    <w:rsid w:val="52A4808E"/>
    <w:rsid w:val="52B8D51D"/>
    <w:rsid w:val="53768E03"/>
    <w:rsid w:val="5453CB04"/>
    <w:rsid w:val="54715EEC"/>
    <w:rsid w:val="551C7B48"/>
    <w:rsid w:val="5552C3D9"/>
    <w:rsid w:val="55AD00C1"/>
    <w:rsid w:val="5627DDDC"/>
    <w:rsid w:val="56320F7B"/>
    <w:rsid w:val="5633172D"/>
    <w:rsid w:val="5669147C"/>
    <w:rsid w:val="56D9C6FC"/>
    <w:rsid w:val="56DB9496"/>
    <w:rsid w:val="56E894B8"/>
    <w:rsid w:val="56EB4201"/>
    <w:rsid w:val="5770AB32"/>
    <w:rsid w:val="57C71A90"/>
    <w:rsid w:val="57D731EF"/>
    <w:rsid w:val="580B83F8"/>
    <w:rsid w:val="5812FA68"/>
    <w:rsid w:val="5838B90A"/>
    <w:rsid w:val="58846519"/>
    <w:rsid w:val="588CE7D0"/>
    <w:rsid w:val="588FB03B"/>
    <w:rsid w:val="59A8805A"/>
    <w:rsid w:val="59DD2467"/>
    <w:rsid w:val="5A0C392B"/>
    <w:rsid w:val="5A4E6B5C"/>
    <w:rsid w:val="5A6F7853"/>
    <w:rsid w:val="5B2A25AA"/>
    <w:rsid w:val="5B5474DF"/>
    <w:rsid w:val="5B594D8B"/>
    <w:rsid w:val="5B73E1F6"/>
    <w:rsid w:val="5B81AA06"/>
    <w:rsid w:val="5B873F98"/>
    <w:rsid w:val="5BABE3D1"/>
    <w:rsid w:val="5C046FD3"/>
    <w:rsid w:val="5CD175D7"/>
    <w:rsid w:val="5CF04540"/>
    <w:rsid w:val="5D191279"/>
    <w:rsid w:val="5D2FC7FD"/>
    <w:rsid w:val="5D46A0EA"/>
    <w:rsid w:val="5D8D852E"/>
    <w:rsid w:val="5D9EEA49"/>
    <w:rsid w:val="5DA4B8ED"/>
    <w:rsid w:val="5DB016CF"/>
    <w:rsid w:val="5DD19F35"/>
    <w:rsid w:val="5DDF6946"/>
    <w:rsid w:val="5DE802A1"/>
    <w:rsid w:val="5DF9BC0F"/>
    <w:rsid w:val="5EBFBD17"/>
    <w:rsid w:val="5F0E0787"/>
    <w:rsid w:val="5F1562A5"/>
    <w:rsid w:val="5F15F480"/>
    <w:rsid w:val="5F7CF35B"/>
    <w:rsid w:val="5FC2F294"/>
    <w:rsid w:val="5FCB1D39"/>
    <w:rsid w:val="5FCDE374"/>
    <w:rsid w:val="5FE2C77D"/>
    <w:rsid w:val="60227BDF"/>
    <w:rsid w:val="60269017"/>
    <w:rsid w:val="6043BACB"/>
    <w:rsid w:val="6049A083"/>
    <w:rsid w:val="60B52EA8"/>
    <w:rsid w:val="60D04816"/>
    <w:rsid w:val="6131966D"/>
    <w:rsid w:val="616127EF"/>
    <w:rsid w:val="619577B7"/>
    <w:rsid w:val="619710C2"/>
    <w:rsid w:val="61B125A1"/>
    <w:rsid w:val="61E1B363"/>
    <w:rsid w:val="622179F0"/>
    <w:rsid w:val="62428427"/>
    <w:rsid w:val="628D2F48"/>
    <w:rsid w:val="62BEABAC"/>
    <w:rsid w:val="62E69824"/>
    <w:rsid w:val="63922BEF"/>
    <w:rsid w:val="639D3BBA"/>
    <w:rsid w:val="640C05E9"/>
    <w:rsid w:val="6413FA71"/>
    <w:rsid w:val="6451F41C"/>
    <w:rsid w:val="646D072E"/>
    <w:rsid w:val="649B0213"/>
    <w:rsid w:val="64B85C45"/>
    <w:rsid w:val="6506A36D"/>
    <w:rsid w:val="650FC355"/>
    <w:rsid w:val="6517C6A6"/>
    <w:rsid w:val="653DAA98"/>
    <w:rsid w:val="654BF7D8"/>
    <w:rsid w:val="65834D08"/>
    <w:rsid w:val="658D94D2"/>
    <w:rsid w:val="65F44FA7"/>
    <w:rsid w:val="660FF86B"/>
    <w:rsid w:val="662FC4E3"/>
    <w:rsid w:val="66349912"/>
    <w:rsid w:val="66505BFF"/>
    <w:rsid w:val="66B44710"/>
    <w:rsid w:val="66D918F0"/>
    <w:rsid w:val="673272D6"/>
    <w:rsid w:val="677C9114"/>
    <w:rsid w:val="67C46542"/>
    <w:rsid w:val="6851B66C"/>
    <w:rsid w:val="68A71830"/>
    <w:rsid w:val="6917E534"/>
    <w:rsid w:val="696C39D4"/>
    <w:rsid w:val="69BC3786"/>
    <w:rsid w:val="6A1D30E7"/>
    <w:rsid w:val="6A21B232"/>
    <w:rsid w:val="6AABC01B"/>
    <w:rsid w:val="6B72F021"/>
    <w:rsid w:val="6BBF51FC"/>
    <w:rsid w:val="6BE9A001"/>
    <w:rsid w:val="6BEF0970"/>
    <w:rsid w:val="6C05E3F9"/>
    <w:rsid w:val="6C1E44B5"/>
    <w:rsid w:val="6C795D2D"/>
    <w:rsid w:val="6C8840B6"/>
    <w:rsid w:val="6D1DE2D2"/>
    <w:rsid w:val="6D22FA9D"/>
    <w:rsid w:val="6D23F1B0"/>
    <w:rsid w:val="6D406AE0"/>
    <w:rsid w:val="6D6061AD"/>
    <w:rsid w:val="6DA1B45A"/>
    <w:rsid w:val="6DB50E13"/>
    <w:rsid w:val="6DB5A85C"/>
    <w:rsid w:val="6DCBCB4F"/>
    <w:rsid w:val="6EA0BFE5"/>
    <w:rsid w:val="6EAA26F1"/>
    <w:rsid w:val="6F073E45"/>
    <w:rsid w:val="6F457241"/>
    <w:rsid w:val="6F859EBA"/>
    <w:rsid w:val="6FDFAB55"/>
    <w:rsid w:val="6FF6DD2C"/>
    <w:rsid w:val="6FFE0D8A"/>
    <w:rsid w:val="7003C08C"/>
    <w:rsid w:val="702B790A"/>
    <w:rsid w:val="709C7A7B"/>
    <w:rsid w:val="70DA3D49"/>
    <w:rsid w:val="70E142A2"/>
    <w:rsid w:val="70ECAED5"/>
    <w:rsid w:val="7104D466"/>
    <w:rsid w:val="7122EB5B"/>
    <w:rsid w:val="71718F78"/>
    <w:rsid w:val="71AF0CE8"/>
    <w:rsid w:val="71E97DA9"/>
    <w:rsid w:val="71F92DDA"/>
    <w:rsid w:val="7214E0FE"/>
    <w:rsid w:val="72461198"/>
    <w:rsid w:val="727D1303"/>
    <w:rsid w:val="727F01A4"/>
    <w:rsid w:val="72D7A182"/>
    <w:rsid w:val="72DFF391"/>
    <w:rsid w:val="7332BCC3"/>
    <w:rsid w:val="736319CC"/>
    <w:rsid w:val="7380D2AA"/>
    <w:rsid w:val="738722B7"/>
    <w:rsid w:val="73D5B876"/>
    <w:rsid w:val="73DF7FA3"/>
    <w:rsid w:val="73F051F9"/>
    <w:rsid w:val="7418E364"/>
    <w:rsid w:val="742F8FBC"/>
    <w:rsid w:val="749F8553"/>
    <w:rsid w:val="74FEEA2D"/>
    <w:rsid w:val="751CA21E"/>
    <w:rsid w:val="75515E65"/>
    <w:rsid w:val="759F22D0"/>
    <w:rsid w:val="76471F00"/>
    <w:rsid w:val="76D11E5C"/>
    <w:rsid w:val="76DE3C77"/>
    <w:rsid w:val="76E999B5"/>
    <w:rsid w:val="77496F4A"/>
    <w:rsid w:val="77508426"/>
    <w:rsid w:val="775EA4DA"/>
    <w:rsid w:val="778E294B"/>
    <w:rsid w:val="77DD6371"/>
    <w:rsid w:val="77E13D77"/>
    <w:rsid w:val="7816FCD9"/>
    <w:rsid w:val="78238B4D"/>
    <w:rsid w:val="782A28DC"/>
    <w:rsid w:val="78368AEF"/>
    <w:rsid w:val="78CA9067"/>
    <w:rsid w:val="78F62356"/>
    <w:rsid w:val="79641B5E"/>
    <w:rsid w:val="79C1F05D"/>
    <w:rsid w:val="7A25B94F"/>
    <w:rsid w:val="7A34DAEB"/>
    <w:rsid w:val="7A369449"/>
    <w:rsid w:val="7A3EA2C7"/>
    <w:rsid w:val="7AA08895"/>
    <w:rsid w:val="7ACED647"/>
    <w:rsid w:val="7AD82AA8"/>
    <w:rsid w:val="7B4A673E"/>
    <w:rsid w:val="7B70FD51"/>
    <w:rsid w:val="7BBF82C1"/>
    <w:rsid w:val="7BC02D42"/>
    <w:rsid w:val="7C1350DD"/>
    <w:rsid w:val="7C6238D6"/>
    <w:rsid w:val="7C74C2F6"/>
    <w:rsid w:val="7CBE8C1F"/>
    <w:rsid w:val="7CE957D6"/>
    <w:rsid w:val="7D4B7A18"/>
    <w:rsid w:val="7D7D63FD"/>
    <w:rsid w:val="7DB6E073"/>
    <w:rsid w:val="7E0935AF"/>
    <w:rsid w:val="7E365CDD"/>
    <w:rsid w:val="7E3B1295"/>
    <w:rsid w:val="7E480FE0"/>
    <w:rsid w:val="7E5B78AF"/>
    <w:rsid w:val="7E7EDB83"/>
    <w:rsid w:val="7EBFBB7D"/>
    <w:rsid w:val="7EDF0406"/>
    <w:rsid w:val="7EEE0C78"/>
    <w:rsid w:val="7F06C5D4"/>
    <w:rsid w:val="7F0B3399"/>
    <w:rsid w:val="7FD22D3E"/>
    <w:rsid w:val="7FDBDDD3"/>
    <w:rsid w:val="7FF17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699F3EE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1C32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level2">
    <w:name w:val="Title level 2"/>
    <w:qFormat/>
    <w:rsid w:val="00931C32"/>
    <w:pPr>
      <w:spacing w:before="240" w:after="240" w:line="240" w:lineRule="auto"/>
    </w:pPr>
    <w:rPr>
      <w:rFonts w:asciiTheme="majorHAnsi" w:eastAsiaTheme="majorEastAsia" w:hAnsiTheme="majorHAnsi" w:cstheme="majorBidi"/>
      <w:bCs/>
      <w:color w:val="44546A" w:themeColor="text2"/>
      <w:sz w:val="32"/>
      <w:szCs w:val="24"/>
      <w:lang w:val="en-US"/>
    </w:rPr>
  </w:style>
  <w:style w:type="paragraph" w:styleId="FootnoteText">
    <w:name w:val="footnote text"/>
    <w:basedOn w:val="Normal"/>
    <w:link w:val="FootnoteTextChar"/>
    <w:autoRedefine/>
    <w:qFormat/>
    <w:rsid w:val="007F0B68"/>
    <w:pPr>
      <w:spacing w:before="80" w:line="200" w:lineRule="exact"/>
      <w:ind w:left="567" w:hanging="567"/>
      <w:jc w:val="both"/>
    </w:pPr>
    <w:rPr>
      <w:sz w:val="18"/>
      <w:szCs w:val="18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7F0B68"/>
    <w:rPr>
      <w:rFonts w:eastAsiaTheme="minorEastAsia"/>
      <w:sz w:val="18"/>
      <w:szCs w:val="18"/>
      <w:lang w:val="en-US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931C32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931C32"/>
    <w:rPr>
      <w:color w:val="0563C1" w:themeColor="hyperlink"/>
      <w:u w:val="single"/>
    </w:rPr>
  </w:style>
  <w:style w:type="paragraph" w:customStyle="1" w:styleId="Default">
    <w:name w:val="Default"/>
    <w:rsid w:val="00931C3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Applicationdirecte">
    <w:name w:val="Application directe"/>
    <w:basedOn w:val="Normal"/>
    <w:next w:val="Fait"/>
    <w:rsid w:val="00931C32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Fait">
    <w:name w:val="Fait à"/>
    <w:basedOn w:val="Normal"/>
    <w:next w:val="Normal"/>
    <w:rsid w:val="00931C32"/>
    <w:pPr>
      <w:keepNext/>
      <w:spacing w:before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931C32"/>
    <w:pPr>
      <w:ind w:left="720"/>
    </w:pPr>
    <w:rPr>
      <w:rFonts w:ascii="Calibri" w:eastAsia="Calibri" w:hAnsi="Calibri" w:cs="Times New Roman"/>
      <w:szCs w:val="22"/>
    </w:rPr>
  </w:style>
  <w:style w:type="paragraph" w:styleId="Header">
    <w:name w:val="header"/>
    <w:basedOn w:val="Normal"/>
    <w:link w:val="HeaderChar"/>
    <w:uiPriority w:val="99"/>
    <w:unhideWhenUsed/>
    <w:rsid w:val="001E400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400B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1E400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400B"/>
    <w:rPr>
      <w:rFonts w:eastAsiaTheme="minorEastAsia"/>
      <w:szCs w:val="24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on">
    <w:name w:val="Revision"/>
    <w:hidden/>
    <w:uiPriority w:val="99"/>
    <w:semiHidden/>
    <w:rsid w:val="00B83EB1"/>
    <w:pPr>
      <w:spacing w:after="0" w:line="240" w:lineRule="auto"/>
    </w:pPr>
    <w:rPr>
      <w:rFonts w:eastAsiaTheme="minorEastAsia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A0B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A0BD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A0BDC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0B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0BDC"/>
    <w:rPr>
      <w:rFonts w:eastAsia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EN/TXT/?uri=OJ:L_202401623" TargetMode="External"/><Relationship Id="rId1" Type="http://schemas.openxmlformats.org/officeDocument/2006/relationships/hyperlink" Target="https://eur-lex.europa.eu/legal-content/EN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0438E7D-06DF-42E6-AB6F-B451A1CE4CA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0CF73B-2518-4D0F-B7A9-14461EA14AF5}"/>
</file>

<file path=customXml/itemProps3.xml><?xml version="1.0" encoding="utf-8"?>
<ds:datastoreItem xmlns:ds="http://schemas.openxmlformats.org/officeDocument/2006/customXml" ds:itemID="{278D5E6E-E8A2-4C60-9CFE-2D7C79FD1BEF}"/>
</file>

<file path=customXml/itemProps4.xml><?xml version="1.0" encoding="utf-8"?>
<ds:datastoreItem xmlns:ds="http://schemas.openxmlformats.org/officeDocument/2006/customXml" ds:itemID="{79035D62-F918-454F-AC8A-CAD619333D01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2826</Words>
  <Characters>15011</Characters>
  <Application>Microsoft Office Word</Application>
  <DocSecurity>0</DocSecurity>
  <Lines>428</Lines>
  <Paragraphs>247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17590</CharactersWithSpaces>
  <SharedDoc>false</SharedDoc>
  <HLinks>
    <vt:vector size="6" baseType="variant">
      <vt:variant>
        <vt:i4>7602297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https://eur-lex.europa.eu/legal-content/EN/AUTO/?uri=OJ:L:2013:176:TOC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2024-06-07T07:11:00Z</dcterms:created>
  <dcterms:modified xsi:type="dcterms:W3CDTF">2024-09-26T14:32:00Z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2024-09-26T14:32:27Z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adac863f-55d7-42d3-9a6a-c1b74fd6180c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