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ПРИЛОЖЕНИЕ XL — Указания за оповестяване на екологичните, социалните и управленските рискове</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Институциите оповестяват информацията, посочена в член 449а от Регламент (ЕС) № 575/2013, като следват указанията в настоящото приложение. Указанията трябва да се използват при попълването на таблиците и образците в приложение XXXIX към ИТ решенията на ЕБО.</w:t>
      </w:r>
    </w:p>
    <w:p w14:paraId="4A061912" w14:textId="77777777" w:rsidR="00183989" w:rsidRPr="00E50FA4" w:rsidRDefault="00183989" w:rsidP="00183989">
      <w:pPr>
        <w:pStyle w:val="NumPar2"/>
        <w:numPr>
          <w:ilvl w:val="0"/>
          <w:numId w:val="11"/>
        </w:numPr>
        <w:ind w:left="567" w:hanging="567"/>
        <w:rPr>
          <w:noProof/>
        </w:rPr>
      </w:pPr>
      <w:r>
        <w:t>За целите на настоящите указания следните термини трябва да се разбират, както следва:</w:t>
      </w:r>
    </w:p>
    <w:p w14:paraId="66FCA2A6" w14:textId="77777777" w:rsidR="00183989" w:rsidRPr="00E50FA4" w:rsidRDefault="00183989" w:rsidP="0034606F">
      <w:pPr>
        <w:pStyle w:val="Point1letter"/>
        <w:rPr>
          <w:noProof/>
          <w:szCs w:val="24"/>
        </w:rPr>
      </w:pPr>
      <w:r>
        <w:t>„екологични, социални и управленски (ЕСУ) рискове“ означава рискът от загуба поради отрицателните финансови последици за институцията от настоящото или бъдещото въздействие на екологичните, социалните и управленските фактори върху нейните контрагенти или инвестирани активи;</w:t>
      </w:r>
    </w:p>
    <w:p w14:paraId="04F8B5B7" w14:textId="77777777" w:rsidR="00183989" w:rsidRPr="00E50FA4" w:rsidRDefault="00183989" w:rsidP="00183989">
      <w:pPr>
        <w:pStyle w:val="Point1letter"/>
        <w:ind w:left="1134" w:right="-8"/>
        <w:rPr>
          <w:noProof/>
          <w:szCs w:val="24"/>
        </w:rPr>
      </w:pPr>
      <w:r>
        <w:t>„екологичен риск“ означава рискът от загуба поради отрицателните финансови последици за институцията от настоящото или бъдещото въздействие върху нейните контрагенти или инвестирани активи на екологичните фактори, в т.ч. на факторите, свързани с прехода за постигането на следните екологични цели:</w:t>
      </w:r>
    </w:p>
    <w:p w14:paraId="545FE72D" w14:textId="77777777" w:rsidR="00183989" w:rsidRPr="00E50FA4" w:rsidRDefault="00183989" w:rsidP="00183989">
      <w:pPr>
        <w:pStyle w:val="Point2number"/>
        <w:numPr>
          <w:ilvl w:val="4"/>
          <w:numId w:val="18"/>
        </w:numPr>
        <w:ind w:left="1701" w:right="-8"/>
        <w:rPr>
          <w:noProof/>
        </w:rPr>
      </w:pPr>
      <w:r>
        <w:t>смекчаване на изменението на климата;</w:t>
      </w:r>
    </w:p>
    <w:p w14:paraId="7E347DF0" w14:textId="77777777" w:rsidR="00183989" w:rsidRPr="00E50FA4" w:rsidRDefault="00183989" w:rsidP="00183989">
      <w:pPr>
        <w:pStyle w:val="Point2number"/>
        <w:numPr>
          <w:ilvl w:val="4"/>
          <w:numId w:val="18"/>
        </w:numPr>
        <w:ind w:left="1701" w:right="-8"/>
        <w:rPr>
          <w:noProof/>
        </w:rPr>
      </w:pPr>
      <w:r>
        <w:t>адаптиране към изменението на климата;</w:t>
      </w:r>
    </w:p>
    <w:p w14:paraId="3ED0632A" w14:textId="77777777" w:rsidR="00183989" w:rsidRPr="00E50FA4" w:rsidRDefault="00183989" w:rsidP="00183989">
      <w:pPr>
        <w:pStyle w:val="Point2number"/>
        <w:numPr>
          <w:ilvl w:val="4"/>
          <w:numId w:val="18"/>
        </w:numPr>
        <w:ind w:left="1701" w:right="-8"/>
        <w:rPr>
          <w:noProof/>
        </w:rPr>
      </w:pPr>
      <w:r>
        <w:t>устойчиво използване и опазване на водните и морските ресурси;</w:t>
      </w:r>
    </w:p>
    <w:p w14:paraId="5B790937" w14:textId="77777777" w:rsidR="00183989" w:rsidRPr="00E50FA4" w:rsidRDefault="00183989" w:rsidP="00183989">
      <w:pPr>
        <w:pStyle w:val="Point2number"/>
        <w:numPr>
          <w:ilvl w:val="4"/>
          <w:numId w:val="18"/>
        </w:numPr>
        <w:ind w:left="1701" w:right="-8"/>
        <w:rPr>
          <w:noProof/>
        </w:rPr>
      </w:pPr>
      <w:r>
        <w:t>преход към кръгова икономика;</w:t>
      </w:r>
    </w:p>
    <w:p w14:paraId="4D635D58" w14:textId="77777777" w:rsidR="00183989" w:rsidRPr="00E50FA4" w:rsidRDefault="00183989" w:rsidP="00183989">
      <w:pPr>
        <w:pStyle w:val="Point2number"/>
        <w:numPr>
          <w:ilvl w:val="4"/>
          <w:numId w:val="18"/>
        </w:numPr>
        <w:ind w:left="1701" w:right="-8"/>
        <w:rPr>
          <w:noProof/>
        </w:rPr>
      </w:pPr>
      <w:r>
        <w:t>предотвратяване и контрол на замърсяването;</w:t>
      </w:r>
    </w:p>
    <w:p w14:paraId="7800D50D" w14:textId="77777777" w:rsidR="00183989" w:rsidRPr="00E50FA4" w:rsidRDefault="00183989" w:rsidP="00183989">
      <w:pPr>
        <w:pStyle w:val="Point2number"/>
        <w:numPr>
          <w:ilvl w:val="4"/>
          <w:numId w:val="18"/>
        </w:numPr>
        <w:ind w:left="1701" w:right="-8"/>
        <w:rPr>
          <w:noProof/>
        </w:rPr>
      </w:pPr>
      <w:r>
        <w:t>опазване и възстановяване на биологичното разнообразие и екосистемите.</w:t>
      </w:r>
    </w:p>
    <w:p w14:paraId="52FA5CFE" w14:textId="77777777" w:rsidR="00183989" w:rsidRPr="00E50FA4" w:rsidRDefault="00183989" w:rsidP="00183989">
      <w:pPr>
        <w:pStyle w:val="Point2"/>
        <w:ind w:left="1134" w:right="568" w:firstLine="0"/>
        <w:rPr>
          <w:noProof/>
          <w:szCs w:val="24"/>
        </w:rPr>
      </w:pPr>
      <w:r>
        <w:t>Екологичният риск обхваща както физическия риск, така и риска от прехода.</w:t>
      </w:r>
    </w:p>
    <w:p w14:paraId="69CE4D1E" w14:textId="77777777" w:rsidR="00183989" w:rsidRPr="00E50FA4" w:rsidRDefault="00183989" w:rsidP="00183989">
      <w:pPr>
        <w:pStyle w:val="Point1letter"/>
        <w:ind w:left="1134" w:right="-8"/>
        <w:rPr>
          <w:noProof/>
          <w:szCs w:val="24"/>
        </w:rPr>
      </w:pPr>
      <w:r>
        <w:t>„физически риск“ означава, като част от общия екологичен риск, рискът от загуба поради отрицателните финансови последици за институцията от настоящото или бъдещото физическо въздействие на екологичните фактори върху нейните контрагенти или инвестирани активи;</w:t>
      </w:r>
    </w:p>
    <w:p w14:paraId="2A7177BA" w14:textId="77777777" w:rsidR="00183989" w:rsidRPr="00E50FA4" w:rsidRDefault="00183989" w:rsidP="00183989">
      <w:pPr>
        <w:pStyle w:val="Point1letter"/>
        <w:ind w:left="1134" w:right="-8"/>
        <w:rPr>
          <w:noProof/>
          <w:szCs w:val="24"/>
        </w:rPr>
      </w:pPr>
      <w:r>
        <w:t>„риск от прехода“ означава, като част от общия екологичен риск, рискът от загуба поради отрицателните финансови последици за институцията от настоящото или бъдещото въздействие върху нейните контрагенти или инвестирани активи на прехода към екологично устойчива икономика;</w:t>
      </w:r>
    </w:p>
    <w:p w14:paraId="5E0AEFC3" w14:textId="77777777" w:rsidR="00183989" w:rsidRPr="00E50FA4" w:rsidRDefault="00183989" w:rsidP="00183989">
      <w:pPr>
        <w:pStyle w:val="Point1letter"/>
        <w:ind w:left="1134" w:right="-8"/>
        <w:rPr>
          <w:noProof/>
          <w:szCs w:val="24"/>
        </w:rPr>
      </w:pPr>
      <w:r>
        <w:t>„социален риск“ означава рискът от загуба поради отрицателните финансови последици за институцията от настоящото или бъдещото въздействие на социалните фактори върху нейните контрагенти или инвестирани активи;</w:t>
      </w:r>
    </w:p>
    <w:p w14:paraId="649CF9D5" w14:textId="77777777" w:rsidR="00183989" w:rsidRPr="00E50FA4" w:rsidRDefault="00183989" w:rsidP="00183989">
      <w:pPr>
        <w:pStyle w:val="Point1letter"/>
        <w:ind w:left="1134" w:right="-8"/>
        <w:rPr>
          <w:noProof/>
        </w:rPr>
      </w:pPr>
      <w:r>
        <w:t xml:space="preserve">„управленски риск“ означава рискът от загуба поради отрицателните финансови последици за институцията от настоящото или бъдещото </w:t>
      </w:r>
      <w:r>
        <w:lastRenderedPageBreak/>
        <w:t>въздействие на управленските фактори върху нейните контрагенти или инвестирани активи;</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 xml:space="preserve">Позоваванията на рамката на политиката на Съюза и в международен план, както и на наличните референтни показатели в настоящите указания включват: </w:t>
      </w:r>
      <w:r>
        <w:rPr>
          <w:rFonts w:ascii="Times New Roman" w:hAnsi="Times New Roman"/>
        </w:rPr>
        <w:t>Парижкото споразумение, прието по Рамковата конвенция на Обединените нации по изменение на климата</w:t>
      </w:r>
      <w:r>
        <w:rPr>
          <w:rFonts w:ascii="Times New Roman" w:hAnsi="Times New Roman"/>
          <w:sz w:val="24"/>
          <w:vertAlign w:val="superscript"/>
        </w:rPr>
        <w:t>*</w:t>
      </w:r>
      <w:r>
        <w:rPr>
          <w:rFonts w:ascii="Times New Roman" w:hAnsi="Times New Roman"/>
          <w:sz w:val="20"/>
          <w:vertAlign w:val="superscript"/>
        </w:rPr>
        <w:t>1</w:t>
      </w:r>
      <w:r>
        <w:rPr>
          <w:rFonts w:ascii="Times New Roman" w:hAnsi="Times New Roman"/>
        </w:rPr>
        <w:t xml:space="preserve"> („Парижкото споразумение“), Съобщението на Комисията относно Европейския зелен пакт</w:t>
      </w:r>
      <w:r>
        <w:rPr>
          <w:rFonts w:ascii="Times New Roman" w:hAnsi="Times New Roman"/>
          <w:vertAlign w:val="superscript"/>
        </w:rPr>
        <w:t>*2</w:t>
      </w:r>
      <w:r>
        <w:rPr>
          <w:rFonts w:ascii="Times New Roman" w:hAnsi="Times New Roman"/>
        </w:rPr>
        <w:t>, Директива 2013/34/ЕС на Европейския парламент и на Съвета</w:t>
      </w:r>
      <w:r>
        <w:rPr>
          <w:rFonts w:ascii="Times New Roman" w:hAnsi="Times New Roman"/>
          <w:vertAlign w:val="superscript"/>
        </w:rPr>
        <w:t>*3</w:t>
      </w:r>
      <w:r>
        <w:rPr>
          <w:rFonts w:ascii="Times New Roman" w:hAnsi="Times New Roman"/>
        </w:rPr>
        <w:t>, Директива 2014/95/ЕС на Европейския парламент и на Съвета</w:t>
      </w:r>
      <w:r>
        <w:rPr>
          <w:rFonts w:ascii="Times New Roman" w:hAnsi="Times New Roman"/>
          <w:vertAlign w:val="superscript"/>
        </w:rPr>
        <w:t>*4</w:t>
      </w:r>
      <w:r>
        <w:rPr>
          <w:rFonts w:ascii="Times New Roman" w:hAnsi="Times New Roman"/>
        </w:rPr>
        <w:t>, Съобщението на Комисията „Насоки относно оповестяването на нефинансова информация:</w:t>
      </w:r>
      <w:r>
        <w:rPr>
          <w:rFonts w:ascii="Times New Roman" w:hAnsi="Times New Roman"/>
          <w:sz w:val="24"/>
        </w:rPr>
        <w:t xml:space="preserve"> Допълнение относно оповестяването на свързана с климата информация</w:t>
      </w:r>
      <w:r>
        <w:rPr>
          <w:rFonts w:ascii="Times New Roman" w:hAnsi="Times New Roman"/>
          <w:sz w:val="24"/>
          <w:vertAlign w:val="superscript"/>
        </w:rPr>
        <w:t>*5</w:t>
      </w:r>
      <w:r>
        <w:rPr>
          <w:rFonts w:ascii="Times New Roman" w:hAnsi="Times New Roman"/>
          <w:sz w:val="24"/>
        </w:rPr>
        <w:t>, насоките, предоставени в рамките на препоръките на Работната група за оповестяване на финансова информация във връзка с климата (TCFD)</w:t>
      </w:r>
      <w:r>
        <w:rPr>
          <w:rFonts w:ascii="Times New Roman" w:hAnsi="Times New Roman"/>
          <w:sz w:val="24"/>
          <w:vertAlign w:val="superscript"/>
        </w:rPr>
        <w:t>*6</w:t>
      </w:r>
      <w:r>
        <w:rPr>
          <w:rFonts w:ascii="Times New Roman" w:hAnsi="Times New Roman"/>
          <w:sz w:val="24"/>
        </w:rPr>
        <w:t>, Финансовата инициатива на Програмата на ООН за околната среда (UNEP FI)</w:t>
      </w:r>
      <w:r>
        <w:rPr>
          <w:rFonts w:ascii="Times New Roman" w:hAnsi="Times New Roman"/>
          <w:sz w:val="24"/>
          <w:vertAlign w:val="superscript"/>
        </w:rPr>
        <w:t>*7</w:t>
      </w:r>
      <w:r>
        <w:rPr>
          <w:rFonts w:ascii="Times New Roman" w:hAnsi="Times New Roman"/>
          <w:sz w:val="24"/>
        </w:rPr>
        <w:t>, Стандартите за отчитане на устойчивостта в рамките на глобалната инициатива за отчитане</w:t>
      </w:r>
      <w:r>
        <w:rPr>
          <w:rFonts w:ascii="Times New Roman" w:hAnsi="Times New Roman"/>
          <w:sz w:val="24"/>
          <w:vertAlign w:val="superscript"/>
        </w:rPr>
        <w:t>*8</w:t>
      </w:r>
      <w:r>
        <w:rPr>
          <w:rFonts w:ascii="Times New Roman" w:hAnsi="Times New Roman"/>
          <w:sz w:val="24"/>
        </w:rPr>
        <w:t>, както и Принципите на ООН за отговорно инвестиране (UNPRI)</w:t>
      </w:r>
      <w:r>
        <w:rPr>
          <w:rFonts w:ascii="Times New Roman" w:hAnsi="Times New Roman"/>
          <w:sz w:val="24"/>
          <w:vertAlign w:val="superscript"/>
        </w:rPr>
        <w:t>*9</w:t>
      </w:r>
      <w:r>
        <w:rPr>
          <w:rFonts w:ascii="Times New Roman" w:hAnsi="Times New Roman"/>
          <w:sz w:val="24"/>
        </w:rPr>
        <w:t>.</w:t>
      </w:r>
    </w:p>
    <w:p w14:paraId="4D659D14" w14:textId="77777777" w:rsidR="00183989" w:rsidRPr="00557215"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Таблица 1 — Качествена информация относно екологичния риск:</w:t>
      </w:r>
      <w:r>
        <w:rPr>
          <w:rFonts w:ascii="Times New Roman" w:hAnsi="Times New Roman"/>
          <w:sz w:val="24"/>
        </w:rPr>
        <w:t xml:space="preserve"> Полета със свободен текст за оповестяване на качествена информация в приложение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Институциите използват следните указания при попълването на таблица 1 — „Качествена информация за екологичния риск“ от приложение XXXIX към настоящия регламент, за да опишат как екологичните рискове, в т.ч. специфичната информация за рисковете, свързани с изменението на климата, и за други екологични рискове, са отразени в тяхната стопанска стратегия и процеси, в управлението на институцията и в управлението на риска. Това е за целите на член 449а от Регламент (ЕС) № 575/2013 във връзка с член 435 от същия регламент.</w:t>
      </w:r>
    </w:p>
    <w:p w14:paraId="758D80B4" w14:textId="77777777" w:rsidR="00183989" w:rsidRPr="00557215"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Препратки към законодателни актове и указания</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Ред №</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Обяснение</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Стопанска стратегия и процеси</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а)</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букви а) и д) от посочения регламент институциите посочват по какъв начин рисковете, произтичащи от екологични фактори (т.е. екологични рискове), са отразени в техния стопански модел, стратегия и процеси, както и финансово планиране, и как тези рискове могат да се променят с течение на времето предвид развитието на технологиите, рамката на политиката, стопанската среда, предпочитанията на заинтересованите страни и промените в самата физическа среда.</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б)</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а) и букви в) — е) от посочения регламент институциите определят целите, целевите стойности и ограниченията по отношение на оценката и управлението на екологичните рискове. Институциите обясняват какви процеси използват при определянето на тези цели, целеви стойности и ограничения.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lastRenderedPageBreak/>
              <w:t>Те посочват как целите, целевите стойности и ограниченията са свързани с действащата рамка на политиката в Съюза и в международен план, както и с наличните референтни показатели.</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в)</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институциите предоставят информация за настоящите и бъдещите си (планирани) инвестиции в екологично устойчиви дейности, както и в дейности и сектори, съобразени с екологичните цели, включително целите във връзка с изменението на климата, посочени в член 9 от Регламент (ЕС)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Когато тази информация зависи от вътрешния подход на институцията или се основава на вътрешните условия на институциите, те включват в оповестяванията си описание на тези подходи и вътрешни условия.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г)</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г) от посочения регламент институциите предоставят информация за мерките, предприети за смекчаване на рисковете, свързани с екологични фактори. Институциите трябва да вземат предвид способността на контрагента да управлява екологичните рискове.</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55721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д)</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б) и член 435, параграф 2, букви а), б) и в) от посочения регламент институциите предоставят информация за участието на своя управителен орган в надзора и управлението на екологичните рискове. Институциите трябва да вземат предвид потенциалните механизми на въздействие на такива екологични рискове (включително физически рискове, рискове от прехода и рискове, свързани с отговорността).</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е)</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буква г) от посочения регламент институциите предоставят информация за начина, по който техният управителен орган включва краткосрочните, средносрочните и дългосрочните последици от екологичните рискове в организационната структура на институцията за целите на управлението на риска. Те следва да обяснят как това действие на равнището на управителния орган впоследствие се отразява в техните стопански дейности и функции за вътрешен контрол.</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ж)</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букви а), б) и в) от посочения регламент институциите предоставят информация за организацията на своите комитети по риска и за начина, по който задачите и отговорностите по наблюдение и управление на екологичните рискове са разпределени в рамката за управлението на риска, като вземат предвид механизмите на въздействие на физическите рискове, рисковете от прехода и рисковете, свързани с отговорността.</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з)</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буква д) от посочения регламент институциите предоставят информация за начините, по които включват екологичните рискове в своята рамка и структура за вътрешно отчитане, и посочват честотата на вътрешното отчитане и обмена на информация относно тези рискове.</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и)</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буква д) от посочения регламент институциите предоставят информация за това дали екологичните рискове са включени в тяхната политика за възнагражденията, както и за критериите и показателите, използвани за определяне на въздействието на съображенията, свързани с екологичния риск, върху променливите възнаграждения.</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55721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 на риска</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й)</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е) от посочения регламент институциите предоставят информация за това как краткосрочните, средносрочните и дългосрочните въздействия на екологичните фактори и рискове са отразени в рамката за поносимост към риска. Институциите решават какъв ще бъде съответният времеви хоризонт в съответствие с рисковия си профил и експозициите си.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к)</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а) от посочения регламент институциите предоставят информация за методите, определенията и стандартите, които използват, за да установяват и управляват екологичните фактори и рискове, както и за рамката, на която се основават тези стандарти, определения и методи.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посочват как тези методи, определения и стандарти са свързани с приложимата рамка на политиката на Съюза и в международен план, както и с наличните референтни показатели.</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л)</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а) от посочения регламент институциите оповестяват:</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процесите, чрез които институцията установява и наблюдава своите дейности и експозиции, които са чувствителни и уязвими спрямо екологични рискове, включително всички свързани с такива дейности и експозиции движими и недвижими активи;</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процесите, чрез които институцията установява и наблюдава екологичните рискове, които са съществени от финансова гледна точка или които понастоящем не са съществени, но има възможност да станат съществени в бъдеще.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Дейностите, експозициите и активите, които са чувствителни и уязвими спрямо екологични рискове, включват онези от тях, които са свързани </w:t>
            </w:r>
            <w:r>
              <w:rPr>
                <w:rFonts w:ascii="Times New Roman" w:hAnsi="Times New Roman"/>
                <w:sz w:val="24"/>
              </w:rPr>
              <w:lastRenderedPageBreak/>
              <w:t>със секторите на селското стопанство, рибарството, горското стопанство, енергетиката, наред с географското им местоположение, зависимостта от води или други екологични фактори и рискове, които могат да бъдат уязвими спрямо различни фактори, включително наводнения, суша, пожари и загуба на биологично разнообразие. Те включват също така концентрацията на дейностите на контрагента в застрашени зони и се приема, че обхващат цялата верига на стойността на контрагента.</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Когато оповестяват информацията по настоящата буква, институциите посочват съществеността (включително двойната същественост), която трябва да се разбира в смисъла на определенията, съдържащи се в доклада, посочен в член 98, параграф 8 от Директива 2013/36/ЕС на Европейския парламент и на Съвета</w:t>
            </w:r>
            <w:r>
              <w:rPr>
                <w:rFonts w:ascii="Times New Roman" w:hAnsi="Times New Roman"/>
                <w:sz w:val="24"/>
                <w:vertAlign w:val="superscript"/>
              </w:rPr>
              <w:t>*10</w:t>
            </w:r>
            <w:r>
              <w:rPr>
                <w:rFonts w:ascii="Times New Roman" w:hAnsi="Times New Roman"/>
                <w:sz w:val="24"/>
              </w:rPr>
              <w:t>, и обхващат жизнения цикъл на експозициите, включително отпускането на кредити, заедно с оценката на кредитоспособността на контрагента и наблюдението.</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посочват до каква степен тази оценка обхваща съответните механизми на въздействие, включително i) по-ниска рентабилност, ii) по-ниска стойност на недвижимите имоти, по-ниско благосъстояние на домакинствата, iii) по-ниски показатели на активите, iv) по-високи разходи за спазване на изискванията и v) по-високи правни разходи.</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Ако дадена институция не установи наличието на съществени екологични рискове, тя трябва да обясни и обоснове причините за това и да опише методите, които е използвала за достигане до такова заключение.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м)</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г) от посочения регламент институциите предоставят информация за дейностите, поетите задължения и експозициите, които са въвели с цел смекчаване на екологичните рискове.</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методите, които използват за определяне на мерките и дейностите за ограничаване на риска. Освен това те предоставят информация за степента, в която тези дейности, поети задължения и експозиции отчитат съответните механизми на въздействие, включително i) по-ниска рентабилност, ii) по-ниска стойност на недвижимите имоти, по-ниско благосъстояние на домакинствата, iii) по-ниски показатели на активите, iv) по-високи разходи за спазване на изискванията и v) по-високи правни разходи.</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н)</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букви а) и е) от посочения регламент институциите предоставят информация относно инструментите за прилагане, които използват за установяване и управление на екологичните рискове. Тези инструменти включват стрес тестове, анализ на чувствителността или други показатели за предварителен анализ, които се прилагат на равнище експозиция, на равнище портфейл, на равнище контрагент или на секторно равнище в зависимост от съществеността на риска.</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В оповестената информация се посочват допусканията и методите, на които се основават съответните инструменти за прилагане. </w:t>
            </w:r>
            <w:r>
              <w:rPr>
                <w:rFonts w:ascii="Times New Roman" w:hAnsi="Times New Roman"/>
                <w:sz w:val="24"/>
              </w:rPr>
              <w:lastRenderedPageBreak/>
              <w:t>Институциите посочват също така времевия хоризонт, използван за оценката на екологичните рискове въз основа на счетоводни и пруденциални показатели, т.е. краткосрочни, средносрочни или дългосрочни времеви хоризонти.</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о)</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букви а) и е) от посочения регламент институциите описват резултата от оценката, извършена чрез инструмента за установяване и управление на риска, използван в съответствие с точка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предоставят информация за прогнозното въздействие на екологичния риск, включително риска, свързан с изменението на климата, върху платежоспособността на институцията, регулаторните капиталови изисквания и профила от гледна точка на риска по отношение на ликвидността в рамките на процеса на вътрешна оценка на капиталовата адекватност (ICAAP) и процеса на вътрешна оценка на адекватността на ликвидността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п)</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институциите предоставят сведения за данните и информацията, с които разполагат за целите на управлението на екологичните рискове, за липсващите към момента основни данни и информация, както и за мерките, които предприемат за отстраняване на пропуските в данните и за подобряване на качеството и точността на данните.</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р)</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е) от посочения регламент институциите предоставят информация за ограниченията, които определят в съответствие със стопанската си стратегия, относно финансирането на проекти или контрагенти, които нанасят значителни вреди във връзка с постигането на екологичните цели.</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Тези ограничения включват ограниченията, определени от институциите към момента на отпускането на кредити и наблюдението им с цел избягване или смекчаване на екологичните рискове, както и ограниченията, които показват кога конкретна експозиция би довела до коригиращи действия, допълнително проучване, вътрешно ескалиране или изключване от портфейла.</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с)</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описват как отразяват в баланса си възникващите екологични рискове и каква връзка намират между тях и кредитния, ликвидния, пазарния и операционния риск.</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трябва да обяснят как оценяват и управляват въздействието на прехода към нисковъглеродна и устойчива на изменението на климата икономика върху категориите пруденциален риск, включително кредитен риск, ликвиден риск, пазарен риск и операционен риск.</w:t>
            </w:r>
          </w:p>
        </w:tc>
      </w:tr>
    </w:tbl>
    <w:p w14:paraId="1A459844" w14:textId="77777777" w:rsidR="00183989" w:rsidRPr="00557215" w:rsidRDefault="00183989" w:rsidP="00183989">
      <w:pPr>
        <w:jc w:val="both"/>
        <w:rPr>
          <w:rFonts w:ascii="Times New Roman" w:hAnsi="Times New Roman" w:cs="Times New Roman"/>
          <w:b/>
          <w:noProof/>
          <w:sz w:val="24"/>
        </w:rPr>
      </w:pPr>
    </w:p>
    <w:p w14:paraId="7AEF1E59" w14:textId="77777777" w:rsidR="00183989" w:rsidRPr="00557215"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lastRenderedPageBreak/>
        <w:t xml:space="preserve">Таблица 2 — Качествена информация относно социалния риск: </w:t>
      </w:r>
      <w:r>
        <w:rPr>
          <w:rFonts w:ascii="Times New Roman" w:hAnsi="Times New Roman"/>
          <w:b/>
          <w:bCs/>
          <w:sz w:val="24"/>
        </w:rPr>
        <w:t>Полета със свободен текст за оповестяване</w:t>
      </w:r>
      <w:r>
        <w:rPr>
          <w:rFonts w:ascii="Times New Roman" w:hAnsi="Times New Roman"/>
          <w:sz w:val="24"/>
        </w:rPr>
        <w:t xml:space="preserve"> на качествена информация в приложение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Институциите използват следните указания при попълването на таблица 2 — „Качествена информация за социалния риск“ от приложение XXXIX към настоящия регламент, за да опишат как социалните рискове са отразени в тяхната стопанска стратегия и процеси, в управлението на институцията и в управлението на риска в съответствие с член 449а от Регламент (ЕС) № 575/2013 във връзка с член 435 от същия регламент.  </w:t>
      </w:r>
    </w:p>
    <w:p w14:paraId="4C6EAE40" w14:textId="77777777" w:rsidR="00183989" w:rsidRPr="00557215"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Препратки към законодателни актове и указания</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Ред №</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Обяснение</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Стопанска стратегия и процеси</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а)</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букви а) и д) от посочения регламент институциите посочват по какъв начин рисковете, произтичащи от социални фактори (т.е. социални рискове), са отразени в техния стопански модел, стратегия и процеси, както и финансово планиране, и как тези рискове се променят с течение на времето предвид развитието на технологиите, рамката на политиката, стопанската среда и предпочитанията на заинтересованите страни.</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б)</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а) и букви в) — е) от посочения регламент институциите описват своите цели, целеви стойности и ограничения по отношение на оценката и управлението на социалните рискове, както и процесите, които използват за определянето на тези цели, целеви стойности и ограничения.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Институциите посочват как тези цели, целеви стойности и ограничения са свързани с приложимата рамка на политиката в Съюза и в международен план, както и с наличните референтни показатели.</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Социалните аспекти са свързани с нарушаването на правата на човека, трудовите права, неравенството по отношение на доходите, липсата на права на човека, безопасността и защитата на потребителите, неприкосновеността на личния живот, бедността и недискриминацията. Освен това изменението на климата и преходът към нисковъглеродна икономика оказват социални въздействия, включващи промени на пазара на труда. Сред тях са намаляването на търсенето на определени работни места и умения, появата на нови работни места и умения, променящите се предпочитания на потребителите, готовността на акционерите своевременно да вземат под внимание в дейността на своите дружества климатичните, екологичните и социалните промени, както е посочено в параграф 78 от доклада на ЕБО, приет съгласно член 98, параграф 8 от Директива 2013/36/ЕС.</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в)</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г) от посочения регламент институциите описват начина, по който предприемат мерки за смекчаване на рисковете, свързани със социалните фактори, включително разбиране </w:t>
            </w:r>
            <w:r>
              <w:rPr>
                <w:rFonts w:ascii="Times New Roman" w:hAnsi="Times New Roman"/>
                <w:sz w:val="24"/>
              </w:rPr>
              <w:lastRenderedPageBreak/>
              <w:t>относно способността на контрагентите да управляват социалните рискове и започване на диалог с тях с цел смекчаването на тези рискове.</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557215"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г)</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б) и член 435, параграф 2, букви а), б) и в) от посочения регламент институциите описват как техният управителен орган участва в надзора и управлението на социалните рискове. Тази информация обхваща обосновката на подхода, възприет от управителния орган, и отчита редица социални фактори. Тези фактори включват ангажираността на институцията към общността и обществото, нейните отношения със служителите и спазването на трудовите стандарти, защитата на потребителите и отговорността за продуктите, както и правата на човека.</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д)</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букви а), б) и в) от посочения регламент институциите описват как организират своите комитети по риска и как разпределят задачите и отговорностите по управление на риска с цел наблюдение и управление на социалните рискове.</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Институциите предоставят информация както за своите вътрешни, така и за външните ресурси, предназначени за оценка на социалните рискове.</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е)</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буква д) от посочения регламент институциите описват начините, по които включват социалните рискове в своята рамка и структура за вътрешно отчитане, и посочват честотата на вътрешното отчитане и обмена на информация относно социалните рискове.</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ж)</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буква д) от посочения регламент институциите предоставят информация за това дали социалните рискове са включени в тяхната политика за възнагражденията, както и за критериите и показателите, използвани за определяне на въздействието на социалния риск върху променливите възнаграждения.</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55721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 на риска</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з)</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а) от посочения регламент институциите предоставят информация за методите, определенията и стандартите, които използват за установяването и управлението на социалните фактори и рискове, както и за рамката, на която се основават тези стандарти, определения и методи.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посочват как тези методи, определения и стандарти са свързани с приложимата рамка на политиката на Съюза и в международен план, както и с наличните референтни показатели.</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и)</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а) от посочения регламент институциите предоставят информация за процеса, чрез който установяват и наблюдават своите дейности и експозиции, които са чувствителни към социални рискове, включително чрез своите контрагенти, инвестиционни дейности или дейности по управление на активи, и включително всички движими и недвижими активи, свързани с тези дейности и експозиции.</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предоставят информация за процеса, чрез който установяват и наблюдават социалните рискове, които са съществени от финансова гледна точка или които понастоящем не са съществени, но има възможност да станат съществени в бъдеще.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Такива дейности, експозиции и активи, чувствителни към социални рискове, може да бъдат свързани с контрагенти, нарушаващи трудовото право, правата на човека или други социални закони или права, които може да бъдат правно оспорвани. По-конкретно, сред секторите с повишен социален риск може да бъдат сектори с работници мигранти, ниски заплати, ниски трудови стандарти или лоши условия на труд, които оказват отрицателно въздействие върху общностите и има по-висока вероятност да бъдат под обществен и политически контрол.</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й)</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а) от посочения регламент институциите предоставят информация за дейностите, поетите задължения и активите, с които разполагат за смекчаване на социалните рискове.</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к)</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1, буква а) от посочения регламент институциите предоставят информация относно инструментите за прилагане, които използват за установяване и управление на социалните рискове. Тези инструменти включват анализ на сценариите, прилаган на равнище експозиция, на равнище портфейл, на равнище контрагент или на секторно равнище, и обхващат фактори като миграцията, демографските тенденции, промените в работната сила и технологичните промени.</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Социалните рискове могат да включват и промяна в поведението на потребителите, проблеми, свързани с дискриминацията и социалното приобщаване, анализ на сценарии относно увеличаване на неравенството, социалното въздействие на изменението на климата, смекчаване на изменението на климата или адаптиране към него и влошаване на състоянието на околната среда.</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предоставят информация за допусканията и методите, използвани за извършване на този анализ на сценариите. Институциите посочват времевия хоризонт, използван за оценка на социалния риск, въз основа на счетоводни и пруденциални показатели, т.е. краткосрочен, средносрочен или дългосрочен времеви хоризонт.</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л)</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В съответствие с член 449а от Регламент (ЕС) № 575/2013 във връзка с член 435, параграф 1, буква е) от посочения регламент институциите предоставят информация за ограниченията, които определят относно </w:t>
            </w:r>
            <w:r>
              <w:rPr>
                <w:rFonts w:ascii="Times New Roman" w:hAnsi="Times New Roman"/>
                <w:sz w:val="24"/>
              </w:rPr>
              <w:lastRenderedPageBreak/>
              <w:t>финансирането на проекти или контрагенти, нанасящи значителни вреди във връзка с постигането на социалните цели на стопанската им стратегия.</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Тези ограничения включват ограниченията, определени от институциите в момента на отпускането на кредити и наблюдението им с цел избягване или смекчаване на социалните рискове, както и ограниченията, които показват кога конкретна експозиция би довела до допълнително проучване, вътрешно ескалиране, коригиращи действия или изключване от портфейла.</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м)</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институциите предоставят информация за това как отразяват в баланса си възникващите социални рискове и каква връзка намират между тях и кредитния, ликвидния, пазарния и операционния риск.</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трябва да предоставят информация за начините, по които оценяват и управляват въздействието на съответните събития, нанасящи вреди в социален аспект, върху категориите пруденциални рискове, включително кредитен риск, ликвиден риск, пазарен риск и операционен риск.</w:t>
            </w:r>
          </w:p>
        </w:tc>
      </w:tr>
    </w:tbl>
    <w:p w14:paraId="7BD0A166" w14:textId="77777777" w:rsidR="00183989" w:rsidRPr="00557215"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Таблица 3 — Качествена информация относно управленския риск:</w:t>
      </w:r>
      <w:r>
        <w:rPr>
          <w:rFonts w:ascii="Times New Roman" w:hAnsi="Times New Roman"/>
          <w:sz w:val="24"/>
        </w:rPr>
        <w:t xml:space="preserve"> Полета със свободен текст за оповестяване на качествена информация в приложение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Институциите използват следните указания при попълването на таблица 3 — „Качествена информация за управленския риск“ от приложение XXXIX към настоящия регламент, за да опишат как управленските рискове са отразени в управлението на институцията и в управлението на риска в съответствие с член 449а от Регламент (ЕС) № 575/2013 във връзка с член 435 от същия регламент.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Препратки към нормативни актове и указания</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Ред №</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Обяснение</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а)</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от посочения регламент институциите предоставят информация за начините, по които резултатите от управлението на контрагента са отразени в техните механизми за управление.</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Съображенията относно резултатите от управлението на контрагента трябва да обхващат необходимите стъпки от процесите на вземане на решения, надзор и управление на контрагента на всички равнища, включително комитетите на най-висшия управителен орган и комитетите, отговарящи за вземането на решения по икономически, екологични и социални въпроси.</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б)</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Институциите обясняват как вземат предвид ролята на висшия управителен орган на контрагента в отчитането на нефинансова информация, включително висшия комитет или функционалната длъжност, която официално преглежда и одобрява доклада на </w:t>
            </w:r>
            <w:r>
              <w:rPr>
                <w:rFonts w:ascii="Times New Roman" w:hAnsi="Times New Roman"/>
                <w:sz w:val="24"/>
              </w:rPr>
              <w:lastRenderedPageBreak/>
              <w:t>организацията относно устойчивостта и гарантира, че са обхванати всички съществени теми.</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в)</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В съответствие с член 449а от Регламент (ЕС) № 575/2013 във връзка с член 435, параграф 2 от посочения регламент институциите предоставят информация за начина, по който резултатите от управлението на контрагентите им са отразени в техните механизми за управление.</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Съображенията, свързани с резултатите от управлението на контрагентите на институцията, трябва да обхващат всички изброени по-долу елементи:</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етични съображения, включително почтеност на поведението, ценности и етика, мерки за борба с подкупите и с корупцията, отчетност и върховенство на закона;</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стратегия и управление на риска, включително прилагане на стратегията, оперативно изпълнение и наблюдение, вътрешен контрол и политики и процедури за управление на риска;</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приобщаване; включително неравнопоставеността между половете и представителството на хората от малцинствени групи в управлението, разликата в доходите;</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прозрачност; включително оповестяване на информация относно дискриминация, данъчни задължения и плащания, оповестяване на лобистки дейности и правила и практики;</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управление на конфликтите на интереси, включително процедури за най-висшия управителен орган, гарантиращи, че всеки конфликт на интереси се предотвратява, управлява и смекчава; както и</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вътрешна комуникация по критични въпроси, включително как функционира вътрешният процес на контрагента за уведомяване на най-висшия управителен орган при наличието на критични опасения.</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557215"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Управление на риска</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г)</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В съответствие с член 449а от Регламент (ЕС) № 575/2013 във връзка с член 435, параграф 1 от посочения регламент институциите предоставят информация за начина, по който резултатите от управлението на контрагентите им са отразени в механизмите им за управление на риска, като вземат предвид аспектите, посочени в ред 3.</w:t>
            </w:r>
          </w:p>
        </w:tc>
      </w:tr>
    </w:tbl>
    <w:p w14:paraId="4ABD82C5" w14:textId="77777777" w:rsidR="00183989" w:rsidRPr="00557215"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Образец 1 — Банков портфейл — Показатели за потенциален риск от прехода във връзка с изменението на климата: </w:t>
      </w:r>
      <w:r>
        <w:rPr>
          <w:rFonts w:ascii="Times New Roman" w:hAnsi="Times New Roman"/>
          <w:sz w:val="24"/>
        </w:rPr>
        <w:t>Кредитно качество на експозициите по сектори, емисии и остатъчен срок до падежа. Зададен формат.</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използват следните указания при попълването на образец 1 от приложение XXXIX към настоящия регламент, за да предоставят информация за експозициите, податливи в по голяма степен на рисковете, пред които институциите може да бъдат изправени при прехода към нисковъглеродна и устойчива на изменението на климата икономика. За целите на член 449а от Регламент (ЕС) №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а)</w:t>
      </w:r>
      <w:r>
        <w:rPr>
          <w:rFonts w:ascii="Times New Roman" w:hAnsi="Times New Roman"/>
          <w:sz w:val="24"/>
        </w:rPr>
        <w:tab/>
        <w:t xml:space="preserve">институциите оповестяват информация за своите експозиции към нефинансови предприятия, извършващи дейност в свързани с въглеродните емисии сектори, и за качеството на тези експозиции, включително състояние на необслужвани експозиции, експозиции, класифицирани във фаза 2, и свързаните с тях провизии, както и падежни групи;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б)</w:t>
      </w:r>
      <w:r>
        <w:rPr>
          <w:rFonts w:ascii="Times New Roman" w:hAnsi="Times New Roman"/>
          <w:sz w:val="24"/>
        </w:rPr>
        <w:tab/>
        <w:t>институциите започват да оповестяват информация за емисиите от обхват 1, 2 и 3 на своите контрагенти, ако такава вече е налична, включително качествена информация в описанието, придружаващо настоящия образец, относно методиката и източниците, използвани за изчисляването на тези емисии. Ако институциите все още не извършват оценка на емисиите на контрагентите си, свързани с техните дейности по финансиране, включително кредитни и инвестиционни дейности, те оповестяват информация относно плановете си за прилагане на методики за приблизително оценяване и оповестяване на тази информация. Институциите започват да оповестяват информацията в колони и) — к) от образеца, като първата референтна дата на оповестяване е 30 юни 2024 г.</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включват в описанието, придружаващо образеца, обяснения относно оповестената информация и промените в сравнение с предходни периоди на оповестяване, както и всички последици, които тези експозиции могат да имат по отношение на кредитните, пазарните, оперативните, репутационните и ликвидните рискове за институциите.</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включват в редовете на образеца разпределението на брутната балансова стойност на кредитите и авансите, дълговите ценни книжа и капиталовите инструменти към нефинансови предприятия, различни от държаните за търгуване, по сектори на икономическа дейност, като използват кодовете по номенклатурата на икономическите дейности (NACE), установена в Регламент (ЕО) № 1893/2006 на Европейския парламент и на Съвета</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за основната дейност на контрагента. Те включват също така междинните сборове, агрегиращи брутната балансова стойност на експозициите към сектори и подсектори, които в голяма степен допринасят за изменението на климата. По-специално се посочват секторите, изброени в раздели А—З и Л от приложение I към Регламент (ЕО) № 1893/2006, които включват секторите на нефта, природния газ, минното дело и транспорта като отрасли, които допринасят в голяма степен за изменението на климата, както е посочено в съображение 6 от Делегиран регламент (ЕС) 2020/1818 на Комисията</w:t>
      </w:r>
      <w:r>
        <w:rPr>
          <w:rFonts w:ascii="Times New Roman" w:hAnsi="Times New Roman"/>
          <w:sz w:val="24"/>
          <w:vertAlign w:val="superscript"/>
        </w:rPr>
        <w:t>*12</w:t>
      </w:r>
      <w:r>
        <w:rPr>
          <w:rFonts w:ascii="Times New Roman" w:hAnsi="Times New Roman"/>
          <w:sz w:val="24"/>
        </w:rPr>
        <w:t>; и междинен сбор от експозиции към „други сектори“, които не са посочени в това съображение.</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Разпределението по сектори от NACE на контрагента се основава на естеството на прекия контрагент.</w:t>
      </w:r>
      <w:r>
        <w:t xml:space="preserve"> </w:t>
      </w:r>
      <w:r>
        <w:rPr>
          <w:rFonts w:ascii="Times New Roman" w:hAnsi="Times New Roman"/>
          <w:sz w:val="24"/>
        </w:rPr>
        <w:t xml:space="preserve">Когато контрагентът на институциите е холдингово дружество, институциите вземат предвид сектора по NACE на конкретния длъжник в рамките на холдинговото дружество (ако е различен от холдинговото дружество), който получава </w:t>
      </w:r>
      <w:r>
        <w:rPr>
          <w:rFonts w:ascii="Times New Roman" w:hAnsi="Times New Roman"/>
          <w:sz w:val="24"/>
        </w:rPr>
        <w:lastRenderedPageBreak/>
        <w:t>финансирането (т.е. конкретното дъщерно предприятие на въпросното холдингово дружество), а не сектора на холдинговото дружество, особено в случаите, когато ползващият се от финансирането длъжник е нефинансово предприятие. Аналогично, когато прекият контрагент на дадена институция (длъжникът) е дружество със специална цел, институциите оповестяват съответната информация за сектора от NACE, свързан с икономическата дейност на дружеството майка на дружеството със специална цел. Класифицирането на експозициите, поети съвместно от няколко длъжници, се основава на характеристиките на длъжника, който е бил по-значим или определящ за това институцията да разреши експозицията. Разпределението на съвместно поетите експозиции по кодове по NACE се определя от характеристиките на длъжника, който има по-голямо значение или е определящ. Институциите оповестяват информацията по кодовете по NACE със степента на подробност, изисквана в редовете на образеца.</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Указания</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Обща брутна балансова стойност</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Институциите оповестяват брутната балансова стойност, посочена в част 1 от приложение V към Регламент за изпълнение (ЕС) 2021/451, на тези експозиции към нефинансови предприятия,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или активите, държани за продажба.</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б</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към дружества, изключени от референтните показатели на ЕС, съответстващи на Парижкото споразумение</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на тези експозиции към контрагенти, които са изключени от референтните показатели на ЕС, съответстващи на Парижкото споразумение, както е посочено в член 12, параграф 1, букви г) — ж) и член 12, параграф 2 от Делегиран регламент (ЕС)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в</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екологично устойчиви</w:t>
            </w:r>
          </w:p>
          <w:p w14:paraId="3835363F" w14:textId="77777777" w:rsidR="00183989" w:rsidRPr="00E50FA4" w:rsidRDefault="00183989" w:rsidP="00D0691F">
            <w:pPr>
              <w:spacing w:before="120" w:after="120"/>
              <w:jc w:val="both"/>
              <w:rPr>
                <w:bCs/>
                <w:noProof/>
              </w:rPr>
            </w:pPr>
            <w:r>
              <w:rPr>
                <w:rFonts w:ascii="Times New Roman" w:hAnsi="Times New Roman"/>
                <w:sz w:val="24"/>
              </w:rPr>
              <w:t>Институциите оповестяват експозициите, които се определят като екологично устойчиви, тъй като представляват дейности по финансиране, допринасящи или спомагащи за постигането на екологичната цел за смекчаване на изменението на климата в съответствие с членове 10 и 16 от Регламент (ЕС) 2020/852 съгласно оповестеното в образец 7 от приложение XXXIX към настоящия регламент.</w:t>
            </w:r>
          </w:p>
          <w:p w14:paraId="6C6EE831" w14:textId="77777777" w:rsidR="00183989" w:rsidRPr="00E50FA4" w:rsidRDefault="00183989" w:rsidP="00D0691F">
            <w:pPr>
              <w:pStyle w:val="Fait"/>
              <w:spacing w:after="120"/>
              <w:rPr>
                <w:noProof/>
              </w:rPr>
            </w:pPr>
            <w:r>
              <w:t xml:space="preserve">Институциите започват да оповестяват тази информация през 2024 г., като първата референтна дата на оповестяване е 31 декември 2023 г., за експозициите, включени в числителя на отношението на екосъобразните активи (ОЕА). </w:t>
            </w:r>
          </w:p>
          <w:p w14:paraId="75CE7E22" w14:textId="77777777" w:rsidR="00183989" w:rsidRPr="00E50FA4" w:rsidRDefault="00183989" w:rsidP="00D0691F">
            <w:pPr>
              <w:pStyle w:val="Fait"/>
              <w:spacing w:after="120"/>
              <w:rPr>
                <w:noProof/>
              </w:rPr>
            </w:pPr>
            <w:r>
              <w:t>Институциите могат да започнат да оповестяват тази информация през 2025 г., като първата референтна дата на оповестяване е 31 декември 2024 г., за експозициите, включени в числителя на отношението на съобразения с таксономията банков портфейл, но не и в числителя на ОЕА.</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г</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фаза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прилагащи Международните стандарти за финансово отчитане (МСФО), оповестяват брутната балансова стойност на инструментите от фаза 2, както е посочено в МСФО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Данните от колоните „В т.ч. фаза 2“ не се оповестяват от институциите, които прилагат национални общоприети счетоводни принципи, основани на Директива 86/635/ЕИО на Съвета</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д</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необслужвани експозиции</w:t>
            </w:r>
          </w:p>
          <w:p w14:paraId="102B58BE" w14:textId="77777777" w:rsidR="00183989" w:rsidRPr="00E50FA4" w:rsidRDefault="00183989" w:rsidP="00D0691F">
            <w:pPr>
              <w:pStyle w:val="Fait"/>
              <w:spacing w:before="0" w:after="120"/>
              <w:rPr>
                <w:b/>
                <w:noProof/>
                <w:u w:val="single"/>
              </w:rPr>
            </w:pPr>
            <w:r>
              <w:t>Институциите оповестяват необслужваните експозиции съгласно определението в член 47а, параграф 3 от Регламент (ЕС) №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Натрупана обезценка, натрупани отрицателни промени в справедливата стойност поради кредитен риск и провизии</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сумите, посочени в част 2, точки 11, 69, 70, 71, 106 и 110 от приложение V към Регламент за изпълнение (ЕС)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ж</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фаза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размера на натрупаната обезценка на експозициите от фаза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които прилагат МСФО, оповестяват брутната балансова стойност на инструментите от фаза 2, както е посочено в МСФО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Колоните „В т.ч. фаза 2“ не се оповестяват от институциите, които прилагат национални общоприети счетоводни принципи, основани на Директива 86/635/ЕИО.</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необслужвани експозиции</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необслужваните експозиции, както е посочено в член 47а, параграф 3 от Регламент (ЕС) №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Финансирани емисии на парникови газове (емисии на контрагента от обхват 1, обхват 2 и обхват 3) (в тонове еквивалент на CO2)</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Когато такава информация е налична, институциите оповестяват оценките на обхвата на своите емисии на парникови газове от обхват 3 в тонове CO2 (TCO2) като част от колона i). Оповестяването обхваща всички сектори и подсектори, включени в редове 2—52 от образеца, които допринасят в голяма степен за изменението на климата, включително секторите на нефта, природния газ, минното дело и транспорта, както е посочено в съображение 6 от Делегиран регламент (ЕС) 2020/1818.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Институциите основават оценката на емисиите от обхват 3 на информацията за емисиите, събрана от техните контрагенти, и на информацията за средния за сектора интензитет на емисиите. Методите за изчисляване на въглеродните емисии на дружествата включват Глобалния стандарт за отчитане и докладване на емисиите на парникови газове във финансовия сектор, разработен от Партньорството за финансови институции, отчитащи въглеродни емисии</w:t>
            </w:r>
            <w:r>
              <w:rPr>
                <w:rFonts w:ascii="Times New Roman" w:hAnsi="Times New Roman"/>
                <w:sz w:val="24"/>
                <w:vertAlign w:val="superscript"/>
              </w:rPr>
              <w:t>*14</w:t>
            </w:r>
            <w:r>
              <w:rPr>
                <w:rFonts w:ascii="Times New Roman" w:hAnsi="Times New Roman"/>
                <w:sz w:val="24"/>
              </w:rPr>
              <w:t xml:space="preserve"> (чиято дейност е от особено </w:t>
            </w:r>
            <w:r>
              <w:rPr>
                <w:rFonts w:ascii="Times New Roman" w:hAnsi="Times New Roman"/>
                <w:sz w:val="24"/>
              </w:rPr>
              <w:lastRenderedPageBreak/>
              <w:t>значение за TCFD), или Проекта за оповестяване на информация относно въглеродните емисии</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Институциите оценяват пропорционално емисиите от обхват 3 по сектори, включително като вземат под внимание своите експозиции (кредити и аванси, дългови ценни книжа и дялови участия) към контрагента спрямо общия размер на пасивите (счетоводни пасиви и собствен капитал на акционерите) </w:t>
            </w:r>
            <w:bookmarkEnd w:id="10"/>
            <w:r>
              <w:rPr>
                <w:rFonts w:ascii="Times New Roman" w:hAnsi="Times New Roman"/>
                <w:sz w:val="24"/>
              </w:rPr>
              <w:t>на контрагента.</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В описанието, придружаващо образеца, институциите предоставят подробни обяснения относно използваните източници на данни и методиката, която са приложили за оценката на своите емисии на парникови газове от обхват 3. По-специално институциите следва да посочат дали оповестяват някое от следните:</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а)</w:t>
            </w:r>
            <w:r>
              <w:tab/>
            </w:r>
            <w:r>
              <w:rPr>
                <w:rFonts w:ascii="Times New Roman" w:hAnsi="Times New Roman"/>
                <w:sz w:val="24"/>
              </w:rPr>
              <w:t xml:space="preserve">отчитани емисии (данните за емисиите се събират пряко от кредитополучателя или от предприятието — обект на инвестиции);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б)</w:t>
            </w:r>
            <w:r>
              <w:tab/>
            </w:r>
            <w:r>
              <w:rPr>
                <w:rFonts w:ascii="Times New Roman" w:hAnsi="Times New Roman"/>
                <w:sz w:val="24"/>
              </w:rPr>
              <w:t xml:space="preserve">емисии въз основа на физическа дейност (емисиите се оценяват приблизително от отчитащата се финансова институция въз основа на данни за първичната физическа активност, събрани от кредитополучателя или от предприятието — обект на инвестиции);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в)</w:t>
            </w:r>
            <w:r>
              <w:tab/>
            </w:r>
            <w:r>
              <w:rPr>
                <w:rFonts w:ascii="Times New Roman" w:hAnsi="Times New Roman"/>
                <w:sz w:val="24"/>
              </w:rPr>
              <w:t>емисии, основани на икономическата дейност (емисиите се оценяват приблизително от отчитащата се финансова институция въз основа на данни за икономическата дейност, събрани от кредитополучателя или от предприятието — обект на инвестиции).</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Ако институциите все още не извършват приблизителна оценка на емисиите на контрагентите си, свързани с техните дейности по финансиране, включително кредитни и инвестиционни дейности, те оповестяват информация относно плановете си за прилагане на методи за приблизителна оценка на тази информация. Институциите оповестяват информацията в колони и), й) и к) от образеца, като първата референтна дата на оповестяване е 30 юни 2024 г.</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могат да решат да започнат да оповестяват тази информация по-рано, т.е. с първа референтна дата на оповестяване 31 декември 2022 г.</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й</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финансирани емисии от обхват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емисиите от обхват 3 на контрагентите си във връзка с кредитните и инвестиционните си дейности. Когато институциите все още не извършват приблизителна оценка на своите емисии от обхват 3, те оставят колона й) празна и в описанието, придружаващо образеца, оповестяват плановете си за прилагане на методи за приблизителна оценка и оповестяване на тази информация.</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Институциите оповестяват своите емисии от обхват 3 въз основа на принципа на полагане на максимални усилия, като обхващат най-значимите сектори в съответствие с подхода на Партньорството за финансови институции, отчитащи въглеродни емисии, и поетапния подход за емисиите от обхват 3, включен в член 5 от Делегиран регламент (ЕС)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lastRenderedPageBreak/>
              <w:t>Институциите оповестяват информация за емисиите от обхват 3 на контрагента за всички сектори, включени в образеца с първа референтна дата на оповестяване 30 юни 2024 г.</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За секторите, в които са налице предизвикателства по отношение на данните и методологията, институциите следват Протокола за парниковите газове и неговите 15 етапа, както нагоре, така и надолу по веригата.</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В съответствие с насоките на TCFD относно показателите и целите институциите трябва да бъдат прозрачни по отношение на предизвикателствата при събирането на този вид информация и да избягват двойното отчитане, доколкото е възможно.</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Институциите започват да оповестяват информацията в колона й) от образеца, като първата референтна дата на оповестяване е 30 юни 2024 г.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Институциите могат да решат да започнат да оповестяват тази информация по-рано, т.е. с първа референтна дата на оповестяване 31 декември 2022 г.</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к</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Емисии на парникови газове (колона и): процент на брутната балансова стойност от портфейла, произтичаща от отчитане от страна на конкретно дружество</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посочват процента от портфейла (брутната балансова стойност на експозициите), за който са били в състояние да оценят приблизително емисиите от обхват 1, 2 и 3 на своите контрагенти, свързани с кредитните и инвестиционните дейности на институциите, въз основа на информацията, оповестена от техните контрагенти или съобщена на институцията на двустранна основа.</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л — п</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години; &gt; 5 години &lt; = 10 години; &gt; 10 години &lt; = 20 години; &gt; 20 години; Среднопретеглен срок до падежа</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отнасят експозициите към съответната група в зависимост от остатъчния срок до падежа на финансовия инструмент, като вземат предвид следното:</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а) когато сумата се изплаща на вноски, експозицията се отнася към падежната група, съответстваща на последната вноска;</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б) когато експозицията е без посочен падеж по причини, които не са свързани с избора на контрагента на дата на погасяване, или при дялови участия размерът на тази експозиция се оповестява в най-голямата падежна група „&gt; 20 години“;</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в) за изчисляването на средния срок до падежа на експозициите институциите претеглят срока до падежа на всяка експозиция с брутната балансова стойност на експозициите.</w:t>
            </w:r>
          </w:p>
        </w:tc>
      </w:tr>
    </w:tbl>
    <w:p w14:paraId="386F8D8E" w14:textId="77777777" w:rsidR="00183989" w:rsidRPr="00557215"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Образец 2: Банков портфейл — Показатели за потенциален риск от прехода във връзка с изменението на климата: Кредити, обезпечени с недвижим имот — Енергийна ефективност на обезпечението. Зададен формат.</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2: Банков портфейл — Показатели за потенциален риск от </w:t>
      </w:r>
      <w:r>
        <w:rPr>
          <w:rFonts w:ascii="Times New Roman" w:hAnsi="Times New Roman"/>
          <w:sz w:val="24"/>
        </w:rPr>
        <w:lastRenderedPageBreak/>
        <w:t xml:space="preserve">прехода във връзка с изменението на климата: Кредити, обезпечени с недвижим имот — Енергийна ефективност на обезпечението, както е посочено в приложение XXXIX към настоящия регламент.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Директива 2010/31/EС на Европейския парламент и на Съвета</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и Директива 2012/27/ЕС на Европейския парламент и на Съвета</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насърчават политиките, насочени към постигането на висока енергийна ефективност и декарбонизиран сграден фонд до 2050 г. С Директива 2010/31/ЕС бяха въведени сертификатите за енергийните характеристики (СЕХ) като инструменти за подобряване на енергийните характеристики на сградите. Става дума за сертификат, признат от държава членка или от определено от нея юридическо лице, в който са посочени енергийните характеристики на дадена сграда или част от сграда, изчислени в съответствие с посочената директива.</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В настоящия образец е показана брутната балансова стойност, както е посочена в част 1 от приложение V към Регламент за изпълнение (ЕС) 2021/451, на кредитите, обезпечени с търговски и жилищни недвижими имоти, и на усвоените обезпечения, предоставени във вид на недвижими имоти, включително информация за равнището на енергийна ефективност на обезпеченията, измерено чрез потребление на енергия в kWh/m² (колони б) — ж) от образеца), чрез обозначението на сертификата за енергийните характеристики (СЕХ) на обезпечението, както е посочено в член 2, точка 12 от Директива 2010/31/ЕС за държавите членки, или както е определена в съответната местна нормативна уредба по отношение на експозиции извън Съюза, когато има съотнасяне към знака на Съюза за EPC (колони з) — н).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По-специално, в колони б) — ж) институциите оповестяват брутната балансова стойност на експозициите по групи по енергийна ефективност въз основа на конкретното потребление на енергия на обезпечението в kWh/m</w:t>
      </w:r>
      <w:r>
        <w:rPr>
          <w:rFonts w:ascii="Times New Roman" w:hAnsi="Times New Roman"/>
          <w:sz w:val="24"/>
          <w:vertAlign w:val="superscript"/>
        </w:rPr>
        <w:t>2</w:t>
      </w:r>
      <w:r>
        <w:rPr>
          <w:rFonts w:ascii="Times New Roman" w:hAnsi="Times New Roman"/>
          <w:sz w:val="24"/>
        </w:rPr>
        <w:t xml:space="preserve">, както е посочено в обозначението по СЕХ на обезпечението или е приблизително оценено от институциите при липса на обозначение по СЕХ. В редове 5 и 10 на образеца институциите посочват до каква степен тези данни са получени чрез приблизителна оценка, а не въз основа на обозначения по СЕХ. В колони з) — н) институциите оповестяват брутната балансова стойност на експозициите, групирани по обозначение по СЕХ за обезпеченията, за които институцията разполага с информация за СЕХ.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Когато оповестяват разпределението на обезпеченията по СЕХ, институциите оповестяват отделно в колона о) експозициите, за които не разполагат с информация за СЕХ на обезпечението. Когато институциите нямат информация за СЕХ, но използват вътрешни изчисления за приблизителна оценка на енергийната ефективност на обезпечението, те оповестяват какъв е процентът на експозициите без обозначение по СЕХ на обезпечението, за който предоставят приблизителни оценки (процентът трябва да се изчисли въз основа на брутната балансова стойност на експозициите). Институциите оповестяват общите брутни балансови стойности по равнище на потребление на енергия и по обозначение по СЕХ, разпределени по местоположение (за Съюза и извън Съюза), като правят разграничение между кредитите, обезпечени с търговски недвижими имоти, кредитите, обезпечени с жилищни недвижими имоти, и обезпеченията, получени чрез влизане във владение.</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При експозиции към субекти, намиращи се в трети държави, за които не е налично обозначение, еквивалентно на това по СЕХ, институциите оставят колони з) — н) празни. Институциите обаче оповестяват информацията, изисквана в колони о) </w:t>
      </w:r>
      <w:r>
        <w:rPr>
          <w:rFonts w:ascii="Times New Roman" w:hAnsi="Times New Roman"/>
          <w:sz w:val="24"/>
        </w:rPr>
        <w:lastRenderedPageBreak/>
        <w:t>и п) и, когато е приложимо, колони б) — ж), като предоставят данни по приблизителна оценки.</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За експозициите, свързани с повече от едно обезпечение, като например два недвижими имота, информацията за енергийната ефективност на свързаните с експозицията имоти се разделя и оповестява отделно за равнищата на енергийна ефективност (както за KWh/m2 на обезпечението, колони б) — ж), така и за обозначението по СЕХ, колони з) — н), отнасящи се за енергийната ефективност на всяко обезпечение). По-конкретно, институциите изчисляват дела на всяко обезпечение от брутната балансова стойност на експозицията въз основа на стойността на обезпечението и го оповестяват в групата по енергийна ефективност, свързана с всяко обезпечение. Например институцията има кредит с брутна балансова стойност 100 000 EUR, обезпечен с два имота: имот А и имот Б. Стойността на обезпечението на имот А е 80 000 EUR, а обозначението по СЕХ е А, докато стойността на обезпечението на имот Б е 70 000 EUR, а обозначението по СЕХ е D. В този пример институциите следва да оповестят 53 333 EUR (т.е. 100 000 EUR * [80 000/(80 000 + 70 000)] за обозначението A по СЕХ и 46 667 EUR (т.е. 100 000 EUR * [70 000/(80 000 + 70 000)] за обозначението D по СЕХ, като и двете стойности се отнасят за въпросния кредит.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 xml:space="preserve">Образец 3: Банков портфейл — Показатели за потенциален риск от прехода във връзка с изменението на климата: </w:t>
      </w:r>
      <w:r>
        <w:rPr>
          <w:rFonts w:ascii="Times New Roman" w:hAnsi="Times New Roman"/>
          <w:b/>
          <w:bCs/>
          <w:sz w:val="24"/>
        </w:rPr>
        <w:t>показатели за съответствие</w:t>
      </w:r>
      <w:r>
        <w:rPr>
          <w:rFonts w:ascii="Times New Roman" w:hAnsi="Times New Roman"/>
          <w:sz w:val="24"/>
        </w:rPr>
        <w:t>. Гъвкав формат (задени колони, гъвкави редове).</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3: Банков портфейл — Показатели за потенциален риск от прехода във връзка с изменението на климата: показатели за съответствие“, както е определено в приложение XXXIX към настоящия регламент.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В настоящия образец институциите оповестяват информация за усилията си за привеждане в съответствие с целите на Парижкото споразумение за определен брой сектори. Оповестяванията относно привеждането в съответствие отразяват степента, в която финансовите потоци са в съответствие с целта за постигане на ниски емисии на парникови газове и устойчиво на изменението на климата развитие, както е посочено в Парижкото споразумение. Икономическият сценарий, който описва този път за декарбонизация, е сценарият на Международната агенция по енергетика (МАЕ) за нулеви нетни емисии до 2050 г. (NZE2050)</w:t>
      </w:r>
      <w:r>
        <w:rPr>
          <w:rFonts w:ascii="Times New Roman" w:hAnsi="Times New Roman"/>
          <w:sz w:val="24"/>
          <w:vertAlign w:val="superscript"/>
        </w:rPr>
        <w:t>*18</w:t>
      </w:r>
      <w:r>
        <w:rPr>
          <w:rFonts w:ascii="Times New Roman" w:hAnsi="Times New Roman"/>
          <w:sz w:val="24"/>
        </w:rPr>
        <w:t xml:space="preserve">. Институциите вземат предвид този сценарий. Като се има предвид, че МАЕ предоставя сценарии на световно равнище и някои специфични показатели на европейско равнище, институциите трябва да измерят отстоянието от референтните показатели за сценариите на МАЕ на световно равнище до специфичните показатели на европейско равнище, когато са налични.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които вече оценяват информацията относно привеждането в съответствие с Парижкото споразумение по сектори, оповестяват информацията в настоящия образец. Институциите трябва да посочат в описанието, придружаващо образеца, използвания метод и източника на данни. Институциите, които все още не извършват оценка на привеждането в съответствие по сектори, оповестяват информация за плановете си за прилагане на метод за оценка и за оповестяване на тази информация. Във всеки случай институциите започват да оповестяват информацията, включена в настоящия образец с първа референтна дата на оповестяване 30 юни 2024 г.</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В настоящия образец институциите оповестяват следното:</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lastRenderedPageBreak/>
        <w:t>Колони а) и б): тези колони съдържат секторите (сектори според МАЕ) в колона а), в която в редове 1—8 е посочен задължителният минимален набор от сектори, както и подсекторите (сектори по NACE в колона б) съгласно минималния набор от „сектори по NACE, които трябва да бъдат взети предвид“, както е посочено в образеца).</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Когато институцията е холдингово дружество, институциите вземат предвид сектора по NACE на конкретния длъжник, контролиран от холдинговото дружество (ако е различен от холдинговото дружество), който получава финансирането, а не сектора на холдинговото дружество, особено в случаите, когато длъжникът е нефинансово предприятие. Аналогично, когато прекият контрагент на институцията (длъжникът) е дружество със специална цел, институциите оповестяват съответната информация за сектора от NACE, свързан с икономическата дейност на дружеството — майка на дружеството със специална цел.</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Класифицирането на експозициите, поети съвместно от няколко длъжници, се основава на характеристиките на длъжника, който е бил по-значим или определящ за това институцията да разреши експозицията. Институциите оповестяват информацията по кодовете по NACE със степента на подробност, изисквана в колона б).</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Колона в): брутната балансова стойност съгласно определението в част 1 от приложение V към Регламент за изпълнение (ЕС) 2021/451 на тези експозиции към нефинансови предприятия във всеки от секторите, посочени в колони а) и б),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или активите, държани за продажба.</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Колони г) и д): показател(и) за съответствие, прилаган(и) от институцията, и най-близка референтна година за показателя(ите) за съответствие за всеки сектор. Институциите използват показателя(ите) за съответствие, които може да бъдат измерени спрямо сценария за нулеви нетни емисии до 2050 г. (NZE2050). Институциите трябва да гарантират, че показателите дават възможност за цялостно оповестяване на финансираните от институциите производствени мощности и обхващат съответните финансирани дейности с висок въглероден интензитет. В образеца са включени някои примерни показатели. Институциите трябва да оповестят няколко показателя за всеки сектор, който е от значение за тяхната дейност по финансиране. Те трябва да обхващат показателите за интензитета на емисиите, показателите, основани на набора от използвани технологии, и показателите, основани на производството. Институциите следва да разчитат на оценката на базовите активи и дейности, свързани с финансовите инструменти.</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При кредитите, при които използването на постъпленията е известно, стойността се включва за съответния сектор и показател за съответствие. При кредитите, при които използването на постъпленията не е известно, брутната балансова стойност на експозицията се отнася към съответните сектори и показатели за съответствие въз основа на разпределението на дейността на контрагентите, включително по оборот на контрагентите по дейности.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lastRenderedPageBreak/>
        <w:t>Институциите добавят в образеца ред за всяка съответна комбинация от сектори, оповестени в колона б), и за показателите за съответствие, включени в колона г).</w:t>
      </w:r>
    </w:p>
    <w:p w14:paraId="1D2A64A6" w14:textId="77777777" w:rsidR="00183989" w:rsidRPr="00E50FA4" w:rsidRDefault="00183989" w:rsidP="00555252">
      <w:pPr>
        <w:pStyle w:val="ListParagraph"/>
        <w:numPr>
          <w:ilvl w:val="0"/>
          <w:numId w:val="32"/>
        </w:numPr>
        <w:spacing w:before="120" w:after="120"/>
        <w:ind w:left="567" w:hanging="567"/>
        <w:jc w:val="both"/>
        <w:rPr>
          <w:rFonts w:ascii="Times New Roman" w:hAnsi="Times New Roman"/>
          <w:noProof/>
          <w:sz w:val="24"/>
        </w:rPr>
      </w:pPr>
      <w:r>
        <w:rPr>
          <w:rFonts w:ascii="Times New Roman" w:hAnsi="Times New Roman"/>
          <w:sz w:val="24"/>
        </w:rPr>
        <w:t>Колона е): времевото отстояние на показателя(ите) в колона г) до конкретните данни за 2030 г. от сценария за нулеви нетни емисии до 2050 г. (NZE2050) се изразява в процентни пунктове. Това отстояние представлява текущата степен на привеждане в съответствие с показателя от сценария за 2030 г. и се изразява като разликата между показателя в колона г) и прогнозата от сценария на МАЕ за 2030 г., разделена на референтния показател от сценария и преобразувана в проценти.</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Институциите могат да намерят съответната информация и приложимите показатели от сценариите за 2030 г. по сектори на уебсайта на МАЕ. По-конкретно, институциите включват препратка към документа „Нулеви нетни емисии до 2050 г. — Пътна карта за световния сектор на енергетиката“, който МАЕ публикува всяка година</w:t>
      </w:r>
      <w:r>
        <w:rPr>
          <w:rFonts w:ascii="Times New Roman" w:hAnsi="Times New Roman"/>
          <w:sz w:val="24"/>
          <w:vertAlign w:val="superscript"/>
        </w:rPr>
        <w:t>*19</w:t>
      </w:r>
      <w:r>
        <w:rPr>
          <w:rFonts w:ascii="Times New Roman" w:hAnsi="Times New Roman"/>
          <w:sz w:val="24"/>
        </w:rPr>
        <w:t>. Конкретните данни и показатели може да бъдат изтеглени от таблицата в Excel, включена в сценария за нулеви нетни емисии до 2050 г., разработен от Международната агенция по енергетика.</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Счита се, че базовите дейности на експозициите са в съответствие, когато равнището на показателя е под това на референтния показател за референтните показатели с намаляваща стойност (дейности с висок въглероден интензитет) или е над него за референтните показатели с нарастваща стойност (дейности с нисък въглероден интензитет);</w:t>
      </w:r>
    </w:p>
    <w:p w14:paraId="7182897D" w14:textId="77777777" w:rsidR="00183989" w:rsidRPr="00557215"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ж)</w:t>
      </w:r>
      <w:r>
        <w:rPr>
          <w:rFonts w:ascii="Times New Roman" w:hAnsi="Times New Roman"/>
          <w:sz w:val="24"/>
        </w:rPr>
        <w:tab/>
        <w:t>Колона ж): цел на институциите за 3 години след референтната година, посочена в колона д), и показателя за съответствие, посочен в колона г). В колона ж) се посочват планът за привеждане в съответствие на портфейла и целите, които институциите планират да постигнат, за да продължат да следват сценария на МАЕ в дългосрочен план.</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 xml:space="preserve">Образец 4 — Банков портфейл — Показатели за потенциален риск от прехода във връзка с изменението на климата: </w:t>
      </w:r>
      <w:r>
        <w:rPr>
          <w:rFonts w:ascii="Times New Roman" w:hAnsi="Times New Roman"/>
          <w:b/>
          <w:bCs/>
          <w:sz w:val="24"/>
        </w:rPr>
        <w:t>експозиции към 20-те дружества с най-висок въглероден интензитет.</w:t>
      </w:r>
      <w:r>
        <w:rPr>
          <w:rFonts w:ascii="Times New Roman" w:hAnsi="Times New Roman"/>
          <w:sz w:val="24"/>
        </w:rPr>
        <w:t xml:space="preserve"> </w:t>
      </w:r>
      <w:r>
        <w:rPr>
          <w:rFonts w:ascii="Times New Roman" w:hAnsi="Times New Roman"/>
          <w:b/>
          <w:sz w:val="24"/>
        </w:rPr>
        <w:t>Зададен формат</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4: Банков портфейл — Показатели за потенциален риск от прехода във връзка с изменението на климата: „Експозиции към 20-те дружества с най-висок въглероден интензитет“, както е посочено в приложение XXXIX към настоящия регламент.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В настоящия образец институциите оповестяват агрегирана информация за експозициите към контрагентите с най-висок въглероден интензитет в световен мащаб. Те включват агрегирана и анонимизирана информация за брутната балансова стойност на експозициите към максимум 20 контрагенти, които са сред 20-те дружества с най-висок въглероден интензитет в света. Информацията се основава на публично достъпна и точна информация от надежден източник. Сред примерите за </w:t>
      </w:r>
      <w:r>
        <w:rPr>
          <w:rFonts w:ascii="Times New Roman" w:hAnsi="Times New Roman"/>
          <w:sz w:val="24"/>
        </w:rPr>
        <w:lastRenderedPageBreak/>
        <w:t>източници на данни за определяне на дружествата с най-висок въглероден интензитет са базата данни за дружествата с най-високи въглеродни емисии (Carbon Majors Database) и докладите по Проекта за оповестяване на информация за въглеродните емисии и Института за отчетност в областта на климата, както и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В описанието, придружаващо оповестяваните данни, институциите оповестяват използвания източник на данните. Когато институциите не са в състояние да установят експозиции към 20-те дружества с най-висок въглероден интензитет в световен мащаб, те обясняват защо не са посочили такива експозиции, включително в случай че нямат експозиции към 20-те дружества с най-висок въглероден интензитет в световен мащаб. </w:t>
      </w:r>
    </w:p>
    <w:p w14:paraId="5749086F" w14:textId="77777777" w:rsidR="00183989" w:rsidRPr="00557215"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557215"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Колона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Указания</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Брутна балансова стойност (агрегирана)</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Брутната балансова стойност има значението, посочено в част 1 от приложение V към Регламент за изпълнение (ЕС) 2021/451. Тя включва кредити и аванси, дългови ценни книжа и капиталови инструменти, класифицирани в счетоводните портфейли в банковия портфейл съгласно посочения регламент за изпълнение, с изключение на финансовите активи, държани за търгуване, и активите, държани за продажба.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Институциите включват агрегираните експозиции към максимум 20 контрагента на институцията, които са сред 20-те дружества с най-висок въглероден интензитет в световен мащаб.</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б</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Брутна балансова стойност към дружеството в сравнение с общата брутна балансова стойност (агрегирана)</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Институциите оповестяват процента, получен от агрегираната брутна балансова стойност, посочена в колона а), разделена на общата брутна балансова стойност на експозициите на институциите в банковия портфейл, както е посочено в част 1 от приложение V към Регламент за изпълнение (ЕС) 2021/451, включително кредитите и авансите, дълговите ценни книжа и капиталовите инструменти в банковия портфейл,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 активите, държани за продажба.</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в</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В т.ч. екологично устойчиви</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агрегираната обща брутна балансова стойност на екологично устойчивите експозиции, допринасящи за постигането на целта за смекчаване на изменението на климата. По отношение на кредитирането със специална цел тази сума се основава на целта на финансираната дейност, а по отношение на целта за смекчаване на изменението на климата (% от оборота, допринасящ съществено за смекчаването на изменението на климата) — на информацията от контрагента относно степента на съобразяване на неговите икономически дейности с Регламент (ЕС) 2020/852.</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Институциите започват да оповестяват тази информация с първа референтна дата на оповестяване 31 декември 2023 г.</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г</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Среден срок до падежа</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средния срок до падежа на експозициите, взети предвид при изчисляването, претеглен с брутната балансова стойност на експозицията.</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д</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Брой на включените 20 предприятия, причиняващи най-голямо замърсяване</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посочват броя на дружествата, причиняващи най-голямо замърсяване, включени в изчислението на агрегираната брутна балансова стойност.</w:t>
            </w:r>
          </w:p>
        </w:tc>
      </w:tr>
    </w:tbl>
    <w:p w14:paraId="09C823B2" w14:textId="77777777" w:rsidR="00183989" w:rsidRPr="00557215"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 xml:space="preserve">Образец 5 — Банков портфейл — Показатели за потенциален физически риск, свързан с изменението на климата: </w:t>
      </w:r>
      <w:r>
        <w:rPr>
          <w:rFonts w:ascii="Times New Roman" w:hAnsi="Times New Roman"/>
          <w:b/>
          <w:bCs/>
          <w:sz w:val="24"/>
        </w:rPr>
        <w:t>експозиции, изложени на физически риск</w:t>
      </w:r>
      <w:r>
        <w:rPr>
          <w:rFonts w:ascii="Times New Roman" w:hAnsi="Times New Roman"/>
          <w:sz w:val="24"/>
        </w:rPr>
        <w:t>. Зададен формат.</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5: „Банков портфейл — Показатели за потенциален физически риск, свързан с изменението на климата: експозиции, изложени на физически риск“, както е посочено в приложение XXXIX към настоящия регламент.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В настоящия образец институциите включват информация за експозициите в банковия портфейл, включително кредити и аванси, дългови ценни книжа и капиталови инструменти, които не са държани за търгуване и за продажба, към нефинансови предприятия, за кредитите, обезпечени с недвижими имоти, и за усвоените обезпечения, предоставени във вид на недвижими имоти, изложени на хронични и остри рискове, свързани с климата, разпределени по сектори на икономическа дейност (класификация NACE) и по географско местоположение на дейността на контрагента или на обезпечението, за секторите и географските райони, изложени на остри и хронични явления, свързани с изменението на климата.</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използват специални портали и бази данни за определяне на географските райони, които са податливи на специфични рискове, свързани с климата. За да получат информация относно характеристиките на местата, чувствителни към явления, свързани с изменението на климата, институциите могат да използват данните, предоставени от органите на Съюза и от националните правителствени органи, включително метеорологични, екологични, статистически агенции или геонаучни организации. Примери за източници на данни с оглед установяването на географските райони, изложени на рискове, свързани с изменението на климата: Глобален инструмент за ограничаване на бедствията и възстановяване</w:t>
      </w:r>
      <w:r>
        <w:rPr>
          <w:rFonts w:ascii="Times New Roman" w:hAnsi="Times New Roman"/>
          <w:sz w:val="24"/>
          <w:vertAlign w:val="superscript"/>
        </w:rPr>
        <w:t>*20</w:t>
      </w:r>
      <w:r>
        <w:rPr>
          <w:rFonts w:ascii="Times New Roman" w:hAnsi="Times New Roman"/>
          <w:sz w:val="24"/>
        </w:rPr>
        <w:t xml:space="preserve"> ( GFDRR) — ThinkHazard! (обхваща горещини, недостиг на вода и воден стрес, наводнения, горски пожари, урагани, свлачища); Партньорство за устойчивост и подготвеност (PREP) — PREPdata (крайбрежни наводнения, екстремни горещини, свлачища, недостиг на вода и воден стрес, горски пожари); Институт по световните ресурси (WRI) — Атлас на водния риск Aqueduct (наводнения, крайбрежни наводнения, недостиг на вода и воден стрес); Презастрахователно дружество Swiss Re — CatNet® (наводнения, тропически циклони (урагани и тайфуни), горски пожари); Световна банка — Портал за знания в областта на изменението на климата (екстремни горещини, екстремни валежи, суши); Princeton Climate Analytics — Глобална платформа за риска от суша (суши); </w:t>
      </w:r>
      <w:r>
        <w:rPr>
          <w:rFonts w:ascii="Times New Roman" w:hAnsi="Times New Roman"/>
          <w:sz w:val="24"/>
        </w:rPr>
        <w:lastRenderedPageBreak/>
        <w:t xml:space="preserve">Национална администрация за океаните и атмосферата (NOAA) — Исторически криви на ураганите (тропически циклони (урагани и тайфуни).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Когато контрагентът е холдингово дружество, институциите вземат предвид сектора по NACE на конкретния длъжник, контролиран от холдинговото дружество (ако е различен от холдинговото дружество), който получава финансирането, особено в случаите, когато длъжникът е нефинансово предприятие. Аналогично, когато прекият контрагент на институцията (длъжникът) е дружество със специална цел, институциите оповестяват съответната информация за сектора по NACE, свързан с икономическата дейност на дружеството — майка на дружеството със специална цел. Класифицирането на съвместните експозиции към няколко длъжници се извършва въз основа на характеристиките на длъжника, който е бил от най-голямо значение за решението на институцията да разреши експозицията. Солидарно поетите експозиции се разпределят по кодове на NACE въз основа на характеристиките на по-значимия или определящия длъжник.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Институциите оповестяват информацията в настоящия образец въз основа на принципа на полагане на максимални усилия, като в описанието, придружаващо образеца, посочват източниците на информация и методите, които са използвали за установяването на експозициите, изложени на физически риск, свързан с изменението на климата.</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Колони</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Указания</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Географски райони, изложени на остри и хронични явления, свързани с изменението на климата</w:t>
            </w:r>
          </w:p>
          <w:p w14:paraId="1D184C39" w14:textId="77777777" w:rsidR="00183989" w:rsidRPr="00557215"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Институциите включват географските райони, изложени на неблагоприятно въздействие от физически явления, свързани с изменението на климата. Тези географски райони включват държавите или други географски или административни региони, в които се осъществяват дейностите на контрагента или се намира обезпечението и които са изложени на хронични или остри явления, свързани с изменението на климата. За географския обхват на експозициите институциите използват нивото на подразделенията, посочени в Номенклатурата на териториалните единици за статистически цели (NUTS), според случая.</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б</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Брутна балансова стойност</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съгласно определението в част 1 от приложение V към Регламент за изпълнение (ЕС) 2021/451 на тези експозиции към нефинансови предприятия (включително кредити и аванси, дългови ценни книжа и капиталови инструменти), класифицирани в счетоводните портфейли в банковия портфейл в съответствие с посочения регламент за изпълнение, с изключение на финансовите активи, държани за търгуване, и активите, държани за продажба.</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в — о</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чувствителни към въздействия, породени от физически явления, свързани с изменението на климата</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на експозициите, податливи на въздействие, породено от физически явления, свързани с изменението на климата. Брутната балансова </w:t>
            </w:r>
            <w:r>
              <w:rPr>
                <w:rFonts w:ascii="Times New Roman" w:hAnsi="Times New Roman"/>
                <w:sz w:val="24"/>
              </w:rPr>
              <w:lastRenderedPageBreak/>
              <w:t xml:space="preserve">стойност на експозициите, податливи на въздействие, породено от физически явления, свързани с изменението на климата, може да бъде равна на пълната стойност на експозицията, оповестена в колона б) от настоящия образец, или може да бъде част от тази стойност на експозицията.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в — ж</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Разпределение по падежни групи</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отнасят експозициите към съответната падежна група в зависимост от остатъчния срок до падежа на финансовия инструмент, като вземат предвид следното:</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когато сумата ще се изплаща на вноски, експозицията се отнася към падежната група, съответстваща на последната вноска;</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когато експозицията е без посочен падеж по причини, които не са свързани с избора на контрагента на дата на погасяване, стойността се оповестява в колона „&gt; 20 години“;</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за да изчислят средния срок до падежа на експозицията, институциите претеглят срока до падежа на всяка експозиция с брутната балансова стойност на експозициите.</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з</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чувствителни към въздействия, породени от хронични явления, свързани с изменението на климата</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Институциите оповестяват брутната балансова стойност на експозициите, чувствителни към въздействия, породени само от хронични явления, свързани с изменението на климата, включително опасности, свързани с постепенни промени в метеорологичните и климатичните условия и с възможно въздействие върху икономическата продукция и производителност.</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и</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чувствителни към въздействия, породени от остри явления, свързани с изменението на климата</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Институциите оповестяват брутната балансова стойност на експозициите, чувствителни към въздействия, породени само от остри явления, свързани с изменението на климата, включително заплахи, които могат да причинят внезапни имуществени вреди, смущения във веригите на доставки и амортизация на активите.</w:t>
            </w:r>
          </w:p>
          <w:p w14:paraId="48D7B200" w14:textId="77777777" w:rsidR="00183989" w:rsidRPr="00557215"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й</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чувствителни към въздействия, породени както от хронични, така и от остри явления, свързани с изменението на климата</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Институциите оповестяват брутната балансова стойност, изложена на въздействия, породени както от хронични, така и от остри явления, свързани с изменението на климата, посочени в колони з) и и).</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к</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фаза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lastRenderedPageBreak/>
              <w:t xml:space="preserve">Институциите, които прилагат МСФО, оповестяват брутната балансова стойност на инструментите от фаза 2 съгласно определението в МСФО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Колоните „В т.ч. фаза 2“ не се оповестяват от институциите, които прилагат национални общоприети счетоводни принципи, основани на Директива 86/635/ЕИО</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л</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необслужвани експозиции</w:t>
            </w:r>
          </w:p>
          <w:p w14:paraId="20F3319C" w14:textId="77777777" w:rsidR="00183989" w:rsidRPr="00E50FA4" w:rsidRDefault="00183989" w:rsidP="00D0691F">
            <w:pPr>
              <w:pStyle w:val="Fait"/>
              <w:spacing w:before="0" w:after="120"/>
              <w:rPr>
                <w:noProof/>
              </w:rPr>
            </w:pPr>
            <w:r>
              <w:t>Институциите оповестяват брутната балансова стойност на необслужваните експозиции, както е посочено в член 47а, параграф 3 от Регламент (ЕС) № 575/2013, които са податливи на въздействия, породени от събития, свързани с изменението на климата.</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м, н, о</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Натрупана обезценка, натрупани отрицателни промени в справедливата стойност поради кредитен риск и провизии</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сумите, посочени в част 2, точки 11, 69, 70, 71, 106 и 110 от приложение V към Регламент за изпълнение (ЕС)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н</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експозиции от фаза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Колона м) съдържа размера на натрупаната обезценка на експозициите от фаза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които прилагат МСФО, оповестяват брутната балансова стойност на инструментите от фаза 2 съгласно определението в МСФО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Колоните „В т.ч. фаза 2“ не се оповестяват от институциите, които прилагат национални общоприети счетоводни принципи, основани на Директива 86/635/ЕИО.</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о</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необслужвани експозиции</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размера на натрупаната обезценка, натрупаните отрицателни промени в справедливата стойност поради кредитен риск и провизиите, които може да бъдат отнесени към необслужвани експозиции, както е посочено в член 47а, параграф 3 от Регламент (ЕС) № 575/2013.</w:t>
            </w:r>
          </w:p>
        </w:tc>
      </w:tr>
    </w:tbl>
    <w:p w14:paraId="3729E508" w14:textId="77777777" w:rsidR="00183989" w:rsidRPr="00557215"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Образец 6 — Обобщение на ключовите показатели за резултатите (КПР) относно съобразените с таксономията експозиции. </w:t>
      </w:r>
      <w:r>
        <w:rPr>
          <w:rFonts w:ascii="Times New Roman" w:hAnsi="Times New Roman"/>
          <w:sz w:val="24"/>
        </w:rPr>
        <w:t>Зададен формат.</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В образец 6 институциите представят преглед на КПР, изчислени въз основа на образци 7 и 8 от приложение XXXIX, включително отношението на екосъобразните активи (ОЕА), както е посочено в Делегиран регламент (ЕС) 2021/2178 на Комисията</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Въпреки че в Делегиран регламент (ЕС) 2021/2178 от субектите се изисква да оценяват приблизително и да оповестяват ОЕА два пъти — веднъж въз основа на съобразяването на оборота на контрагента с таксономията (за нефинансовите предприятия) за експозициите, които не са предназначени за финансиране на посочени определени дейности (кредитиране с общо предназначение), и втори път въз основа на съобразяването на капиталовите разходи (КР) на контрагента с таксономията за същите кредитни експозиции с общо предназначение, в настоящия образец институциите оповестяват ОЕА само веднъж въз основа единствено на съобразяването на оборота на контрагента с таксономията за частта от кредитирането с общо предназначение.</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Що се отнася до наличността, ОЕА (смекчаване на изменението на климата), ОЕА (адаптиране към изменението на климата), ОЕА (смекчаване на изменението на климата и адаптиране към изменението на климата) следва да съответстват на КПР, включени съответно в колони б), ж) и л) от образец 8. Аналогично, що се отнася до потока, ОЕА (смекчаване на изменението на климата), ОЕА (адаптиране към изменението на климата), ОЕА (смекчаване на изменението на климата и адаптиране към изменението на климата) следва да съответстват на КПР, включени в ред 1, колони с), ц) и аб) от същия образец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Информация за обхвата се включва в образец 8, ред 1, колона п) за наличността от ОЕА и в колона ае) за потока от ОЕА.</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оповестяват тази информация с първа референтна дата 31 декември 2023 г., която съответства на първата референтна дата за оповестяване за информацията относно ОЕА, посочена в Делегиран регламент (ЕС) 2021/2178.</w:t>
      </w:r>
    </w:p>
    <w:p w14:paraId="0050DFCF" w14:textId="77777777" w:rsidR="00183989" w:rsidRPr="00557215"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Образец 7 — Смекчаващи действия: активи, включени в изчисляването на ОЕА. </w:t>
      </w:r>
      <w:r>
        <w:rPr>
          <w:rFonts w:ascii="Times New Roman" w:hAnsi="Times New Roman"/>
          <w:sz w:val="24"/>
        </w:rPr>
        <w:t>Зададен формат</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7 — „Смекчаващи действия: активи, включени в изчисляването на ОЕА“, както е посочено в приложение XXXIX към настоящия регламент.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В настоящия образец институциите оповестяват информация за брутната балансова стойност на кредитите и авансите, дълговите ценни книжа и капиталовите инструменти на институциите в банковия портфейл, с разпределение на информацията по видове контрагенти, включително финансови предприятия, нефинансови предприятия, домакинства, органи на местното самоуправление, а също и кредитиране на недвижими имоти на домакинства, както и информация за допустимостта и съобразяването на експозициите с таксономията по отношение на екологичните цели за смекчаване на изменението на климата и адаптиране към изменението на климата, както е посочено в член 9, букви а) и б) от Регламент (ЕС)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По-специално в този образец институциите включват информацията, необходима за изчисляването на ОЕА в съответствие с Делегиран регламент (ЕС) 2021/2178. Въпреки че в Делегиран регламент (ЕС) 2021/2178 от институциите се изисква да оценяват приблизително и да оповестяват ОЕА два пъти — веднъж въз основа на съобразяването на оборота на контрагента с таксономията (за нефинансови предприятия) за експозициите, които не са предназначени за финансиране на посочени определени дейности (кредитиране с общо предназначение), и втори път въз основа на съобразяването на КР на контрагента с таксономията за същите кредитни експозиции с общо предназначение, в настоящия образец институциите оповестяват ОЕА само веднъж въз основа само на съобразяването на оборота на контрагента с таксономията за частта от кредитирането с общо предназначение.</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Въз основа на тази информация институциите изчисляват и оповестяват техните ОЕА, както е посочено в Делегиран регламент (ЕС) 2021/2178. Включената информация се отнася до смекчаването на изменението на климата и адаптирането към него, както е посочено в член 9, букви а) и б) от Регламент (ЕС)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Институциите оповестяват тази информация, като първата референтна дата е 31 декември 2023 г., която е първата референтна дата на оповестяване за информацията относно ОЕА, както е посочено в Делегиран регламент (ЕС)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Указания</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Брутна балансова стойност</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б</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към сектори, свързани с таксономията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на допустимите експозиции към сектори (кодове на четвърто ниво от NACE), които са от значение за съответната екологична цел съгласно таксономията, както е посочено в приложение I към Делегиран регламент (ЕС) 2021/2139 на Комисията</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съответните сектори по целта за смекчаване на изменението на климата в съответствие с член 9, буква а) и член 10 от Регламент (ЕС)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в</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на допустимите експозиции, които са екологично устойчиви, както е посочено в приложение I към Делегиран регламент (ЕС)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Институциите оповестяват екологично устойчивите експозиции по целта за смекчаване на изменението на климата в съответствие с член 9, буква а) и член 10 от Регламент (ЕС)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Когато използването на постъпленията е известно (специализирано кредитиране, включително кредити за финансиране на проекти, както е посочено в приложение V към Регламент за изпълнение (ЕС) 2021/451), институциите оповестяват степента, в която експозицията е устойчива от екологична гледна точка. Това оповестяване се основава на степента, до която финансираният проект допринася съществено за смекчаване на изменението на климата в съответствие с член 10 от Регламент (ЕС) 2020/852 или е спомагаща дейност в съответствие с член 16 от посочения регламент, и отговаря на критериите, посочени в член 3 от същия регламент. Когато използването на постъпленията не е известно, институциите оповестяват степента, в която експозицията е екологично устойчива, като използват информацията, получена от контрагента, в съответствие с член 8 от Регламент (ЕС) 2020/852, относно дела от оборота, произтичащ от продукти или услуги, свързани с икономически дейности, които се определят като екологично устойчиви съгласно член 3 от посочения регламент.</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Всяка експозиция се разглежда само веднъж и се отнася само за една екологична цел. Когато експозициите са от значение за повече от една екологична цел, разпределението се прави за целта с най-голямо значение.</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г</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съгласно определението в част 1 от приложение V към Регламент за изпълнение (ЕС)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Експозициите по специализирано кредитиране се разбират по смисъла на член 147, параграф 8 от Регламент (ЕС) № 575/2013. Тя включва експозиции, които са екологично устойчиви в рамките на целта за смекчаване на изменението на климата в съответствие с член 9, буква а) и член 10 от Регламент (ЕС)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това каква част от конкретния финансиран проект се счита, че допринася съществено за смекчаването на изменението на климата и до каква степен (специфична информация за проекта) в съответствие с член 10 от Регламент (ЕС) 2020/852 или като спомагаща дейност в съответствие с член 16, и отговаря на критериите, посочени в член 3 от същия регламент. Институциите предоставят прозрачна информация за видовете икономически дейности, които се финансират чрез специализирано кредитиране. В случай че една и съща експозиция по специализирано кредитиране е от значение за две екологични цели, институциите отнасят тази експозиция към целта, която е от най-голямо значение.</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д</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Член 10 от Регламент (ЕС)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е</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Член 16 от Регламент (ЕС)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ж</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към сектори, свързани с таксономията</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на допустимите експозиции към сектори (кодове от четвърто ниво от NACE), които са от значение за съответната екологична цел съгласно таксономията, както е посочено в приложение II към Делегиран регламент (ЕС)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съответните сектори по целта за адаптиране към изменението на климата в съответствие с член 9, буква б) и член 11 от Регламент (ЕС)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на допустимите експозиции, които са екологично устойчиви, както е посочено в приложение II към Делегиран регламент (ЕС)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екологично устойчивите експозиции по целта за адаптиране към изменението на климата в съответствие с член 9, буква б) и член 11 от Регламент (ЕС)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степента и дела, до които финансираният проект се определя като допринасящ съществено за адаптирането към изменението на климата в съответствие с член 11 от Регламент (ЕС) 2020/852 или като спомагаща дейност в съответствие с член 16 от същия регламент, и отговаря на критериите, посочени в член 3 от същия регламент.</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Когато използването на постъпленията не е известно, институциите оповестяват степента, в която експозицията е екологично устойчива, като използват информацията от контрагента в съответствие с член 8 от Регламент (ЕС) 2020/852 относно дела от оборота, произтичащ от продукти или услуги, свързани с икономически дейности, които се определят като екологично устойчиви съгласно член 3 от посочения регламент.</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Всяка експозиция се разглежда само веднъж и се отнася само за една екологична цел. Когато експозициите са от значение за повече от една екологична цел, те се отнасят към целта с най-голямо значение.</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Експозициите по специализирано кредитиране се разбират по смисъла на член 147, параграф 8 от Регламент (ЕС) №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експозициите по специализирано кредитиране, които са екологично устойчиви по целта за адаптиране към изменението на климата в съответствие с член 9, буква б) и член 11 от Регламент (ЕС)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степента, в която експозицията е екологично устойчива, като използват информацията от контрагента.</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Когато използването на постъпленията е известно, по отношение на специализираното кредитиране институциите оповестяват доколко експозицията е екологично устойчива въз основа на степента и дела, до които конкретният финансиран проект се определя като допринасящ съществено за адаптирането към изменението на климата (специфична информация за проекта) в съответствие с член 11 от Регламент (ЕС) 2020/852 или като спомагаща дейност в съответствие с член 16 от същия регламент, и отговаря на критериите, посочени в член 3 от същия регламент. Институциите предоставят прозрачна информация за видовете икономически дейности, които се финансират чрез специализирано кредитиране. В случай че една и съща експозиция по специализирано кредитиране е от значение за две екологични цели, тази експозиция се отнася към целта, която е от най-голямо значение.</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й</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адаптиране</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Член 11 от Регламент (ЕС) 2020/852. Тези дейности следва да обхващат дейностите, които не са спомагащи дейности.</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Член 16 от Регламент (ЕС)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л</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към сектори, свързани с таксономията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включват сбора от колони б) и ж) от настоящия образец.</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м</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включват сбора от колони в) и з) от настоящия образец.</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н</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Институциите оповестяват брутната балансова стойност съгласно определението в част 1 от приложение V към Регламент за изпълнение (ЕС)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Експозициите по специализирано кредитиране се разбират по смисъла на член 147, параграф 8 от Регламент (ЕС) №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включват сбора от колони г) и и) от настоящия образец.</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о</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преходни/адаптиране</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10 и член 11 от Регламент (ЕС)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включват сбора от колони д) и й) от настоящия образец.</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п</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включват сбора от колони е) и к) от настоящия образец.</w:t>
            </w:r>
          </w:p>
        </w:tc>
      </w:tr>
    </w:tbl>
    <w:p w14:paraId="4B432C06" w14:textId="77777777" w:rsidR="00183989" w:rsidRPr="00557215"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Редове</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Указания</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ОЕА — Активи, включени и в числителя, и в знаменателя</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Допустими са експозициите, които са свързани с контрагентите и класовете активи, включени в изискванията за оповестяване в съответствие с член 8 от Регламент (ЕС)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Кредити и аванси, дългови ценни книжа и капиталови инструменти, които не са държани за търгуване, допустими за ОЕА</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и авансите, дълговите ценни книжа и капиталовите инструменти, класифицирани в банковия портфейл, които не са държани за търгуване и за продажба съгласно определението в приложение V към Регламент за изпълнение (ЕС)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Финансови предприятия</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посочени в част 1, точка 42, букви в) и г) от приложение V към Регламент за изпълнение (ЕС)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Кредитни институции</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експозициите, посочени в част 1, точка 42, буква в) от приложение V към Регламент за изпълнение (ЕС)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Кредити и аванси</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и авансите, посочени в част 1, точка 32 от приложение V към Регламент за изпълнение (ЕС)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Дългови ценни книжа</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дълговите ценни книжа, посочени в част 1, точка 31 от приложение V към Регламент за изпълнение (ЕС)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Капиталови инструменти</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капиталовите инструменти, посочени в приложение V към Регламент за изпълнение (ЕС) 2021/451. Капиталовите инструменти в банковия портфейл включват инвестиции в асоциирани предприятия, съвместни предприятия и дъщерни предприятия, които не са напълно или пропорционално консолидирани.</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Други финансови предприятия</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експозициите към други финансови предприятия, посочени в част 1, точка 42, буква г) от приложение V към Регламент за изпълнение (ЕС)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инвестиционни посредници</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инвестиционни посредници съгласно определението в член 4, параграф 1, точка 2 от Регламент (ЕС) №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управляващи дружества</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експозициите към управляващи дружества съгласно определението в член 4, параграф 1, точка 19 от Регламент (ЕС) №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застрахователни дружества</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застрахователни дружества съгласно определението в член 4, параграф 1, точка 5 от Регламент (ЕС) №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Нефинансови предприятия, за които се прилагат задължения за оповестяване съгласно Директивата относно оповестяването на нефинансова информация (ДОНФИ)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Институциите оповестяват експозициите към нефинансови предприятия, както е посочено в част 1, точка 42, буква д) от приложение V към Регламент за изпълнение (ЕС) 2021/451, за които се прилагат задължения за оповестяване съгласно Директива 2014/95/ЕС.</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търговски недвижими имоти</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посочени в част 2, точка 173, буква а) и точка 239ix от приложение V към Регламент за изпълнение (ЕС)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Домакинства</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и авансите, посочени в част 1, точка 42, буква е) от приложение V към Регламент за изпълнение (ЕС)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трябва да събират информация от своите контрагенти двустранно при процесите на отпускане на кредити и на редовен преглед и наблюдение на кредитите.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обезпечени с жилищен недвижим имот</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и авансите, обезпечени с жилищен недвижим имот, както е посочено в част 2, точка 173, буква а) от приложение V към Регламент за изпълнение (ЕС)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Съобразяването на тези експозиции с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на сградите, а именно ремонт, придобиване и собственост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ремонт на сгради</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отпуснати на домакинства с цел ремонт на жилището.</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Съобразяването на тези експозиции с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на сградите, а именно ремонт, придобиване и собственост съгласно съответно точки 7.2., 7.3., 7.4., 7.5., 7.6. и 7.7. от приложение I към Делегиран регламент (ЕС) 2021/2139 въз основа на енергийната ефективност на базовото обезпечение.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моторни превозни средства</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за моторни превозни средства, посочени в част 2, точка 173, буква б), подточка ii) от приложение V към Регламент за изпълнение (ЕС) 2021/451, и другите кредити, отпуснати за придобиване на моторно превозно средство, оценени съгласно опростен подход по целта за смекчаване на изменението на климата в съответствие с техническите критерии за проверка за финансиране, вземане под наем на лизинг на превозни средства в съответствие с раздел 6.5 от приложение I към Делегиран регламент (ЕС) 2021/2139 въз основа на енергийната ефективност на базовото превозно средство.</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Финансиране на органи на местното самоуправление</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Сборът на редове 29 и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Финансиране за жилищно настаняване</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кредитите, отпуснати на органи на местното самоуправление с цел финансиране на придобиването на обществени жилища.</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Друго финансиране на органи на местното самоуправление</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Институциите оповестяват кредитите, отпуснати на органи на местното управление с цел финансиране на експозиции по специализирано </w:t>
            </w:r>
            <w:r>
              <w:rPr>
                <w:rFonts w:ascii="Times New Roman" w:hAnsi="Times New Roman"/>
                <w:sz w:val="24"/>
              </w:rPr>
              <w:lastRenderedPageBreak/>
              <w:t>кредитиране, различни от произтичащите от придобиването на обществени жилища.</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Обезпечения, придобити чрез влизане във владение: жилищни и търговски недвижими имоти</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обезпеченията, придобити чрез влизане във владение, както е посочено в част 2, точка 341 от приложение V към Регламент за изпълнение (ЕС)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Общо ОЕА</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Този ред е равен на ред 1 от настоящия образец.</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55721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Активи, изключени от числителя за изчисляването на ОЕА (включени в знаменателя)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Нефинансови предприятия от ЕС (за които не се прилагат задължения за оповестяване съгласно ДОНФИ)</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в Съюза и за които не се прилагат задълженията за оповестяване съгласно Директива 2014/95/ЕС.</w:t>
            </w:r>
          </w:p>
          <w:p w14:paraId="4E60C6B4" w14:textId="77777777" w:rsidR="00183989" w:rsidRPr="00557215"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Нефинансови предприятия извън ЕС (за които не се прилагат задълженията за оповестяване съгласно ДОНФИ)</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извън Съюза и за които не се прилагат задълженията за оповестяване съгласно Директива 2014/95/ЕС.</w:t>
            </w:r>
          </w:p>
          <w:p w14:paraId="7242C1A3" w14:textId="77777777" w:rsidR="00183989" w:rsidRPr="0055721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55721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Активи, изключени от числителя за ОЕА (включени в знаменателя)</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Деривати</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дериватите, които не се държат за търгуване, както е посочено в част 1, точка 10 от приложение V към Регламент за изпълнение (ЕС)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Междубанкови заеми при поискване</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информация за „Други депозити на виждане“, както е посочено в част 2, точка 3 от приложение V към Регламент за изпълнение (ЕС)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Парични средства и активи, свързани с парични средства</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Институциите оповестяват информация за „Парични наличности“, както е посочено в част 2, точка 1 от приложение V към Регламент за изпълнение (ЕС)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Други активи (включително репутация, стоки и др.)</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информация за други активи в счетоводния баланс на институцията, които не са включени в редове 41, 42 и 43 на настоящия образец.</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Общо активи в знаменателя (ОЕА)</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Този ред е сборът от редове 32, 33, 37 и 41—44 от настоящия образец.</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557215"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Други активи, изключени и от числителя, и от знаменателя за изчисляването на ОЕА</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Държави</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Институциите оповестяват информация за сектор „Държавно управление“, както е посочено в част 1, точка 42 от приложение V към Регламент за изпълнение (ЕС) 2021/451, с изключение на експозициите, включени в редове 29 и 30 от настоящия образец.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Експозиции към централни банки</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експозициите към централни банки.</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Търговски портфейл</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Институциите оповестяват финансовите активи, държани за търгуване, или търгуемите финансови активи, както е определено в приложимите счетоводни принципи.</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Общо активи, изключени от числителя и знаменателя</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Този ред е сборът от редове 46, 47 и 48 от настоящия образец.</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Общи активи</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Този ред е сборът от редове 45 и 49 от настоящия образец.</w:t>
            </w:r>
          </w:p>
        </w:tc>
      </w:tr>
    </w:tbl>
    <w:p w14:paraId="7DD51BA0" w14:textId="77777777" w:rsidR="00183989" w:rsidRPr="00557215" w:rsidRDefault="00183989" w:rsidP="00183989">
      <w:pPr>
        <w:jc w:val="both"/>
        <w:rPr>
          <w:rFonts w:ascii="Times New Roman" w:hAnsi="Times New Roman" w:cs="Times New Roman"/>
          <w:b/>
          <w:noProof/>
          <w:sz w:val="24"/>
        </w:rPr>
      </w:pPr>
    </w:p>
    <w:p w14:paraId="7391C4C1" w14:textId="77777777" w:rsidR="00183989" w:rsidRPr="00557215"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Образец 8 – </w:t>
      </w:r>
      <w:bookmarkStart w:id="14" w:name="_Hlk86261561"/>
      <w:r>
        <w:rPr>
          <w:rFonts w:ascii="Times New Roman" w:hAnsi="Times New Roman"/>
          <w:b/>
          <w:sz w:val="24"/>
        </w:rPr>
        <w:t>ОЕА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Институциите използват следните указания за оповестяването на информацията, изисквана в образец 8 — „ОЕА (%)“, както е посочено в приложение XXXIX към настоящия регламент.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Въз основа на включената в образец 7 информация в настоящия образец институциите оповестяват ОЕА, както е посочено в Делегиран регламент (ЕС)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Целта на настоящия образец е да покаже до каква степен дейностите на институциите се определят като екологично устойчиви в съответствие с членове 3 и 9 от Регламент (ЕС) 2020/852, така че заинтересованите страни да могат да разберат </w:t>
      </w:r>
      <w:r>
        <w:rPr>
          <w:rFonts w:ascii="Times New Roman" w:hAnsi="Times New Roman"/>
          <w:sz w:val="24"/>
        </w:rPr>
        <w:lastRenderedPageBreak/>
        <w:t xml:space="preserve">действията, които институциите предприемат за смекчаване на прехода към изменението на климата и на физическите рискове.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В Делегиран регламент (ЕС) 2021/2178 се изисква институциите да оценяват приблизително и да оповестяват ОЕА два пъти. Първото оповестяване се основава на съобразяването на оборота на контрагента с таксономията (за нефинансовите предприятия) за експозициите, които не са предназначени за финансиране на посочени определени дейности (кредитиране с общо предназначение). Второто оповестяване се основава на съобразяването на КР в съответствие с Регламент (ЕС) 2020/852 на контрагента за същите кредитни експозиции с общо предназначение. В настоящия образец институциите оповестяват ОЕА само веднъж въз основа единствено на съобразяването на оборота на контрагента с таксономията за частта от кредитирането с общо предназначение.</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започват да оповестяват тази информация с първа референтна дата 31 декември 2023 г., която съответства на първата референтна дата за оповестяване за информацията относно ОЕА, посочена в Делегиран регламент (ЕС)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Указания</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активите за финансиране на сектори от значение за таксономията</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наличността от активи за финансиране на дейности, посочени в Регламент (ЕС) 2020/852</w:t>
            </w:r>
            <w:r>
              <w:rPr>
                <w:rFonts w:ascii="Helvetica" w:hAnsi="Helvetica"/>
                <w:color w:val="666666"/>
                <w:sz w:val="21"/>
                <w:shd w:val="clear" w:color="auto" w:fill="FFFFFF"/>
              </w:rPr>
              <w:t> </w:t>
            </w:r>
            <w:r>
              <w:rPr>
                <w:rFonts w:ascii="Times New Roman" w:hAnsi="Times New Roman"/>
                <w:sz w:val="24"/>
              </w:rPr>
              <w:t xml:space="preserve"> (т.е. допустими активи), от общата наличност от покрити активи. Статията се изразява в проценти.</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секторите от значение за таксономията, посочени в Регламент (ЕС) 2020/852,</w:t>
            </w:r>
            <w:r>
              <w:rPr>
                <w:rFonts w:ascii="Times New Roman" w:hAnsi="Times New Roman"/>
                <w:color w:val="666666"/>
                <w:sz w:val="21"/>
                <w:shd w:val="clear" w:color="auto" w:fill="FFFFFF"/>
              </w:rPr>
              <w:t> </w:t>
            </w:r>
            <w:r>
              <w:rPr>
                <w:rFonts w:ascii="Times New Roman" w:hAnsi="Times New Roman"/>
                <w:sz w:val="24"/>
              </w:rPr>
              <w:t>за целта за смекчаване на изменението на климата, както е посочено в указанията, отнасящи се за колона б) от образец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определена в указанията, отнасящи се за колона а) от образец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б</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за финансиране на екологично устойчиви дейности (т.е. съобразени активи) от наличността от допустими активи. Статията се изразява в проценти.</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екологично устойчиви дейности по целта за смекчаване на изменението на климата, както е посочено в указанията, отнасящи се за колона в) от образец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в</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г) от образец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г</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10 от Регламент (ЕС)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свързани с преходни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д) от образец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д</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свързани със спомагащи дейности по целта за смекчаване на изменението на климата, от наличностите от активи, с които се финансират екологично устойчиви дейности. Статията се изразява в проценти.</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е) от образец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активите за финансиране на сектори от значение за таксономията</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за финансиране на дейности от значение за таксономията (т.е. допустими активи) от общата наличност на включените активи. Статията се изразява в проценти.</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сектори от значение за таксономията по целта за адаптиране към изменението на климата, както е посочено в указанията, отнасящи се за колона ж) от образец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ж</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за финансиране на екологично устойчиви дейности (т.е. съобразени активи) от наличността от допустими активи. Статията се изразява в проценти.</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екологично устойчиви дейности по целта за адаптиране към изменението на климата, както е посочено в указанията, отнасящи се за колона з) от образец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целта за адаптиране към изменението на климата, от наличностите от активи за финансиране на екологично устойчиви дейности. Статията се изразява в проценти.</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и) от образец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адаптиране</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11 от Регламент (ЕС)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свързани с дейности за адаптиране по целта за адаптиране към изменението на климата, от наличностите от активи за финансиране на екологично устойчиви дейности. Статията се изразява в проценти.</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й) от образец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й</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свързани със спомагащи дейности по целта за адаптиране към изменението на климата, от наличностите от активи, с които се финансират екологично устойчиви дейности. Статията се изразява в проценти.</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Числителят на КПР е брутната балансова стойност на активите, както е посочено в указанията, отнасящи се за колона к) от образец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к</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активите за финансиране на сектори от значение за таксономията</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за финансиране на дейности от значение за таксономията (т.е. допустими активи) по целите за смекчаване на изменението на климата и адаптиране към него, спрямо общата наличност на включените активи. Статията се изразява в проценти.</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секторите от значение за таксономията, както е посочено в указанията, отнасящи се за колона л) от образец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л</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за финансиране на екологично устойчиви дейности по целите за смекчаване на изменението на климата и адаптиране към него, от наличността от допустими активи. Статията се изразява в проценти.</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активи за финансиране на екологично устойчиви дейности, както е посочено в указанията, отнасящи се за колона м) от образец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експозиции, както е посочено в указанията, отнасящи се за колона а) от образец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м</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наличностите от активи, категоризирани като специализирано кредитиране за финансиране на екологично устойчиви дейности по целите за смекчаване на изменението на климата и адаптиране към него, от наличността от активи, с които се финансират екологично устойчиви дейности. Статията се изразява в проценти.</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активите, както е посочено в указанията, отнасящи се за колона н) от образец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брутната балансова стойност на включените активи, както е посочено в указанията, отнасящи се за колона а) от образец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н</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преходни/адаптиране</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Членове 10 и 11 от Регламент (ЕС)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Процентът съответства на колона г) и колона и).</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о</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Процентът съответства на колона д) и колона й).</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п</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от общия размер на включените активи</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общите активи, включени в ОЕА. Статията се изразява в проценти.</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наличностите от включени активи, както е посочено в указанията, отнасящи се за колона 1 от образец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Знаменателят на КПР е брутната балансова стойност на общите активи в баланса на институциите, както е посочено в указанията, отнасящи се за ред 50 от образец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р</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новите активи за финансиране на сектори от значение за таксономията</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дейности от значение за таксономията (т.е. допустими активи) по целта за смекчаване на изменението на климата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б) от образец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смекчаване на изменението на климата от общия размера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в) от образец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т</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категоризирани като специализирано кредитиране за финансиране на екологично устойчиви дейности по целта за смекчаване на изменението на климата, от общия размера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г) от образец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у</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10 от Регламент (ЕС)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свързани с преходни дейности по целта за смекчаване на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д) от образец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включените нови активи от тези активи, както е посочено в указанията, отнасящи се за колона а) от образец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ф</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дела на новите активи (т.е. активи, създадени в рамките на текущия период на оповестяване), свързани със спомагащи дейности по целта за смекчаване на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w:t>
            </w:r>
            <w:r>
              <w:rPr>
                <w:rFonts w:ascii="Times New Roman" w:hAnsi="Times New Roman"/>
                <w:sz w:val="24"/>
              </w:rPr>
              <w:lastRenderedPageBreak/>
              <w:t>устойчиви дейности. Новите допустими активи се изчисляват след приспадане на погасяванията и други намаления.</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е) от образец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включените нови активи от тези активи, както е посочено в указанията, отнасящи се за колона а) от образец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х</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новите активи за финансиране на сектори от значение за таксономията</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дейности, обхванати от Регламент (ЕС) 2020/852, по целта за адаптиране към изменението на климата,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ж) от образец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ц</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адаптиране към изменението на климата, от общия размера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з) от образец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Институциите оповестяват дела на новите активи (т.е. активи, създадени в рамките на текущия период на оповестяване), категоризирани като </w:t>
            </w:r>
            <w:r>
              <w:rPr>
                <w:rFonts w:ascii="Times New Roman" w:hAnsi="Times New Roman"/>
                <w:sz w:val="24"/>
              </w:rPr>
              <w:lastRenderedPageBreak/>
              <w:t>специализирано кредитиране за финансиране на екологично устойчиви дейности по целта за адаптиране към изменението на климата, от общия размер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и) от образец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ш</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адаптиране</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11 от Регламент (ЕС)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свързани с преходни дейности по целта за адаптиране към изменението на климата, от общия размера на новите допустими активи (т.е. активи, създадени в рамките на текущия период на оповестяване) за финансиране на екологично устойчиви дейности. Новите допустими активи се изчисляват след приспадане на погасяванията и други намаления.</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й) от образец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щ</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свързани със спомагащи дейности по целта за адаптиране към изменението на климата, от общия размер на новите допустими активи (т.е. активи, създадени в рамките на текущия период) за финансиране на екологично устойчиви дейности. Новите допустими активи се изчисляват след приспадане на погасяванията и други намаления.</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к) от образец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активите за финансиране на сектори от значение за таксономията</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дейности, обхванати от целите, определени в Регламент (ЕС) 2020/852, за смекчаване на изменението на климата и за адаптиране към него,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за финансиране на сектори от значение за таксономията, както е посочено в указанията, отнасящи се за колона л) от образец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аб</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В т.ч.: екологично устойчиви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за финансиране на екологично устойчиви дейности по целта за смекчаване на изменението на климата и за адаптиране към него, от общия размер на новите допустими активи (т.е. допустимите активи, създадени в рамките на текущия период на оповестяване). Новите активи се изчисляват след приспадане на погасяванията и други намаления.</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м) от образец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ав</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специализирано кредитиране</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новите активи (т.е. активи, създадени в рамките на текущия период на оповестяване), категоризирани като специализирано кредитиране за финансиране на екологично устойчиви дейности по целите за смекчаване на изменението на климата и за адаптиране към него, от общия размер на новите допустими активи (т.е. активи, създадени в рамките на текущия период) за финансиране на екологично устойчиви дейности. Новите активи се изчисляват след приспадане на погасяванията и други намаления.</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Статията се изразява в проценти.</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брутната балансова стойност на допустимите нови активи, както е посочено в указанията, отнасящи се за колона н) от образец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Знаменателят на КПР е брутната балансова стойност на новите включени активи от тези активи, както е посочено в указанията, отнасящи се за колона а) от образец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аг</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преходни/адаптиране</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Членове 10 и 11 от Регламент (ЕС)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Процентът съответства на колона у) и колона ш).</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ад</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спомагащи</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Член 16 от Регламент (ЕС)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Процентът съответства на колона ф) и колона щ).</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ае</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Дял на общия размер на включените нови активи</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дела на общия размер на новите активи, включени в ОЕА. Новите активи се изчисляват след приспадане на погасяванията и други намаления.</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Статията се изразява в проценти.</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Числителят на КПР е разликата в брутната балансова стойност на включените активи, както е посочено в указанията, отнасящи се за ред 1 от образец 7, между текущия период на оповестяване (t) и предходния период на оповестяване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Знаменателят на КПР е разликата в брутната балансова стойност на новите общи активи, както е посочено в указанията, отнасящи се за ред 53 от образец 7, между текущия период на оповестяване (t) и предходния период на оповестяване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Редове</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Указания</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bCs/>
                <w:sz w:val="24"/>
              </w:rPr>
              <w:t>ОЕА</w:t>
            </w:r>
            <w:r>
              <w:rPr>
                <w:rFonts w:ascii="Times New Roman" w:hAnsi="Times New Roman"/>
                <w:sz w:val="24"/>
              </w:rPr>
              <w:t>, както е посочено в Делегиран регламент (ЕС)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Кредити и аванси, дългови ценни книжа и капиталови инструменти, които не са държани за търгуване, допустими за изчисляване на ОЕА</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Процент на ОЕА за експозициите в ред 1 на образец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Финансови предприятия</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 на образец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Кредитни институции</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3 на образец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Други финансови предприятия</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Процент на ОЕА за експозициите в ред 7 на образец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инвестиционни посредници</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8 на образец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управляващи дружества</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12 на образец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застрахователни дружества</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16 на образец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Нефинансови предприятия, за които се прилагат задълженията за оповестяване съгласно ДОНФИ</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Процент на ОЕА за експозициите в ред 20 на образец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Домакинства</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24 на образец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обезпечени с жилищен недвижим имот</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25 на образец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ремонт на сгради</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26 на образец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моторни превозни средства</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27 на образец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Финансиране на органи на местното самоуправление</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28 на образец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Финансиране за жилищно настаняване</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29 на образец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Друго финансиране на органи на местното самоуправление</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30 на образец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Обезпечения, придобити чрез влизане във владение: жилищни и търговски недвижими имоти</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Процент на ОЕА за експозициите в ред 31 на образец 7.</w:t>
            </w:r>
          </w:p>
        </w:tc>
      </w:tr>
    </w:tbl>
    <w:p w14:paraId="3F596C29" w14:textId="77777777" w:rsidR="00183989" w:rsidRPr="00557215"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Образец 9 — Смекчаващи действия: Отношение на съобразения с таксономията банков портфейл</w:t>
      </w:r>
    </w:p>
    <w:p w14:paraId="193F09C4" w14:textId="77777777" w:rsidR="00183989" w:rsidRPr="00557215" w:rsidRDefault="00183989" w:rsidP="00183989">
      <w:pPr>
        <w:jc w:val="both"/>
        <w:rPr>
          <w:rFonts w:ascii="Times New Roman" w:hAnsi="Times New Roman" w:cs="Times New Roman"/>
          <w:b/>
          <w:noProof/>
          <w:sz w:val="24"/>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 xml:space="preserve">В член 9 от Регламент за изпълнение (ЕС) 2021/2178 се предвижда, че Комисията трябва да направи преглед на прилагането на посочения регламент до 30 юни 2024 г. </w:t>
      </w:r>
      <w:r>
        <w:rPr>
          <w:rFonts w:ascii="Times New Roman" w:hAnsi="Times New Roman"/>
          <w:sz w:val="24"/>
        </w:rPr>
        <w:lastRenderedPageBreak/>
        <w:t>Комисията трябва да прецени в частност необходимостта от допълнителни изменения с оглед на включването на:</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а)</w:t>
      </w:r>
      <w:r>
        <w:rPr>
          <w:rFonts w:ascii="Times New Roman" w:hAnsi="Times New Roman"/>
          <w:sz w:val="24"/>
        </w:rPr>
        <w:tab/>
        <w:t>експозициите към централни правителства и централни банки в числителя и знаменателя на ключовите показатели за резултатите на финансовите предприятия;</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б)</w:t>
      </w:r>
      <w:r>
        <w:rPr>
          <w:rFonts w:ascii="Times New Roman" w:hAnsi="Times New Roman"/>
          <w:sz w:val="24"/>
        </w:rPr>
        <w:tab/>
        <w:t>експозициите към предприятия, които не публикуват нефинансова декларация по член 19а или 29а от Директива 2013/34/ЕС, в числителя на ключовите показатели за резултатите на финансовите предприятия.</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Институциите могат да изберат да включат в този образец следната информация. За контрагентите, които са нефинансови предприятия и нямат задължения за оповестяване, институциите могат да оповестяват разширена информация относно допустимостта съгласно таксономията и съобразяването с нея, както е посочено в Регламент (ЕС) 2020/852, въз основа на принципа на полагане на разумни усилия и като използват информацията, която вече е налична и е събрана на доброволна и двустранна основа от техните контрагенти или е изчислена посредством приблизителни оценки, по отношение на екологичните цели за смекчаване на изменението на климата и за адаптиране към него, както е посочено в член 9, букви а) и б) от Регламент (ЕС) 2020/852, на експозициите към европейски нефинансови предприятия, за които не се прилагат задълженията за оповестяване, определени в Директива 2013/34/ЕС, и към неевропейски нефинансови предприятия, за които не се прилагат задълженията за оповестяване, определени в Директива 2013/34/ЕС. Тази информация може да бъде оповестена само веднъж въз основа на съобразяването на оборота на контрагентите по кредитите с общо предназначение, какъвто е случаят с ОЕА.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Първата референтна дата на оповестяване на настоящия образец е 31 декември 2024 г. От институциите не се изисква да оповестяват тази информация преди 1 януари 2025 г.</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Образец 9.1 – Смекчаващи действия: активи, включени в изчисляването на отношението на съобразения с таксономията банков портфейл</w:t>
      </w:r>
    </w:p>
    <w:p w14:paraId="0B7C6AF5" w14:textId="77777777" w:rsidR="00183989" w:rsidRPr="00557215"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В настоящия образец институциите могат да оповестяват брутната балансова стойност на активите, които са от значение за изчисляването на отношението на съобразения с таксономията банков портфейл. Настоящият образец се прилага само за контрагенти, за които не се прилагат задълженията за оповестяване.</w:t>
      </w:r>
    </w:p>
    <w:p w14:paraId="48AB863E" w14:textId="77777777" w:rsidR="00183989" w:rsidRPr="00557215"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ОБЩО АКТИВИ В ОЕА</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Съгласно оповестеното в ред 32 от образец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Нефинансови предприятия от ЕС (за които не се прилагат задължения за оповестяване съгласно ДОНФИ)</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експозициите към нефинансови предприятия съгласно определението в част 1, точка 42, буква д) от приложение V към Регламент за изпълнение (ЕС) 2021/451, които се намират в Съюза и за които не се прилагат задълженията за оповестяване съгласно Директива 2013/34/ЕС.</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Когато за контрагента не се прилагат задълженията за оповестяване съгласно член 8 от Регламент (ЕС) 2020/852, за изчисляването на процента </w:t>
            </w:r>
            <w:r>
              <w:rPr>
                <w:rFonts w:ascii="Times New Roman" w:hAnsi="Times New Roman"/>
                <w:sz w:val="24"/>
              </w:rPr>
              <w:lastRenderedPageBreak/>
              <w:t>на съобразените с таксономията експозиции, както е посочено в Регламент (ЕС) 2020/852, институциите могат, въз основа на принципа на полагане на разумни усилия, да събират информация от своите контрагенти на доброволна и двустранна основа при процесите на отпускане на кредити и на редовен преглед и наблюдение на кредитите. Само когато контрагентът не е в състояние или не желае да предостави съответните данни, кредитните институции използват вътрешни приблизителни оценки и аналози, като в описанието, придружаващо образеца, посочват обхвата на използване на тези приблизителни оценки, както и вида на прилаганите приблизителни оценки. Когато институциите не могат да съберат съответната информация на доброволна и двустранна основа или да я оценят приблизително, или не са в състояние да го направят по разумен начин, който не е прекалено обременяващ за тях или за техните контрагенти, те обясняват този факт в описанието, придружаващо образеца, като посочват причините и засегнатите контрагенти.</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По отношение на оповестяванията, засягащи предприятията, за които не се прилагат задълженията за оповестяване съгласно Директива 2013/34/ЕС, включително малки и средни предприятия (МСП), когато институциите оценяват кредитирането/финансирането с обща цел, при което използването на постъпленията не е известно, те следват опростен подход и съсредоточават оценката си върху основната икономическа дейност на предприятието, т.е. върху основния им източник на оборот, за да определят цялостната съобразност на експозициите с Регламент (ЕС) 2020/852. При специализирано кредитиране оценката се основава на степента, в която финансираният конкретен проект се определя като допринасящ съществено за смекчаването на изменението на климата или за адаптирането към него (специфична информация за проекта). </w:t>
            </w:r>
          </w:p>
          <w:p w14:paraId="2FBC7A11" w14:textId="77777777" w:rsidR="00183989" w:rsidRPr="00557215"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обезпечени с търговски недвижим имот</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Експозициите, посочени в част 2, точка 173, буква а) и точка 239ix от приложение V към Регламент за изпълнение (ЕС)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Съобразяването на тези експозиции с таксономията, както е посочено в Регламент (ЕС) 2020/852, се оценява само чрез опростен подход за целта за смекчаване на изменението на климата в съответствие с техническите критерии за проверка за сградите, а именно ремонт, придобиване и притежаване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p w14:paraId="3BADEF70" w14:textId="77777777" w:rsidR="00183989" w:rsidRPr="0055721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 т.ч.: Кредити за ремонт на сгради</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Кредити, които се отпускат на МСП и други нефинансови предприятия, за които не се прилагат задълженията за оповестяване съгласно Директива 2014/95/ЕС, с цел ремонт на сграда.</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Съобразяването на тези експозиции с таксономията, както е посочено в Регламент (ЕС) 2020/852, се оценява само чрез опростен подход за целта за смекчаване на изменението на климата в съответствие с техническите </w:t>
            </w:r>
            <w:r>
              <w:rPr>
                <w:rFonts w:ascii="Times New Roman" w:hAnsi="Times New Roman"/>
                <w:sz w:val="24"/>
              </w:rPr>
              <w:lastRenderedPageBreak/>
              <w:t>критерии за проверка за сградите, а именно ремонт, придобиване и притежаване съгласно съответно точки 7.2., 7.3., 7.4., 7.5., 7.6. и 7.7. от приложение I към Делегиран регламент (ЕС) 2021/2139 въз основа на енергийната ефективност на базовото обезпечение.</w:t>
            </w:r>
          </w:p>
          <w:p w14:paraId="0F3F5D7F" w14:textId="77777777" w:rsidR="00183989" w:rsidRPr="0055721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Нефинансови предприятия извън ЕС (за които не се прилагат задълженията за оповестяване съгласно ДОНФИ)</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Експозиции към нефинансовите предприятия, посочени в част 1, точка 42, буква д) от приложение V към Регламент за изпълнение (ЕС) 2021/451, които се намират извън Съюза и за които не се прилагат задълженията за оповестяване съгласно Директива 2014/95/ЕС.</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Когато институциите предоставят тази информация в оповестяванията си по член 8 от Регламент (ЕС) 2020/852 в съответствие с член 7, параграф 7 от Делегиран регламент (ЕС) 2021/2178, те оповестяват тук същата информация. В противен случай институциите събират информация от контрагентите си на двустранна основа при процесите на отпускане на кредити и на редовен преглед и наблюдение на кредитите или използват следните аналози за оповестяване на информация за експозициите извън ЕС въз основа на принципа на полагане на максимални усилия:</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а) </w:t>
            </w:r>
            <w:r>
              <w:rPr>
                <w:rFonts w:ascii="Times New Roman" w:hAnsi="Times New Roman"/>
                <w:sz w:val="24"/>
              </w:rPr>
              <w:tab/>
              <w:t>техните собствени модели и класификацията на експозициите според тях; в този случай институциите обясняват основните характеристики на приложените модели;</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б) </w:t>
            </w:r>
            <w:r>
              <w:rPr>
                <w:rFonts w:ascii="Times New Roman" w:hAnsi="Times New Roman"/>
                <w:sz w:val="24"/>
              </w:rPr>
              <w:tab/>
              <w:t xml:space="preserve">когато са налични, публично оповестени данни на контрагентите въз основа на международни стандарти (включително TCFD); в този случай институциите обясняват вида на наличната информация и прилаганите стандарти;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в) </w:t>
            </w:r>
            <w:r>
              <w:rPr>
                <w:rFonts w:ascii="Times New Roman" w:hAnsi="Times New Roman"/>
                <w:sz w:val="24"/>
              </w:rPr>
              <w:tab/>
              <w:t>други общодостъпни данни.</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В описанието, придружаващо настоящия образец, институциите трябва да посочат източниците, използвани за оповестяването на тази информация. Когато институциите не могат да съберат съответната информация на двустранна основа или да я оценят приблизително, или не са в състояние да го направят по разумен начин, който не е прекалено обременяващ за тях или за техните контрагенти, те обясняват този факт в описанието, придружаващо образеца, като посочват причините и засегнатите контрагенти.</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За този вид контрагенти, когато институциите оценяват кредитирането/финансирането с обща цел, при което използването на постъпленията не е известно, те следват опростен подход и съсредоточават оценката си върху основната икономическа дейност на предприятието, т.е. върху основния им източник на оборот, за да определят цялостната съобразност на експозициите с Регламент (ЕС) 2020/852. При специализирано кредитиране оценката се основава на това каква част от конкретния финансиран проект се счита, че допринася съществено за смекчаването на изменението на климата или адаптирането към него (специфична информация за проекта) и до каква степен, а при портфейла от недвижими имоти оценката се извършва за целта за смекчаване на </w:t>
            </w:r>
            <w:r>
              <w:rPr>
                <w:rFonts w:ascii="Times New Roman" w:hAnsi="Times New Roman"/>
                <w:sz w:val="24"/>
              </w:rPr>
              <w:lastRenderedPageBreak/>
              <w:t>изменението на климата въз основа на енергийната ефективност на базовото обезпечение и тяхното съобразяване с критериите, определени за съответните дейности в Регламент (ЕС) 2020/852.</w:t>
            </w:r>
          </w:p>
          <w:p w14:paraId="4DEC21F9" w14:textId="77777777" w:rsidR="00183989" w:rsidRPr="00557215"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Ред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ОБЩО АКТИВИ В ОТНОШЕНИЕТО НА СЪОБРАЗЕНИЯ С ТАКСОНОМИЯТА БАНКОВ ПОРТФЕЙЛ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Сбор от редове 1, 2 и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Редове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Вж. определенията в образец 7 (редове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557215" w:rsidRDefault="0018398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Образец 9.2 — Процент на отношението на съобразения с таксономията банков портфейл</w:t>
      </w:r>
    </w:p>
    <w:p w14:paraId="53FD78FD" w14:textId="77777777" w:rsidR="00183989" w:rsidRPr="00557215"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В настоящия образец институциите могат да оповестяват процента на активите в отношението на съобразения с таксономията банков портфейл, оповестени в образец 1, спрямо общия размер на активите в знаменателя на отношението на съобразения с таксономията банков портфейл, оповестен в ред 17 на образец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Образец 9.3 — Процент на отношението на съобразения с таксономията банков портфейл</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Настоящият образец съдържа обобщение на КПР на отношението на съобразения с таксономията банков портфейл, разпределение по екологични цели във връзка с изменението на климата и общо, както и разпределение по наличности и потоци.</w:t>
      </w:r>
    </w:p>
    <w:p w14:paraId="3FE48325" w14:textId="77777777" w:rsidR="00183989" w:rsidRPr="00557215"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Образец 10 — Други действия за смекчаване на изменението на климата, които не са обхванати от Регламент (ЕС) 2020/852</w:t>
      </w:r>
    </w:p>
    <w:p w14:paraId="45960278" w14:textId="77777777" w:rsidR="00183989" w:rsidRPr="00557215"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Настоящият образец обхваща други действия за смекчаване на изменението на климата и включва експозициите на институциите, които не са съобразени с таксономията, както е посочено в Регламент (ЕС) 2020/852, съгласно образци 7 и 8, но които все пак подпомагат контрагентите в процеса на преход и адаптиране по целите за смекчаване на изменението на климата и адаптиране към него. Тези смекчаващи действия и дейности включват облигации и кредити, емитирани съгласно стандарти, различни от стандартите на Съюза, включително екосъобразни облигации; устойчиви облигации, които са свързани с някои аспекти на изменението на климата; облигации във връзка с устойчивостта, които са свързани с някои аспекти на изменението на климата; екосъобразни кредити; кредити във връзка с устойчивостта, които са свързани с някои аспекти на изменението на климата; кредити във връзка с устойчивостта, които са свързани с някои аспекти на изменението на климата.</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Институциите включват в описанието, придружаващо настоящия образец, подробни обяснения за естеството и вида на включените в него смекчаващи действия, включително информация за вида на рисковете, към които са насочени, целите във връзка с изменението на климата, за които се допринася, както и информация за свързаните контрагенти и графика на действията. Те също така обясняват защо тези експозиции не са напълно съобразени с установените в Регламент (ЕС) 2020/852 </w:t>
      </w:r>
      <w:r>
        <w:rPr>
          <w:rFonts w:ascii="Times New Roman" w:hAnsi="Times New Roman"/>
          <w:sz w:val="24"/>
        </w:rPr>
        <w:lastRenderedPageBreak/>
        <w:t>критерии и защо те не са устойчиви в съответствие с Регламент (ЕС) 2020/852, но все пак допринасят за смекчаване на риска от прехода във връзка с изменението на климата или на физическия риск, както и всяка друга относима информация, която може да спомогне за разбирането на рамката за управление на риска на институцията.</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Институциите започват да оповестяват информацията, включена в образците с първа референтна дата на оповестяване 31 декември 2022 г.</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Колони</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Указания</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Вид финансов инструмент</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вида на финансовия инструмент, както е посочено в приложение V към Регламент за изпълнение (ЕС) 2021/451.</w:t>
            </w:r>
          </w:p>
          <w:p w14:paraId="3D74D2CE" w14:textId="77777777" w:rsidR="00183989" w:rsidRPr="00557215"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б</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Вид контрагент</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вида на контрагента, както е посочено в част 1, точка 42 от приложение V към Регламент за изпълнение (ЕС)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в</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Брутна балансова стойност (млн. евро)</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Институциите оповестяват брутната балансова стойност, както е посочено в част 1, точка 34 от приложение V към Регламент за изпълнение (ЕС)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г</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Вид на смекчавания риск (риск от прехода във връзка с изменението на климата)</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оповестяват вида на риска, който се смекчава с това действие: риск от прехода във връзка с изменението на климата.</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д</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Вид смекчаван риск (физически риск, свързан с изменението на климата)</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Институциите оповестяват вида на риска, който се смекчава с това действие: физически риск във връзка с изменението на климата.</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е</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Качествена информация за естеството на смекчаващите действия</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Институциите описват естеството на смекчаващите действия, с които се допринася за смекчаването на изменението на климата, посочено в член 10 от Регламент (ЕС) 2020/852, и за адаптирането към изменението на климата, посочено в член 11 от същия регламент, както и причините, поради които експозициите не се считат за съобразени с таксономията за целите на ОЕА.</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ОВ L 282, 19.10.2016 г., стр.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t>СОМ(2019)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*4</w:t>
      </w:r>
      <w:r>
        <w:rPr>
          <w:rFonts w:ascii="Times New Roman" w:hAnsi="Times New Roman"/>
          <w:sz w:val="20"/>
          <w:vertAlign w:val="superscript"/>
        </w:rPr>
        <w:tab/>
      </w:r>
      <w:r>
        <w:rPr>
          <w:rFonts w:ascii="Times New Roman" w:hAnsi="Times New Roman"/>
          <w:sz w:val="20"/>
        </w:rPr>
        <w:t>Директива 2014/95/ЕС на Европейския парламент и на Съвета от 22 октомври 2014 г. за изменение на Директива 2013/34/EС по отношение на оповестяването на нефинансова информация и на информация за многообразието от страна на някои големи предприятия и групи (ОВ L 330, 15.11.2014 г., стр.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(OВ C 209, 20.6.2019 г., стр.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Препоръки на работната група за оповестяване на финансова информация във връзка с климата,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Финансова инициатива на Програмата на ООН за околната среда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Стандарти за отчитане на устойчивостта в рамките на глобалната инициатива за отчитане (Global Reporting Initiative Sustainability Reporting Standards),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Принципи на ООН за отговорно инвестиране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(ОВ L 393, 30.12.2006 г., стр.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Делегиран регламент (ЕС) 2020/1818 на Комисията от 17 юли 2020 г. за допълнение на Регламент (ЕС) 2016/1011 на Европейския парламент и на Съвета по отношение на минималните стандарти за бенчмарковете на ЕС за климатичен преход и бенчмарковете на ЕС, съответстващи на Парижкото споразумение (ОВ L 406, 3.12.2020 г., стр.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rPr>
          <w:sz w:val="20"/>
        </w:rPr>
        <w:tab/>
      </w:r>
      <w:r>
        <w:rPr>
          <w:rFonts w:ascii="Times New Roman" w:hAnsi="Times New Roman"/>
          <w:sz w:val="20"/>
        </w:rP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Директива 2010/31/ЕС на Европейския парламент и на Съвета от 19 май 2010 г. относно енергийните характеристики на сградите (ОВ L 153, 18.6.2010 г., стр.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(ОВ L 315, 14.11.2012 г., стр.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rPr>
          <w:rFonts w:ascii="Times New Roman" w:hAnsi="Times New Roman"/>
          <w:sz w:val="20"/>
        </w:rPr>
        <w:tab/>
        <w:t xml:space="preserve">Сценарий за нулеви нетни емисии до 2050 г. (NZE) – МАЕ (2021 г.), Световен енергиен модел, МАЕ, Париж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Докладът за 2021 г. може да бъде намерен на </w:t>
      </w:r>
      <w:hyperlink r:id="rId13" w:history="1">
        <w:r>
          <w:rPr>
            <w:rStyle w:val="Hyperlink"/>
            <w:rFonts w:ascii="Times New Roman" w:hAnsi="Times New Roman"/>
            <w:sz w:val="20"/>
          </w:rPr>
          <w:t>следния адрес в интернет</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 xml:space="preserve">За повече примери вж. доклада в рамките на финансовата инициатива на Програмата на ООН за околната среда (UNEP FI) и консултантско дружество Acclimatise: „Очертаване на пътя към нов климат. Най-актуални инструменти и данни за оценката от страна на банките на кредитните рискове и възможностите, произтичащи от физическото въздействие на изменението на климата“, септември 2020 г.,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В доклада се предоставя подробна информация за обхванатите времеви периоди, използването на бъдещи сценарии, пространствената разделителна способност и покритие, формата на резултатите, които трябва да бъдат получени от конкретни набори от данни, както и лицензирането и разходите (следва да се отбележи, че повечето портали и бази данни предлагат безплатен достъп). Освен това в доклада се разглеждат различни техники за оценка и измерване на физическия риск, като например топлинно картографиране, корелационен анализ, специални инструменти и анализи.</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Делегиран регламент (ЕС) 2021/2178 на Комисията от 6 юли 2021 г. за допълнение на Регламент (ЕС) 2020/852 на Европейския парламент и на Съвета чрез определяне на съдържанието и представянето на информацията, която трябва да бъде оповестявана от предприятията, обхванати от член 19а или 29а от Директива 2013/34/ЕС, по отношение на екологично устойчивите икономически дейности, и чрез определяне на методиката за изпълнение на това задължение за оповестяване (ОВ L 443, 10.12.2021 г., стр.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Pr>
          <w:rFonts w:ascii="Times New Roman" w:hAnsi="Times New Roman"/>
        </w:rPr>
        <w:t xml:space="preserve">Делегиран регламент (ЕС) 2021/2139 на Комисията от 4 юни 2021 г. за допълнение на Регламент (ЕС) 2020/852 на Европейския парламент и на Съвета чрез установяване на техническите критерии за проверка с цел определяне на условията, при които дадена икономическа дейност се квалифицира като допринасяща съществено за смекчаването </w:t>
      </w:r>
      <w:r>
        <w:rPr>
          <w:rFonts w:ascii="Times New Roman" w:hAnsi="Times New Roman"/>
        </w:rPr>
        <w:lastRenderedPageBreak/>
        <w:t>на изменението на климата или за адаптирането към изменението на климата, и с цел определяне дали тази икономическа дейност не нанася значителни вреди във връзка с постигането на някоя от другите екологични цели (ОВ L 442, 9.12.2021 г., стр. 1).“</w:t>
      </w:r>
    </w:p>
    <w:p w14:paraId="6FD0C4F3" w14:textId="77777777" w:rsidR="00E240EE" w:rsidRPr="00557215" w:rsidRDefault="00E240EE"/>
    <w:sectPr w:rsidR="00E240EE" w:rsidRPr="00557215" w:rsidSect="00AC69F0">
      <w:headerReference w:type="even" r:id="rId15"/>
      <w:footerReference w:type="default" r:id="rId16"/>
      <w:headerReference w:type="first" r:id="rId17"/>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6B05B3F" w:rsidR="00AD0F23" w:rsidRDefault="0034606F">
    <w:pPr>
      <w:pStyle w:val="Header"/>
    </w:pPr>
    <w:r>
      <w:rPr>
        <w:noProof/>
      </w:rPr>
      <mc:AlternateContent>
        <mc:Choice Requires="wps">
          <w:drawing>
            <wp:anchor distT="0" distB="0" distL="0" distR="0" simplePos="0" relativeHeight="251660288" behindDoc="0" locked="0" layoutInCell="1" allowOverlap="1" wp14:anchorId="47C7C94C" wp14:editId="691506BC">
              <wp:simplePos x="0" y="0"/>
              <wp:positionH relativeFrom="leftMargin">
                <wp:align>left</wp:align>
              </wp:positionH>
              <wp:positionV relativeFrom="paragraph">
                <wp:posOffset>635</wp:posOffset>
              </wp:positionV>
              <wp:extent cx="443865" cy="443865"/>
              <wp:effectExtent l="0" t="0" r="0" b="0"/>
              <wp:wrapSquare wrapText="bothSides"/>
              <wp:docPr id="20469728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7C7C94C" id="_x0000_t202" coordsize="21600,21600" o:spt="202" path="m,l,21600r21600,l21600,xe">
              <v:stroke joinstyle="miter"/>
              <v:path gradientshapeok="t" o:connecttype="rect"/>
            </v:shapetype>
            <v:shape id="Text Box 2" o:spid="_x0000_s1026" type="#_x0000_t202" style="position:absolute;margin-left:0;margin-top:.05pt;width:34.95pt;height:34.95pt;z-index:251660288;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Irboe0QAgAA&#10;LQQAAA4AAAAAAAAAAAAAAAAALgIAAGRycy9lMm9Eb2MueG1sUEsBAi0AFAAGAAgAAAAhADSBOhba&#10;AAAAAwEAAA8AAAAAAAAAAAAAAAAAagQAAGRycy9kb3ducmV2LnhtbFBLBQYAAAAABAAEAPMAAABx&#10;BQ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529EA5AD" w:rsidR="00AD0F23" w:rsidRDefault="0034606F">
    <w:pPr>
      <w:pStyle w:val="Header"/>
    </w:pPr>
    <w:r>
      <w:rPr>
        <w:noProof/>
      </w:rPr>
      <mc:AlternateContent>
        <mc:Choice Requires="wps">
          <w:drawing>
            <wp:anchor distT="0" distB="0" distL="0" distR="0" simplePos="0" relativeHeight="251659264" behindDoc="0" locked="0" layoutInCell="1" allowOverlap="1" wp14:anchorId="260D80EA" wp14:editId="6A18C085">
              <wp:simplePos x="0" y="0"/>
              <wp:positionH relativeFrom="leftMargin">
                <wp:align>left</wp:align>
              </wp:positionH>
              <wp:positionV relativeFrom="paragraph">
                <wp:posOffset>635</wp:posOffset>
              </wp:positionV>
              <wp:extent cx="443865" cy="443865"/>
              <wp:effectExtent l="0" t="0" r="0" b="0"/>
              <wp:wrapSquare wrapText="bothSides"/>
              <wp:docPr id="16954626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60D80EA" id="_x0000_t202" coordsize="21600,21600" o:spt="202" path="m,l,21600r21600,l21600,xe">
              <v:stroke joinstyle="miter"/>
              <v:path gradientshapeok="t" o:connecttype="rect"/>
            </v:shapetype>
            <v:shape id="Text Box 1" o:spid="_x0000_s1027" type="#_x0000_t202" style="position:absolute;margin-left:0;margin-top:.05pt;width:34.95pt;height:34.95pt;z-index:251659264;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C0DC5508"/>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AAC8A44"/>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AB4C073C"/>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3F32BFF4"/>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а, й, к, ..."/>
        </mc:Choice>
        <mc:Fallback>
          <w:numFmt w:val="decimal"/>
        </mc:Fallback>
      </mc:AlternateContent>
      <w:pStyle w:val="Point1letter"/>
      <w:lvlText w:val="%4)"/>
      <w:lvlJc w:val="left"/>
      <w:pPr>
        <w:ind w:left="1210" w:hanging="360"/>
      </w:pPr>
      <w:rPr>
        <w:rFonts w:ascii="Times New Roman" w:hAnsi="Times New Roman" w:cs="Times New Roman" w:hint="default"/>
        <w:b w:val="0"/>
        <w:bCs w:val="0"/>
        <w:i w:val="0"/>
        <w:iCs w:val="0"/>
        <w:spacing w:val="-1"/>
        <w:w w:val="99"/>
        <w:sz w:val="24"/>
        <w:szCs w:val="24"/>
      </w:r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289AEBF8"/>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8AA44E3A"/>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ind w:left="1777" w:hanging="360"/>
      </w:pPr>
      <w:rPr>
        <w:rFonts w:ascii="Times New Roman" w:eastAsia="Arial" w:hAnsi="Times New Roman" w:cs="Times New Roman" w:hint="default"/>
        <w:b w:val="0"/>
        <w:bCs w:val="0"/>
        <w:i w:val="0"/>
        <w:iCs w:val="0"/>
        <w:spacing w:val="-1"/>
        <w:w w:val="99"/>
        <w:sz w:val="24"/>
        <w:szCs w:val="24"/>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72CB7"/>
    <w:multiLevelType w:val="hybridMultilevel"/>
    <w:tmpl w:val="3EEAE894"/>
    <w:lvl w:ilvl="0" w:tplc="D772E692">
      <w:start w:val="6"/>
      <mc:AlternateContent>
        <mc:Choice Requires="w14">
          <w:numFmt w:val="custom" w:format="а, й, к, ..."/>
        </mc:Choice>
        <mc:Fallback>
          <w:numFmt w:val="decimal"/>
        </mc:Fallback>
      </mc:AlternateContent>
      <w:lvlText w:val="%1)"/>
      <w:lvlJc w:val="left"/>
      <w:pPr>
        <w:ind w:left="927" w:hanging="360"/>
      </w:pPr>
      <w:rPr>
        <w:rFonts w:ascii="Times New Roman" w:hAnsi="Times New Roman" w:cs="Times New Roman" w:hint="default"/>
        <w:b w:val="0"/>
        <w:bCs w:val="0"/>
        <w:i w:val="0"/>
        <w:iCs w:val="0"/>
        <w:spacing w:val="-1"/>
        <w:w w:val="99"/>
        <w:sz w:val="24"/>
        <w:szCs w:val="24"/>
      </w:rPr>
    </w:lvl>
    <w:lvl w:ilvl="1" w:tplc="18090019" w:tentative="1">
      <w:start w:val="1"/>
      <w:numFmt w:val="lowerLetter"/>
      <w:lvlText w:val="%2."/>
      <w:lvlJc w:val="left"/>
      <w:pPr>
        <w:ind w:left="927" w:hanging="360"/>
      </w:pPr>
    </w:lvl>
    <w:lvl w:ilvl="2" w:tplc="1809001B" w:tentative="1">
      <w:start w:val="1"/>
      <w:numFmt w:val="lowerRoman"/>
      <w:lvlText w:val="%3."/>
      <w:lvlJc w:val="right"/>
      <w:pPr>
        <w:ind w:left="1647" w:hanging="180"/>
      </w:pPr>
    </w:lvl>
    <w:lvl w:ilvl="3" w:tplc="1809000F" w:tentative="1">
      <w:start w:val="1"/>
      <w:numFmt w:val="decimal"/>
      <w:lvlText w:val="%4."/>
      <w:lvlJc w:val="left"/>
      <w:pPr>
        <w:ind w:left="2367" w:hanging="360"/>
      </w:pPr>
    </w:lvl>
    <w:lvl w:ilvl="4" w:tplc="18090019" w:tentative="1">
      <w:start w:val="1"/>
      <w:numFmt w:val="lowerLetter"/>
      <w:lvlText w:val="%5."/>
      <w:lvlJc w:val="left"/>
      <w:pPr>
        <w:ind w:left="3087" w:hanging="360"/>
      </w:pPr>
    </w:lvl>
    <w:lvl w:ilvl="5" w:tplc="1809001B" w:tentative="1">
      <w:start w:val="1"/>
      <w:numFmt w:val="lowerRoman"/>
      <w:lvlText w:val="%6."/>
      <w:lvlJc w:val="right"/>
      <w:pPr>
        <w:ind w:left="3807" w:hanging="180"/>
      </w:pPr>
    </w:lvl>
    <w:lvl w:ilvl="6" w:tplc="1809000F" w:tentative="1">
      <w:start w:val="1"/>
      <w:numFmt w:val="decimal"/>
      <w:lvlText w:val="%7."/>
      <w:lvlJc w:val="left"/>
      <w:pPr>
        <w:ind w:left="4527" w:hanging="360"/>
      </w:pPr>
    </w:lvl>
    <w:lvl w:ilvl="7" w:tplc="18090019" w:tentative="1">
      <w:start w:val="1"/>
      <w:numFmt w:val="lowerLetter"/>
      <w:lvlText w:val="%8."/>
      <w:lvlJc w:val="left"/>
      <w:pPr>
        <w:ind w:left="5247" w:hanging="360"/>
      </w:pPr>
    </w:lvl>
    <w:lvl w:ilvl="8" w:tplc="1809001B" w:tentative="1">
      <w:start w:val="1"/>
      <w:numFmt w:val="lowerRoman"/>
      <w:lvlText w:val="%9."/>
      <w:lvlJc w:val="right"/>
      <w:pPr>
        <w:ind w:left="5967" w:hanging="180"/>
      </w:pPr>
    </w:lvl>
  </w:abstractNum>
  <w:abstractNum w:abstractNumId="26" w15:restartNumberingAfterBreak="0">
    <w:nsid w:val="53F94D79"/>
    <w:multiLevelType w:val="hybridMultilevel"/>
    <w:tmpl w:val="07C8E43A"/>
    <w:lvl w:ilvl="0" w:tplc="AD7045B4">
      <w:start w:val="1"/>
      <w:numFmt w:val="decimal"/>
      <w:lvlText w:val="%1."/>
      <w:lvlJc w:val="left"/>
      <w:pPr>
        <w:ind w:left="720" w:hanging="360"/>
      </w:pPr>
      <w:rPr>
        <w:rFonts w:ascii="Times New Roman" w:hAnsi="Times New Roman" w:cs="Times New Roman" w:hint="default"/>
        <w:i w:val="0"/>
        <w:lang w:val="en-GB"/>
      </w:rPr>
    </w:lvl>
    <w:lvl w:ilvl="1" w:tplc="58DC475E">
      <w:start w:val="1"/>
      <mc:AlternateContent>
        <mc:Choice Requires="w14">
          <w:numFmt w:val="custom" w:format="а, й, к, ..."/>
        </mc:Choice>
        <mc:Fallback>
          <w:numFmt w:val="decimal"/>
        </mc:Fallback>
      </mc:AlternateContent>
      <w:lvlText w:val="%2)"/>
      <w:lvlJc w:val="left"/>
      <w:pPr>
        <w:ind w:left="1440" w:hanging="360"/>
      </w:pPr>
      <w:rPr>
        <w:rFonts w:ascii="Times New Roman" w:hAnsi="Times New Roman" w:cs="Times New Roman" w:hint="default"/>
        <w:b w:val="0"/>
        <w:bCs w:val="0"/>
        <w:i w:val="0"/>
        <w:iCs w:val="0"/>
        <w:spacing w:val="-1"/>
        <w:w w:val="99"/>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1"/>
  </w:num>
  <w:num w:numId="6" w16cid:durableId="527643500">
    <w:abstractNumId w:val="1"/>
  </w:num>
  <w:num w:numId="7" w16cid:durableId="1759323646">
    <w:abstractNumId w:val="30"/>
  </w:num>
  <w:num w:numId="8" w16cid:durableId="1186865733">
    <w:abstractNumId w:val="24"/>
  </w:num>
  <w:num w:numId="9" w16cid:durableId="1650984832">
    <w:abstractNumId w:val="0"/>
  </w:num>
  <w:num w:numId="10" w16cid:durableId="1485469165">
    <w:abstractNumId w:val="14"/>
  </w:num>
  <w:num w:numId="11" w16cid:durableId="1503810601">
    <w:abstractNumId w:val="28"/>
  </w:num>
  <w:num w:numId="12" w16cid:durableId="1197543771">
    <w:abstractNumId w:val="2"/>
  </w:num>
  <w:num w:numId="13" w16cid:durableId="889655841">
    <w:abstractNumId w:val="26"/>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7"/>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9"/>
  </w:num>
  <w:num w:numId="29" w16cid:durableId="873467813">
    <w:abstractNumId w:val="16"/>
  </w:num>
  <w:num w:numId="30" w16cid:durableId="445121452">
    <w:abstractNumId w:val="12"/>
  </w:num>
  <w:num w:numId="31" w16cid:durableId="101192687">
    <w:abstractNumId w:val="8"/>
  </w:num>
  <w:num w:numId="32" w16cid:durableId="30652151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27BD"/>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4606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05CC2"/>
    <w:rsid w:val="005157C3"/>
    <w:rsid w:val="005202EF"/>
    <w:rsid w:val="00523B17"/>
    <w:rsid w:val="00555252"/>
    <w:rsid w:val="00557215"/>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65B7A"/>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bg-BG"/>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bg-BG"/>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bg-BG"/>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bg-BG"/>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bg-BG"/>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bg-BG"/>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bg-BG"/>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bg-BG"/>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bg-BG"/>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bg-BG"/>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bg-BG"/>
    </w:rPr>
  </w:style>
  <w:style w:type="table" w:styleId="TableGrid">
    <w:name w:val="Table Grid"/>
    <w:basedOn w:val="TableProfessional"/>
    <w:uiPriority w:val="59"/>
    <w:rsid w:val="00183989"/>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bg-BG"/>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bg-BG"/>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bg-BG"/>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bg-BG"/>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bg-BG"/>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bg-BG"/>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bg-BG"/>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bg-BG"/>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bg-BG"/>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bg-BG"/>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unpri.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A2B6B6-4E8A-48FA-A652-F1C479C57AFD}"/>
</file>

<file path=customXml/itemProps2.xml><?xml version="1.0" encoding="utf-8"?>
<ds:datastoreItem xmlns:ds="http://schemas.openxmlformats.org/officeDocument/2006/customXml" ds:itemID="{127F269C-E174-4F97-970A-7016502484EE}"/>
</file>

<file path=customXml/itemProps3.xml><?xml version="1.0" encoding="utf-8"?>
<ds:datastoreItem xmlns:ds="http://schemas.openxmlformats.org/officeDocument/2006/customXml" ds:itemID="{D9797D48-5AF5-4A73-BBF4-E99675C8F5EC}"/>
</file>

<file path=docProps/app.xml><?xml version="1.0" encoding="utf-8"?>
<Properties xmlns="http://schemas.openxmlformats.org/officeDocument/2006/extended-properties" xmlns:vt="http://schemas.openxmlformats.org/officeDocument/2006/docPropsVTypes">
  <Template>Normal</Template>
  <TotalTime>31</TotalTime>
  <Pages>53</Pages>
  <Words>19790</Words>
  <Characters>112807</Characters>
  <Application>Microsoft Office Word</Application>
  <DocSecurity>0</DocSecurity>
  <Lines>2350</Lines>
  <Paragraphs>1027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BAKOS Tamas (DGT)</cp:lastModifiedBy>
  <cp:revision>9</cp:revision>
  <dcterms:created xsi:type="dcterms:W3CDTF">2024-06-28T09:37:00Z</dcterms:created>
  <dcterms:modified xsi:type="dcterms:W3CDTF">2024-10-18T09:02:00Z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