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329B3" w14:textId="77777777" w:rsidR="001A67EA" w:rsidRPr="002F14E4" w:rsidRDefault="001A67EA" w:rsidP="001A67EA">
      <w:pPr>
        <w:pStyle w:val="Annexetitre"/>
        <w:spacing w:before="0"/>
      </w:pPr>
      <w:r w:rsidRPr="002F14E4">
        <w:t>PRILOGA XVIII – Razkritje uporabe tehnik za zmanjševanje kreditnega tveganja</w:t>
      </w:r>
    </w:p>
    <w:p w14:paraId="180377CB" w14:textId="77777777" w:rsidR="001A67EA" w:rsidRPr="002F14E4" w:rsidRDefault="001A67EA" w:rsidP="001A67EA">
      <w:pPr>
        <w:spacing w:after="120"/>
        <w:rPr>
          <w:rFonts w:ascii="Times New Roman" w:hAnsi="Times New Roman" w:cs="Times New Roman"/>
          <w:sz w:val="24"/>
        </w:rPr>
      </w:pPr>
    </w:p>
    <w:p w14:paraId="58177053" w14:textId="77777777" w:rsidR="001A67EA" w:rsidRPr="002F14E4" w:rsidRDefault="001A67EA" w:rsidP="001A67EA">
      <w:pPr>
        <w:spacing w:after="120"/>
        <w:rPr>
          <w:rFonts w:ascii="Times New Roman" w:hAnsi="Times New Roman"/>
          <w:sz w:val="24"/>
        </w:rPr>
      </w:pPr>
      <w:r w:rsidRPr="002F14E4">
        <w:rPr>
          <w:rFonts w:ascii="Times New Roman" w:hAnsi="Times New Roman"/>
          <w:b/>
          <w:sz w:val="24"/>
        </w:rPr>
        <w:t>Razpredelnica EU CRC – Zahteve po kvalitativnih razkritjih v zvezi s tehnikami CRM. Prilagodljiva razpredelnica.</w:t>
      </w:r>
    </w:p>
    <w:p w14:paraId="163D083B" w14:textId="60F05672" w:rsidR="001A67EA" w:rsidRPr="002F14E4" w:rsidRDefault="001A67EA" w:rsidP="001A67EA">
      <w:pPr>
        <w:spacing w:after="120"/>
        <w:jc w:val="both"/>
        <w:rPr>
          <w:rFonts w:ascii="Times New Roman" w:hAnsi="Times New Roman" w:cs="Times New Roman"/>
          <w:sz w:val="24"/>
        </w:rPr>
      </w:pPr>
      <w:r w:rsidRPr="002F14E4">
        <w:rPr>
          <w:rFonts w:ascii="Times New Roman" w:hAnsi="Times New Roman"/>
          <w:sz w:val="24"/>
        </w:rPr>
        <w:t>Institucije razkrijejo informacije iz člena 453, točke (a) do (e), Uredbe (EU) št. 575/2013</w:t>
      </w:r>
      <w:r w:rsidRPr="002F14E4">
        <w:rPr>
          <w:rStyle w:val="FootnoteReference"/>
          <w:rFonts w:ascii="Times New Roman" w:hAnsi="Times New Roman" w:cs="Times New Roman"/>
          <w:sz w:val="24"/>
        </w:rPr>
        <w:footnoteReference w:id="1"/>
      </w:r>
      <w:r w:rsidRPr="002F14E4">
        <w:rPr>
          <w:rFonts w:ascii="Times New Roman" w:hAnsi="Times New Roman"/>
          <w:sz w:val="24"/>
        </w:rPr>
        <w:t xml:space="preserve"> (CRR) ob upoštevanju navodil iz te priloge za izpolnjevanje razpredelnice EU CRC iz Priloge XVII k rešitvam IT EBA.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A67EA" w:rsidRPr="002F14E4" w14:paraId="4AD1712D"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E717E60" w14:textId="77777777" w:rsidR="001A67EA" w:rsidRPr="002F14E4" w:rsidRDefault="001A67EA" w:rsidP="004F3087">
            <w:pPr>
              <w:autoSpaceDE w:val="0"/>
              <w:autoSpaceDN w:val="0"/>
              <w:adjustRightInd w:val="0"/>
              <w:spacing w:after="120"/>
              <w:rPr>
                <w:rFonts w:ascii="Times New Roman" w:hAnsi="Times New Roman" w:cs="Times New Roman"/>
                <w:b/>
                <w:sz w:val="24"/>
              </w:rPr>
            </w:pPr>
            <w:r w:rsidRPr="002F14E4">
              <w:rPr>
                <w:rFonts w:ascii="Times New Roman" w:hAnsi="Times New Roman"/>
                <w:b/>
                <w:sz w:val="24"/>
              </w:rPr>
              <w:t>Vrstica</w:t>
            </w:r>
          </w:p>
          <w:p w14:paraId="2309F288" w14:textId="77777777" w:rsidR="001A67EA" w:rsidRPr="002F14E4" w:rsidRDefault="001A67EA" w:rsidP="004F3087">
            <w:pPr>
              <w:autoSpaceDE w:val="0"/>
              <w:autoSpaceDN w:val="0"/>
              <w:adjustRightInd w:val="0"/>
              <w:spacing w:after="120"/>
              <w:rPr>
                <w:rFonts w:ascii="Times New Roman" w:hAnsi="Times New Roman" w:cs="Times New Roman"/>
                <w:b/>
                <w:sz w:val="24"/>
              </w:rPr>
            </w:pPr>
            <w:r w:rsidRPr="002F14E4">
              <w:rPr>
                <w:rFonts w:ascii="Times New Roman" w:hAnsi="Times New Roman"/>
                <w:b/>
                <w:sz w:val="24"/>
              </w:rPr>
              <w:t xml:space="preserve"> </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FAA1416" w14:textId="77777777" w:rsidR="001A67EA" w:rsidRPr="002F14E4" w:rsidRDefault="001A67EA" w:rsidP="004F3087">
            <w:pPr>
              <w:spacing w:after="120"/>
              <w:rPr>
                <w:rFonts w:ascii="Times New Roman" w:hAnsi="Times New Roman" w:cs="Times New Roman"/>
                <w:b/>
                <w:sz w:val="24"/>
              </w:rPr>
            </w:pPr>
            <w:r w:rsidRPr="002F14E4">
              <w:rPr>
                <w:rFonts w:ascii="Times New Roman" w:hAnsi="Times New Roman"/>
                <w:b/>
                <w:sz w:val="24"/>
              </w:rPr>
              <w:t>Pravna podlaga in navodila</w:t>
            </w:r>
          </w:p>
        </w:tc>
      </w:tr>
      <w:tr w:rsidR="001A67EA" w:rsidRPr="002F14E4" w14:paraId="60B868A1"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5FEF9560" w14:textId="77777777" w:rsidR="001A67EA" w:rsidRPr="002F14E4"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05426F67" w14:textId="77777777" w:rsidR="001A67EA" w:rsidRPr="002F14E4" w:rsidRDefault="001A67EA" w:rsidP="004F3087">
            <w:pPr>
              <w:spacing w:after="120"/>
              <w:rPr>
                <w:rFonts w:ascii="Times New Roman" w:hAnsi="Times New Roman" w:cs="Times New Roman"/>
                <w:b/>
                <w:sz w:val="24"/>
              </w:rPr>
            </w:pPr>
            <w:r w:rsidRPr="002F14E4">
              <w:rPr>
                <w:rFonts w:ascii="Times New Roman" w:hAnsi="Times New Roman"/>
                <w:b/>
                <w:sz w:val="24"/>
              </w:rPr>
              <w:t>Pojasnilo</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70"/>
        <w:gridCol w:w="1123"/>
        <w:gridCol w:w="6579"/>
      </w:tblGrid>
      <w:tr w:rsidR="001A67EA" w:rsidRPr="002F14E4" w14:paraId="6046C957" w14:textId="77777777" w:rsidTr="004F3087">
        <w:trPr>
          <w:cnfStyle w:val="100000000000" w:firstRow="1" w:lastRow="0" w:firstColumn="0" w:lastColumn="0" w:oddVBand="0" w:evenVBand="0" w:oddHBand="0" w:evenHBand="0" w:firstRowFirstColumn="0" w:firstRowLastColumn="0" w:lastRowFirstColumn="0" w:lastRowLastColumn="0"/>
          <w:trHeight w:val="843"/>
        </w:trPr>
        <w:tc>
          <w:tcPr>
            <w:tcW w:w="140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1D92DAC2" w14:textId="77777777" w:rsidR="001A67EA" w:rsidRPr="002F14E4" w:rsidRDefault="001A67EA" w:rsidP="004F3087">
            <w:pPr>
              <w:spacing w:after="120"/>
              <w:jc w:val="both"/>
              <w:rPr>
                <w:rFonts w:ascii="Times New Roman" w:hAnsi="Times New Roman" w:cs="Times New Roman"/>
                <w:sz w:val="24"/>
                <w:lang w:val="sl-SI"/>
              </w:rPr>
            </w:pPr>
            <w:r w:rsidRPr="002F14E4">
              <w:rPr>
                <w:rFonts w:ascii="Times New Roman" w:hAnsi="Times New Roman"/>
                <w:color w:val="000000"/>
                <w:sz w:val="24"/>
                <w:lang w:val="sl-SI"/>
              </w:rP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25DEF807" w14:textId="77777777" w:rsidR="001A67EA" w:rsidRPr="002F14E4" w:rsidRDefault="001A67EA" w:rsidP="004F3087">
            <w:pPr>
              <w:spacing w:after="120"/>
              <w:jc w:val="both"/>
              <w:rPr>
                <w:rFonts w:ascii="Times New Roman" w:hAnsi="Times New Roman" w:cs="Times New Roman"/>
                <w:sz w:val="24"/>
                <w:lang w:val="sl-SI"/>
              </w:rPr>
            </w:pPr>
            <w:r w:rsidRPr="002F14E4">
              <w:rPr>
                <w:rFonts w:ascii="Times New Roman" w:hAnsi="Times New Roman"/>
                <w:sz w:val="24"/>
                <w:lang w:val="sl-SI"/>
              </w:rPr>
              <w:t>Člen 453, točka (a), CRR.</w:t>
            </w:r>
          </w:p>
        </w:tc>
        <w:tc>
          <w:tcPr>
            <w:tcW w:w="678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5DDFD2E" w14:textId="77777777" w:rsidR="001A67EA" w:rsidRPr="002F14E4" w:rsidRDefault="001A67EA" w:rsidP="004F3087">
            <w:pPr>
              <w:spacing w:after="120"/>
              <w:jc w:val="both"/>
              <w:rPr>
                <w:rFonts w:ascii="Times New Roman" w:hAnsi="Times New Roman" w:cs="Times New Roman"/>
                <w:sz w:val="24"/>
                <w:lang w:val="sl-SI"/>
              </w:rPr>
            </w:pPr>
            <w:r w:rsidRPr="002F14E4">
              <w:rPr>
                <w:rFonts w:ascii="Times New Roman" w:hAnsi="Times New Roman"/>
                <w:sz w:val="24"/>
                <w:lang w:val="sl-SI"/>
              </w:rPr>
              <w:t>Institucije pri razkrivanju informacij o svojih smernicah za pobot in uporabi pobota v skladu s členom 453(a) CRR zagotovijo jasen opis politik in postopkov za zmanjševanje kreditnega tveganja v zvezi z bilančnimi in zunajbilančnimi poboti ter okvirnimi pogodbami o pobotu. Navedejo tudi, v kakšnem obsegu so bili uporabljeni bilančni in zunajbilančni poboti ter okvirne pogodbe o pobotu in njihov pomen za upravljanje kreditnega tveganja. Institucije lahko zlasti navedejo podrobnosti o tehnikah, ki se uporabljajo, o pozicijah, kritih s pogodbami o bilančnem pobotu, in o finančnih instrumentih, vključenih v okvirne pogodbe o pobotu. Poleg tega lahko opišejo tudi pogoje, ki so nujni za zagotovitev učinkovitosti teh tehnik, in kontrole, ki so vzpostavljene za upravljanje pravnega tveganja.</w:t>
            </w:r>
          </w:p>
        </w:tc>
      </w:tr>
      <w:tr w:rsidR="001A67EA" w:rsidRPr="002F14E4" w14:paraId="088E4178" w14:textId="77777777" w:rsidTr="004F3087">
        <w:trPr>
          <w:trHeight w:val="841"/>
        </w:trPr>
        <w:tc>
          <w:tcPr>
            <w:tcW w:w="1407" w:type="dxa"/>
          </w:tcPr>
          <w:p w14:paraId="16A703B9" w14:textId="77777777" w:rsidR="001A67EA" w:rsidRPr="002F14E4" w:rsidRDefault="001A67EA" w:rsidP="004F3087">
            <w:pPr>
              <w:spacing w:after="120"/>
              <w:jc w:val="both"/>
              <w:rPr>
                <w:rFonts w:ascii="Times New Roman" w:hAnsi="Times New Roman" w:cs="Times New Roman"/>
                <w:sz w:val="24"/>
                <w:lang w:val="sl-SI"/>
              </w:rPr>
            </w:pPr>
            <w:r w:rsidRPr="002F14E4">
              <w:rPr>
                <w:rFonts w:ascii="Times New Roman" w:hAnsi="Times New Roman"/>
                <w:color w:val="000000"/>
                <w:sz w:val="24"/>
                <w:lang w:val="sl-SI"/>
              </w:rPr>
              <w:t>(b)</w:t>
            </w:r>
          </w:p>
        </w:tc>
        <w:tc>
          <w:tcPr>
            <w:tcW w:w="883" w:type="dxa"/>
          </w:tcPr>
          <w:p w14:paraId="20468003" w14:textId="77777777" w:rsidR="001A67EA" w:rsidRPr="002F14E4" w:rsidRDefault="001A67EA" w:rsidP="004F3087">
            <w:pPr>
              <w:spacing w:after="120"/>
              <w:jc w:val="both"/>
              <w:rPr>
                <w:rFonts w:ascii="Times New Roman" w:eastAsia="Times New Roman" w:hAnsi="Times New Roman" w:cs="Times New Roman"/>
                <w:iCs/>
                <w:sz w:val="24"/>
                <w:lang w:val="sl-SI"/>
              </w:rPr>
            </w:pPr>
            <w:r w:rsidRPr="002F14E4">
              <w:rPr>
                <w:rFonts w:ascii="Times New Roman" w:hAnsi="Times New Roman"/>
                <w:sz w:val="24"/>
                <w:lang w:val="sl-SI"/>
              </w:rPr>
              <w:t>Člen 453(b)</w:t>
            </w:r>
          </w:p>
          <w:p w14:paraId="4BA9C895" w14:textId="77777777" w:rsidR="001A67EA" w:rsidRPr="002F14E4" w:rsidRDefault="001A67EA" w:rsidP="004F3087">
            <w:pPr>
              <w:spacing w:after="120"/>
              <w:jc w:val="both"/>
              <w:rPr>
                <w:rFonts w:ascii="Times New Roman" w:hAnsi="Times New Roman" w:cs="Times New Roman"/>
                <w:sz w:val="24"/>
                <w:lang w:val="sl-SI"/>
              </w:rPr>
            </w:pPr>
            <w:r w:rsidRPr="002F14E4">
              <w:rPr>
                <w:rFonts w:ascii="Times New Roman" w:hAnsi="Times New Roman"/>
                <w:sz w:val="24"/>
                <w:lang w:val="sl-SI"/>
              </w:rPr>
              <w:t>CRR.</w:t>
            </w:r>
          </w:p>
        </w:tc>
        <w:tc>
          <w:tcPr>
            <w:tcW w:w="6782" w:type="dxa"/>
          </w:tcPr>
          <w:p w14:paraId="4B80DFA2" w14:textId="77777777" w:rsidR="001A67EA" w:rsidRPr="002F14E4" w:rsidRDefault="001A67EA" w:rsidP="004F3087">
            <w:pPr>
              <w:spacing w:after="120"/>
              <w:jc w:val="both"/>
              <w:rPr>
                <w:rFonts w:ascii="Times New Roman" w:hAnsi="Times New Roman" w:cs="Times New Roman"/>
                <w:sz w:val="24"/>
                <w:lang w:val="sl-SI"/>
              </w:rPr>
            </w:pPr>
            <w:r w:rsidRPr="002F14E4">
              <w:rPr>
                <w:rFonts w:ascii="Times New Roman" w:hAnsi="Times New Roman"/>
                <w:sz w:val="24"/>
                <w:lang w:val="sl-SI"/>
              </w:rPr>
              <w:t>Institucije lahko v okviru razkritij o glavnih značilnostih politik in postopkov za vrednotenje in upravljanje primernega zavarovanja s premoženjem v skladu s členom 453(b) CRR, razkrijejo:</w:t>
            </w:r>
          </w:p>
          <w:p w14:paraId="2A102C16" w14:textId="77777777" w:rsidR="001A67EA" w:rsidRPr="002F14E4" w:rsidRDefault="001A67EA" w:rsidP="004F3087">
            <w:pPr>
              <w:spacing w:after="120"/>
              <w:jc w:val="both"/>
              <w:rPr>
                <w:rFonts w:ascii="Times New Roman" w:hAnsi="Times New Roman" w:cs="Times New Roman"/>
                <w:sz w:val="24"/>
                <w:lang w:val="sl-SI"/>
              </w:rPr>
            </w:pPr>
            <w:r w:rsidRPr="002F14E4">
              <w:rPr>
                <w:rFonts w:ascii="Times New Roman" w:hAnsi="Times New Roman"/>
                <w:sz w:val="24"/>
                <w:lang w:val="sl-SI"/>
              </w:rPr>
              <w:t>– podlago za oceno in ovrednotenje danega zavarovanja s premoženjem, vključno z oceno pravne varnosti tehnik za zmanjševanje kreditnega tveganja (CRM),</w:t>
            </w:r>
          </w:p>
          <w:p w14:paraId="4978007D" w14:textId="77777777" w:rsidR="001A67EA" w:rsidRPr="002F14E4" w:rsidRDefault="001A67EA" w:rsidP="004F3087">
            <w:pPr>
              <w:spacing w:after="120"/>
              <w:jc w:val="both"/>
              <w:rPr>
                <w:rFonts w:ascii="Times New Roman" w:hAnsi="Times New Roman" w:cs="Times New Roman"/>
                <w:sz w:val="24"/>
                <w:lang w:val="sl-SI"/>
              </w:rPr>
            </w:pPr>
            <w:r w:rsidRPr="002F14E4">
              <w:rPr>
                <w:rFonts w:ascii="Times New Roman" w:hAnsi="Times New Roman"/>
                <w:sz w:val="24"/>
                <w:lang w:val="sl-SI"/>
              </w:rPr>
              <w:t>– vrsto vrednotenja (tržna vrednost, hipotekarna kreditna vrednost, druge vrste vrednosti),</w:t>
            </w:r>
          </w:p>
          <w:p w14:paraId="1BB7939A" w14:textId="77777777" w:rsidR="001A67EA" w:rsidRPr="002F14E4" w:rsidRDefault="001A67EA" w:rsidP="004F3087">
            <w:pPr>
              <w:spacing w:after="120"/>
              <w:jc w:val="both"/>
              <w:rPr>
                <w:rFonts w:ascii="Times New Roman" w:hAnsi="Times New Roman" w:cs="Times New Roman"/>
                <w:sz w:val="24"/>
                <w:lang w:val="sl-SI"/>
              </w:rPr>
            </w:pPr>
            <w:r w:rsidRPr="002F14E4">
              <w:rPr>
                <w:rFonts w:ascii="Times New Roman" w:hAnsi="Times New Roman"/>
                <w:sz w:val="24"/>
                <w:lang w:val="sl-SI"/>
              </w:rPr>
              <w:t>– v kakšnem obsegu je izračunana vrednost zavarovanja zmanjšana za odbitek,</w:t>
            </w:r>
          </w:p>
          <w:p w14:paraId="6CA64CC4" w14:textId="77777777" w:rsidR="001A67EA" w:rsidRPr="002F14E4" w:rsidRDefault="001A67EA" w:rsidP="004F3087">
            <w:pPr>
              <w:spacing w:after="120"/>
              <w:jc w:val="both"/>
              <w:rPr>
                <w:rFonts w:ascii="Times New Roman" w:hAnsi="Times New Roman" w:cs="Times New Roman"/>
                <w:sz w:val="24"/>
                <w:lang w:val="sl-SI"/>
              </w:rPr>
            </w:pPr>
            <w:r w:rsidRPr="002F14E4">
              <w:rPr>
                <w:rFonts w:ascii="Times New Roman" w:hAnsi="Times New Roman"/>
                <w:sz w:val="24"/>
                <w:lang w:val="sl-SI"/>
              </w:rPr>
              <w:t>– postopek, pogostost in metode, ki se uporabljajo za spremljanje vrednosti hipotekarnega zavarovanja s premoženjem in drugega fizičnega zavarovanja s premoženjem.</w:t>
            </w:r>
          </w:p>
          <w:p w14:paraId="42DBE288" w14:textId="77777777" w:rsidR="001A67EA" w:rsidRPr="002F14E4" w:rsidRDefault="001A67EA" w:rsidP="004F3087">
            <w:pPr>
              <w:spacing w:after="120"/>
              <w:jc w:val="both"/>
              <w:rPr>
                <w:rFonts w:ascii="Times New Roman" w:hAnsi="Times New Roman" w:cs="Times New Roman"/>
                <w:sz w:val="24"/>
                <w:lang w:val="sl-SI"/>
              </w:rPr>
            </w:pPr>
            <w:r w:rsidRPr="002F14E4">
              <w:rPr>
                <w:rFonts w:ascii="Times New Roman" w:hAnsi="Times New Roman"/>
                <w:sz w:val="24"/>
                <w:lang w:val="sl-SI"/>
              </w:rPr>
              <w:t>Poleg tega lahko institucije razkrijejo tudi, ali obstaja sistem omejitev kreditne izpostavljenosti in kako sprejeto zavarovanje s premoženjem vpliva na količinsko opredelitev teh omejitev.</w:t>
            </w:r>
          </w:p>
        </w:tc>
      </w:tr>
      <w:tr w:rsidR="001A67EA" w:rsidRPr="002F14E4" w:rsidDel="00915DC9" w14:paraId="3A5626B8" w14:textId="77777777" w:rsidTr="004F3087">
        <w:trPr>
          <w:trHeight w:val="973"/>
        </w:trPr>
        <w:tc>
          <w:tcPr>
            <w:tcW w:w="1407" w:type="dxa"/>
          </w:tcPr>
          <w:p w14:paraId="547245B3" w14:textId="77777777" w:rsidR="001A67EA" w:rsidRPr="002F14E4" w:rsidRDefault="001A67EA" w:rsidP="004F3087">
            <w:pPr>
              <w:spacing w:after="120"/>
              <w:jc w:val="both"/>
              <w:rPr>
                <w:rFonts w:ascii="Times New Roman" w:hAnsi="Times New Roman" w:cs="Times New Roman"/>
                <w:sz w:val="24"/>
                <w:lang w:val="sl-SI"/>
              </w:rPr>
            </w:pPr>
            <w:r w:rsidRPr="002F14E4">
              <w:rPr>
                <w:rFonts w:ascii="Times New Roman" w:hAnsi="Times New Roman"/>
                <w:color w:val="000000"/>
                <w:sz w:val="24"/>
                <w:lang w:val="sl-SI"/>
              </w:rPr>
              <w:lastRenderedPageBreak/>
              <w:t>(c)</w:t>
            </w:r>
          </w:p>
        </w:tc>
        <w:tc>
          <w:tcPr>
            <w:tcW w:w="883" w:type="dxa"/>
          </w:tcPr>
          <w:p w14:paraId="3EE8CB34" w14:textId="77777777" w:rsidR="001A67EA" w:rsidRPr="002F14E4" w:rsidRDefault="001A67EA" w:rsidP="004F3087">
            <w:pPr>
              <w:spacing w:after="120"/>
              <w:jc w:val="both"/>
              <w:rPr>
                <w:rFonts w:ascii="Times New Roman" w:hAnsi="Times New Roman" w:cs="Times New Roman"/>
                <w:sz w:val="24"/>
                <w:lang w:val="sl-SI"/>
              </w:rPr>
            </w:pPr>
            <w:r w:rsidRPr="002F14E4">
              <w:rPr>
                <w:rFonts w:ascii="Times New Roman" w:hAnsi="Times New Roman"/>
                <w:sz w:val="24"/>
                <w:lang w:val="sl-SI"/>
              </w:rPr>
              <w:t>Člen 453, točka (c), CRR.</w:t>
            </w:r>
          </w:p>
        </w:tc>
        <w:tc>
          <w:tcPr>
            <w:tcW w:w="6782" w:type="dxa"/>
          </w:tcPr>
          <w:p w14:paraId="03C8684E" w14:textId="77777777" w:rsidR="001A67EA" w:rsidRPr="002F14E4" w:rsidDel="00915DC9" w:rsidRDefault="001A67EA" w:rsidP="004F3087">
            <w:pPr>
              <w:spacing w:after="120"/>
              <w:jc w:val="both"/>
              <w:rPr>
                <w:rFonts w:ascii="Times New Roman" w:hAnsi="Times New Roman" w:cs="Times New Roman"/>
                <w:sz w:val="24"/>
                <w:lang w:val="sl-SI"/>
              </w:rPr>
            </w:pPr>
            <w:r w:rsidRPr="002F14E4">
              <w:rPr>
                <w:rFonts w:ascii="Times New Roman" w:hAnsi="Times New Roman"/>
                <w:sz w:val="24"/>
                <w:lang w:val="sl-SI"/>
              </w:rPr>
              <w:t>Pri opisovanju zavarovanja s premoženjem, sprejetega v skladu s členom 453(c) CRR, institucije zagotovijo podroben opis glavnih vrst zavarovanja s premoženjem, ki se sprejema za zmanjševanje kreditnega tveganja, po vrstah izpostavljenosti.</w:t>
            </w:r>
          </w:p>
        </w:tc>
      </w:tr>
      <w:tr w:rsidR="001A67EA" w:rsidRPr="002F14E4" w14:paraId="0B958E6C" w14:textId="77777777" w:rsidTr="004F3087">
        <w:trPr>
          <w:trHeight w:val="1265"/>
        </w:trPr>
        <w:tc>
          <w:tcPr>
            <w:tcW w:w="1407" w:type="dxa"/>
          </w:tcPr>
          <w:p w14:paraId="16182508" w14:textId="77777777" w:rsidR="001A67EA" w:rsidRPr="002F14E4" w:rsidRDefault="001A67EA" w:rsidP="004F3087">
            <w:pPr>
              <w:spacing w:after="120"/>
              <w:jc w:val="both"/>
              <w:rPr>
                <w:rFonts w:ascii="Times New Roman" w:hAnsi="Times New Roman" w:cs="Times New Roman"/>
                <w:sz w:val="24"/>
                <w:lang w:val="sl-SI"/>
              </w:rPr>
            </w:pPr>
            <w:r w:rsidRPr="002F14E4">
              <w:rPr>
                <w:rFonts w:ascii="Times New Roman" w:hAnsi="Times New Roman"/>
                <w:color w:val="000000"/>
                <w:sz w:val="24"/>
                <w:lang w:val="sl-SI"/>
              </w:rPr>
              <w:t>(d)</w:t>
            </w:r>
          </w:p>
        </w:tc>
        <w:tc>
          <w:tcPr>
            <w:tcW w:w="883" w:type="dxa"/>
          </w:tcPr>
          <w:p w14:paraId="3751629F" w14:textId="77777777" w:rsidR="001A67EA" w:rsidRPr="002F14E4" w:rsidRDefault="001A67EA" w:rsidP="004F3087">
            <w:pPr>
              <w:spacing w:after="120"/>
              <w:jc w:val="both"/>
              <w:rPr>
                <w:rFonts w:ascii="Times New Roman" w:hAnsi="Times New Roman" w:cs="Times New Roman"/>
                <w:sz w:val="24"/>
                <w:lang w:val="sl-SI"/>
              </w:rPr>
            </w:pPr>
            <w:r w:rsidRPr="002F14E4">
              <w:rPr>
                <w:rFonts w:ascii="Times New Roman" w:hAnsi="Times New Roman"/>
                <w:sz w:val="24"/>
                <w:lang w:val="sl-SI"/>
              </w:rPr>
              <w:t>Člen 453(d) CRR.</w:t>
            </w:r>
          </w:p>
        </w:tc>
        <w:tc>
          <w:tcPr>
            <w:tcW w:w="6782" w:type="dxa"/>
          </w:tcPr>
          <w:p w14:paraId="484148E0" w14:textId="77777777" w:rsidR="001A67EA" w:rsidRPr="002F14E4" w:rsidRDefault="001A67EA" w:rsidP="004F3087">
            <w:pPr>
              <w:spacing w:after="120"/>
              <w:jc w:val="both"/>
              <w:rPr>
                <w:rFonts w:ascii="Times New Roman" w:hAnsi="Times New Roman" w:cs="Times New Roman"/>
                <w:sz w:val="24"/>
                <w:lang w:val="sl-SI"/>
              </w:rPr>
            </w:pPr>
            <w:r w:rsidRPr="002F14E4">
              <w:rPr>
                <w:rFonts w:ascii="Times New Roman" w:hAnsi="Times New Roman"/>
                <w:sz w:val="24"/>
                <w:lang w:val="sl-SI"/>
              </w:rPr>
              <w:t xml:space="preserve">Opis glavnih vrst dajalcev jamstva in nasprotnih strank v kreditnih izvedenih finančnih instrumentih ter njihova kreditna sposobnost, ki jih je treba razkriti v skladu s členom 453(d), zajema kreditne izvedene finančne instrumente, ki se uporabljajo za namene zmanjševanja kapitalskih zahtev, razen tistih, ki so del struktur sintetičnega listinjenja. Institucije lahko vključijo tudi opis metod, ki se uporabljajo za pripoznanje učinkov zagotovljenih jamstev ali kreditnih izvedenih finančnih instrumentov po glavnih vrstah dajalcev jamstva in nasprotnih strank. </w:t>
            </w:r>
          </w:p>
        </w:tc>
      </w:tr>
      <w:tr w:rsidR="001A67EA" w:rsidRPr="002F14E4" w14:paraId="45D6C7FC" w14:textId="77777777" w:rsidTr="004F3087">
        <w:trPr>
          <w:trHeight w:val="1405"/>
        </w:trPr>
        <w:tc>
          <w:tcPr>
            <w:tcW w:w="1407" w:type="dxa"/>
          </w:tcPr>
          <w:p w14:paraId="03857EEF" w14:textId="77777777" w:rsidR="001A67EA" w:rsidRPr="002F14E4" w:rsidRDefault="001A67EA" w:rsidP="004F3087">
            <w:pPr>
              <w:spacing w:after="120"/>
              <w:jc w:val="both"/>
              <w:rPr>
                <w:rFonts w:ascii="Times New Roman" w:hAnsi="Times New Roman" w:cs="Times New Roman"/>
                <w:sz w:val="24"/>
                <w:lang w:val="sl-SI"/>
              </w:rPr>
            </w:pPr>
            <w:r w:rsidRPr="002F14E4">
              <w:rPr>
                <w:rFonts w:ascii="Times New Roman" w:hAnsi="Times New Roman"/>
                <w:color w:val="000000"/>
                <w:sz w:val="24"/>
                <w:lang w:val="sl-SI"/>
              </w:rPr>
              <w:t>(e)</w:t>
            </w:r>
          </w:p>
        </w:tc>
        <w:tc>
          <w:tcPr>
            <w:tcW w:w="883" w:type="dxa"/>
          </w:tcPr>
          <w:p w14:paraId="3363450E" w14:textId="77777777" w:rsidR="001A67EA" w:rsidRPr="002F14E4" w:rsidRDefault="001A67EA" w:rsidP="004F3087">
            <w:pPr>
              <w:spacing w:after="120"/>
              <w:jc w:val="both"/>
              <w:rPr>
                <w:rFonts w:ascii="Times New Roman" w:hAnsi="Times New Roman" w:cs="Times New Roman"/>
                <w:sz w:val="24"/>
                <w:lang w:val="sl-SI"/>
              </w:rPr>
            </w:pPr>
            <w:r w:rsidRPr="002F14E4">
              <w:rPr>
                <w:rFonts w:ascii="Times New Roman" w:hAnsi="Times New Roman"/>
                <w:sz w:val="24"/>
                <w:lang w:val="sl-SI"/>
              </w:rPr>
              <w:t>Člen 453(e) CRR.</w:t>
            </w:r>
          </w:p>
        </w:tc>
        <w:tc>
          <w:tcPr>
            <w:tcW w:w="6782" w:type="dxa"/>
          </w:tcPr>
          <w:p w14:paraId="025D06B4" w14:textId="77777777" w:rsidR="001A67EA" w:rsidRPr="002F14E4" w:rsidRDefault="001A67EA" w:rsidP="004F3087">
            <w:pPr>
              <w:spacing w:after="120"/>
              <w:jc w:val="both"/>
              <w:rPr>
                <w:rFonts w:ascii="Times New Roman" w:hAnsi="Times New Roman" w:cs="Times New Roman"/>
                <w:sz w:val="24"/>
                <w:lang w:val="sl-SI"/>
              </w:rPr>
            </w:pPr>
            <w:r w:rsidRPr="002F14E4">
              <w:rPr>
                <w:rFonts w:ascii="Times New Roman" w:hAnsi="Times New Roman"/>
                <w:sz w:val="24"/>
                <w:lang w:val="sl-SI"/>
              </w:rPr>
              <w:t>Pri razkrivanju informacij o koncentracijah tržnega ali kreditnega tveganja v okviru CRM v skladu s členom 453(e) institucije zagotovijo analizo vseh koncentracij, do katerih pride zaradi ukrepov CRM in ki lahko preprečijo učinkovitost instrumentov CRM. Koncentracije, ki jih zajemajo ta razkritja, lahko vključujejo koncentracije po vrstah instrumenta, ki se uporablja kot zavarovanje s premoženjem, subjektih (koncentracija glede na vrsto dajalca jamstva in ponudnika kreditnih izvedenih finančnih instrumentov), sektorjih, geografskih območjih, valutah, bonitetnih ocenah ali drugih dejavnikih, ki morda vplivajo na vrednost zavarovanja in jo zato zmanjšajo.</w:t>
            </w:r>
          </w:p>
        </w:tc>
      </w:tr>
    </w:tbl>
    <w:p w14:paraId="5BC2E8E9" w14:textId="77777777" w:rsidR="001A67EA" w:rsidRPr="002F14E4" w:rsidRDefault="001A67EA" w:rsidP="001A67EA">
      <w:pPr>
        <w:spacing w:after="120"/>
        <w:rPr>
          <w:rFonts w:ascii="Times New Roman" w:hAnsi="Times New Roman" w:cs="Times New Roman"/>
          <w:sz w:val="24"/>
        </w:rPr>
      </w:pPr>
    </w:p>
    <w:p w14:paraId="5F6E25BC" w14:textId="77777777" w:rsidR="001A67EA" w:rsidRPr="002F14E4" w:rsidRDefault="001A67EA" w:rsidP="001A67EA">
      <w:pPr>
        <w:spacing w:after="120"/>
        <w:rPr>
          <w:rFonts w:ascii="Times New Roman" w:hAnsi="Times New Roman" w:cs="Times New Roman"/>
          <w:b/>
          <w:sz w:val="24"/>
        </w:rPr>
      </w:pPr>
      <w:r w:rsidRPr="002F14E4">
        <w:rPr>
          <w:rFonts w:ascii="Times New Roman" w:hAnsi="Times New Roman"/>
          <w:b/>
          <w:sz w:val="24"/>
        </w:rPr>
        <w:t>Predloga EU CR3 – Pregled tehnik CRM: Razkritje uporabe tehnik za zmanjševanje kreditnega tveganja. Fiksna predloga.</w:t>
      </w:r>
    </w:p>
    <w:p w14:paraId="1FAA7723" w14:textId="77777777" w:rsidR="001A67EA" w:rsidRPr="002F14E4" w:rsidRDefault="001A67EA" w:rsidP="001A67EA">
      <w:pPr>
        <w:spacing w:after="120"/>
        <w:jc w:val="both"/>
        <w:rPr>
          <w:rFonts w:ascii="Times New Roman" w:hAnsi="Times New Roman" w:cs="Times New Roman"/>
          <w:sz w:val="24"/>
        </w:rPr>
      </w:pPr>
      <w:r w:rsidRPr="002F14E4">
        <w:rPr>
          <w:rFonts w:ascii="Times New Roman" w:hAnsi="Times New Roman"/>
          <w:sz w:val="24"/>
        </w:rPr>
        <w:t>Institucije razkrijejo informacije iz člena 453, točka (f), CRR ob upoštevanju navodil iz te priloge za izpolnjevanje predloge EU CR3 iz Priloge XVII k tej izvedbeni uredbi.</w:t>
      </w:r>
    </w:p>
    <w:p w14:paraId="69A94B62" w14:textId="77777777" w:rsidR="001A67EA" w:rsidRPr="002F14E4" w:rsidRDefault="001A67EA" w:rsidP="001A67EA">
      <w:pPr>
        <w:spacing w:after="120"/>
        <w:jc w:val="both"/>
        <w:rPr>
          <w:rFonts w:ascii="Times New Roman" w:eastAsia="Times New Roman" w:hAnsi="Times New Roman" w:cs="Times New Roman"/>
          <w:b/>
          <w:iCs/>
          <w:sz w:val="24"/>
        </w:rPr>
      </w:pPr>
      <w:r w:rsidRPr="002F14E4">
        <w:rPr>
          <w:rFonts w:ascii="Times New Roman" w:hAnsi="Times New Roman"/>
          <w:sz w:val="24"/>
        </w:rPr>
        <w:t>Ta predloga zajema vse tehnike CRM, pripoznane na podlagi veljavnega računovodskega okvira, neodvisno od tega, ali so te tehnike pripoznane v skladu s CRR, ki med drugim vključujejo vse vrste zavarovanja s premoženjem, finančna poroštva in kreditne izvedene finančne instrumente, ki se uporabljajo za vse zavarovane izpostavljenosti, ne glede na to, ali se za izračun zneska tveganju prilagojenih izpostavljenosti (RWEA) uporablja standardizirani pristop ali pristop IRB. Institucije za pojasnitev kakršnih koli pomembnih sprememb v obdobju razkritja in ključnih dejavnikov za takšne spremembe predlogo dopolnijo s pisnim komentarjem.</w:t>
      </w:r>
    </w:p>
    <w:p w14:paraId="1EBDEE5B" w14:textId="77777777" w:rsidR="001A67EA" w:rsidRPr="002F14E4" w:rsidRDefault="001A67EA" w:rsidP="001A67EA">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A67EA" w:rsidRPr="002F14E4" w14:paraId="3A73F47C"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76DE748" w14:textId="77777777" w:rsidR="001A67EA" w:rsidRPr="002F14E4" w:rsidRDefault="001A67EA" w:rsidP="004F3087">
            <w:pPr>
              <w:autoSpaceDE w:val="0"/>
              <w:autoSpaceDN w:val="0"/>
              <w:adjustRightInd w:val="0"/>
              <w:spacing w:after="120"/>
              <w:rPr>
                <w:rFonts w:ascii="Times New Roman" w:hAnsi="Times New Roman" w:cs="Times New Roman"/>
                <w:b/>
                <w:sz w:val="24"/>
              </w:rPr>
            </w:pPr>
            <w:r w:rsidRPr="002F14E4">
              <w:rPr>
                <w:rFonts w:ascii="Times New Roman" w:hAnsi="Times New Roman"/>
                <w:b/>
                <w:sz w:val="24"/>
              </w:rPr>
              <w:t>Stolpec</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E4EA746" w14:textId="77777777" w:rsidR="001A67EA" w:rsidRPr="002F14E4" w:rsidRDefault="001A67EA" w:rsidP="004F3087">
            <w:pPr>
              <w:spacing w:after="120"/>
              <w:rPr>
                <w:rFonts w:ascii="Times New Roman" w:hAnsi="Times New Roman" w:cs="Times New Roman"/>
                <w:b/>
                <w:sz w:val="24"/>
              </w:rPr>
            </w:pPr>
            <w:r w:rsidRPr="002F14E4">
              <w:rPr>
                <w:rFonts w:ascii="Times New Roman" w:hAnsi="Times New Roman"/>
                <w:b/>
                <w:sz w:val="24"/>
              </w:rPr>
              <w:t>Pravna podlaga in navodila</w:t>
            </w:r>
          </w:p>
        </w:tc>
      </w:tr>
      <w:tr w:rsidR="001A67EA" w:rsidRPr="002F14E4" w14:paraId="583C89A3"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0D76FA8A" w14:textId="77777777" w:rsidR="001A67EA" w:rsidRPr="002F14E4"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28762A2B" w14:textId="77777777" w:rsidR="001A67EA" w:rsidRPr="002F14E4" w:rsidRDefault="001A67EA" w:rsidP="004F3087">
            <w:pPr>
              <w:spacing w:after="120"/>
              <w:rPr>
                <w:rFonts w:ascii="Times New Roman" w:hAnsi="Times New Roman" w:cs="Times New Roman"/>
                <w:b/>
                <w:sz w:val="24"/>
              </w:rPr>
            </w:pPr>
            <w:r w:rsidRPr="002F14E4">
              <w:rPr>
                <w:rFonts w:ascii="Times New Roman" w:hAnsi="Times New Roman"/>
                <w:b/>
                <w:sz w:val="24"/>
              </w:rPr>
              <w:t>Pojasnilo</w:t>
            </w:r>
          </w:p>
        </w:tc>
      </w:tr>
      <w:tr w:rsidR="001A67EA" w:rsidRPr="002F14E4" w14:paraId="35223F05" w14:textId="77777777" w:rsidTr="004F3087">
        <w:trPr>
          <w:trHeight w:val="316"/>
        </w:trPr>
        <w:tc>
          <w:tcPr>
            <w:tcW w:w="1413" w:type="dxa"/>
          </w:tcPr>
          <w:p w14:paraId="25792023" w14:textId="77777777" w:rsidR="001A67EA" w:rsidRPr="002F14E4" w:rsidRDefault="001A67EA" w:rsidP="004F3087">
            <w:pPr>
              <w:autoSpaceDE w:val="0"/>
              <w:autoSpaceDN w:val="0"/>
              <w:adjustRightInd w:val="0"/>
              <w:spacing w:after="120"/>
              <w:jc w:val="both"/>
              <w:rPr>
                <w:rFonts w:ascii="Times New Roman" w:eastAsia="Times New Roman" w:hAnsi="Times New Roman" w:cs="Times New Roman"/>
                <w:sz w:val="24"/>
              </w:rPr>
            </w:pPr>
            <w:r w:rsidRPr="002F14E4">
              <w:rPr>
                <w:rFonts w:ascii="Times New Roman" w:hAnsi="Times New Roman"/>
                <w:sz w:val="24"/>
              </w:rPr>
              <w:t>a</w:t>
            </w:r>
          </w:p>
        </w:tc>
        <w:tc>
          <w:tcPr>
            <w:tcW w:w="7654" w:type="dxa"/>
          </w:tcPr>
          <w:p w14:paraId="32D2A419" w14:textId="77777777" w:rsidR="001A67EA" w:rsidRPr="002F14E4" w:rsidRDefault="001A67EA" w:rsidP="004F3087">
            <w:pPr>
              <w:autoSpaceDE w:val="0"/>
              <w:autoSpaceDN w:val="0"/>
              <w:adjustRightInd w:val="0"/>
              <w:spacing w:after="120"/>
              <w:jc w:val="both"/>
              <w:rPr>
                <w:rFonts w:ascii="Times New Roman" w:eastAsia="Times New Roman" w:hAnsi="Times New Roman" w:cs="Times New Roman"/>
                <w:b/>
                <w:iCs/>
                <w:sz w:val="24"/>
              </w:rPr>
            </w:pPr>
            <w:r w:rsidRPr="002F14E4">
              <w:rPr>
                <w:rFonts w:ascii="Times New Roman" w:hAnsi="Times New Roman"/>
                <w:b/>
                <w:sz w:val="24"/>
              </w:rPr>
              <w:t xml:space="preserve">Nezavarovana knjigovodska vrednost: </w:t>
            </w:r>
          </w:p>
          <w:p w14:paraId="55EE3490" w14:textId="77777777" w:rsidR="001A67EA" w:rsidRPr="002F14E4" w:rsidRDefault="001A67EA" w:rsidP="004F3087">
            <w:pPr>
              <w:autoSpaceDE w:val="0"/>
              <w:autoSpaceDN w:val="0"/>
              <w:adjustRightInd w:val="0"/>
              <w:spacing w:after="120"/>
              <w:jc w:val="both"/>
              <w:rPr>
                <w:rFonts w:ascii="Times New Roman" w:eastAsia="Times New Roman" w:hAnsi="Times New Roman" w:cs="Times New Roman"/>
                <w:iCs/>
                <w:sz w:val="24"/>
              </w:rPr>
            </w:pPr>
            <w:r w:rsidRPr="002F14E4">
              <w:rPr>
                <w:rFonts w:ascii="Times New Roman" w:hAnsi="Times New Roman"/>
                <w:sz w:val="24"/>
              </w:rPr>
              <w:t xml:space="preserve">Knjigovodska vrednost izpostavljenosti (brez popravkov/oslabitev), ki nimajo koristi od tehnike CRM, ne glede na to, ali je ta tehnika pripoznana v skladu s CRR. </w:t>
            </w:r>
          </w:p>
          <w:p w14:paraId="2E635E37" w14:textId="77777777" w:rsidR="001A67EA" w:rsidRPr="002F14E4" w:rsidRDefault="001A67EA" w:rsidP="004F3087">
            <w:pPr>
              <w:autoSpaceDE w:val="0"/>
              <w:autoSpaceDN w:val="0"/>
              <w:adjustRightInd w:val="0"/>
              <w:spacing w:after="120"/>
              <w:jc w:val="both"/>
              <w:rPr>
                <w:rFonts w:ascii="Times New Roman" w:eastAsia="Times New Roman" w:hAnsi="Times New Roman" w:cs="Times New Roman"/>
                <w:sz w:val="24"/>
              </w:rPr>
            </w:pPr>
            <w:r w:rsidRPr="002F14E4">
              <w:rPr>
                <w:rFonts w:ascii="Times New Roman" w:hAnsi="Times New Roman"/>
                <w:sz w:val="24"/>
              </w:rPr>
              <w:lastRenderedPageBreak/>
              <w:t>To se zlasti nanaša na izpostavljenosti, za katere ni bilo zastavljeno zavarovanje s premoženjem ali prejeto finančno poroštvo. Nezavarovani del delno zavarovane ali delno zajamčene izpostavljenosti se ne vključi.</w:t>
            </w:r>
          </w:p>
        </w:tc>
      </w:tr>
      <w:tr w:rsidR="001A67EA" w:rsidRPr="002F14E4" w14:paraId="475E6E51" w14:textId="77777777" w:rsidTr="004F3087">
        <w:trPr>
          <w:trHeight w:val="316"/>
        </w:trPr>
        <w:tc>
          <w:tcPr>
            <w:tcW w:w="1413" w:type="dxa"/>
          </w:tcPr>
          <w:p w14:paraId="7DD870E3" w14:textId="77777777" w:rsidR="001A67EA" w:rsidRPr="002F14E4" w:rsidRDefault="001A67EA" w:rsidP="004F3087">
            <w:pPr>
              <w:autoSpaceDE w:val="0"/>
              <w:autoSpaceDN w:val="0"/>
              <w:adjustRightInd w:val="0"/>
              <w:spacing w:after="120"/>
              <w:jc w:val="both"/>
              <w:rPr>
                <w:rFonts w:ascii="Times New Roman" w:eastAsia="Times New Roman" w:hAnsi="Times New Roman" w:cs="Times New Roman"/>
                <w:sz w:val="24"/>
              </w:rPr>
            </w:pPr>
            <w:r w:rsidRPr="002F14E4">
              <w:rPr>
                <w:rFonts w:ascii="Times New Roman" w:hAnsi="Times New Roman"/>
                <w:sz w:val="24"/>
              </w:rPr>
              <w:lastRenderedPageBreak/>
              <w:t>b</w:t>
            </w:r>
          </w:p>
        </w:tc>
        <w:tc>
          <w:tcPr>
            <w:tcW w:w="7654" w:type="dxa"/>
          </w:tcPr>
          <w:p w14:paraId="736FBF01" w14:textId="77777777" w:rsidR="001A67EA" w:rsidRPr="002F14E4" w:rsidRDefault="001A67EA" w:rsidP="004F3087">
            <w:pPr>
              <w:autoSpaceDE w:val="0"/>
              <w:autoSpaceDN w:val="0"/>
              <w:adjustRightInd w:val="0"/>
              <w:spacing w:after="120"/>
              <w:jc w:val="both"/>
              <w:rPr>
                <w:rFonts w:ascii="Times New Roman" w:eastAsia="Times New Roman" w:hAnsi="Times New Roman" w:cs="Times New Roman"/>
                <w:b/>
                <w:iCs/>
                <w:sz w:val="24"/>
              </w:rPr>
            </w:pPr>
            <w:r w:rsidRPr="002F14E4">
              <w:rPr>
                <w:rFonts w:ascii="Times New Roman" w:hAnsi="Times New Roman"/>
                <w:b/>
                <w:sz w:val="24"/>
              </w:rPr>
              <w:t xml:space="preserve">Zavarovana knjigovodska vrednost: </w:t>
            </w:r>
          </w:p>
          <w:p w14:paraId="20FF8406" w14:textId="77777777" w:rsidR="001A67EA" w:rsidRPr="002F14E4" w:rsidRDefault="001A67EA" w:rsidP="004F3087">
            <w:pPr>
              <w:autoSpaceDE w:val="0"/>
              <w:autoSpaceDN w:val="0"/>
              <w:adjustRightInd w:val="0"/>
              <w:spacing w:after="120"/>
              <w:jc w:val="both"/>
              <w:rPr>
                <w:rFonts w:ascii="Times New Roman" w:eastAsia="Times New Roman" w:hAnsi="Times New Roman" w:cs="Times New Roman"/>
                <w:iCs/>
                <w:sz w:val="24"/>
              </w:rPr>
            </w:pPr>
            <w:r w:rsidRPr="002F14E4">
              <w:rPr>
                <w:rFonts w:ascii="Times New Roman" w:hAnsi="Times New Roman"/>
                <w:sz w:val="24"/>
              </w:rPr>
              <w:t>Knjigovodska vrednost izpostavljenosti, s katerimi je povezana vsaj ena tehnika CRM (zavarovanje s premoženjem, finančna poroštva, kreditni izvedeni finančni instrumenti).</w:t>
            </w:r>
          </w:p>
          <w:p w14:paraId="05789AFF" w14:textId="77777777" w:rsidR="001A67EA" w:rsidRPr="002F14E4" w:rsidRDefault="001A67EA" w:rsidP="004F3087">
            <w:pPr>
              <w:autoSpaceDE w:val="0"/>
              <w:autoSpaceDN w:val="0"/>
              <w:adjustRightInd w:val="0"/>
              <w:spacing w:after="120"/>
              <w:jc w:val="both"/>
              <w:rPr>
                <w:rFonts w:ascii="Times New Roman" w:eastAsia="Times New Roman" w:hAnsi="Times New Roman" w:cs="Times New Roman"/>
                <w:iCs/>
                <w:sz w:val="24"/>
              </w:rPr>
            </w:pPr>
            <w:r w:rsidRPr="002F14E4">
              <w:rPr>
                <w:rFonts w:ascii="Times New Roman" w:hAnsi="Times New Roman"/>
                <w:sz w:val="24"/>
              </w:rPr>
              <w:t>Če vrednost zavarovanja s premoženjem, finančnih poroštev in kreditnih izvedenih finančnih instrumentov, s katerimi je zavarovana izpostavljenost, presega knjigovodsko vrednost izpostavljenosti, se vključijo samo vrednosti do knjigovodske vrednosti te izpostavljenosti. Če knjigovodska vrednost izpostavljenosti presega vrednost zavarovanja s premoženjem, finančnih poroštev in kreditnih izvedenih finančnih instrumentov, s katerimi je zavarovana izpostavljenost, se vključi polna knjigovodska vrednost te izpostavljenosti.</w:t>
            </w:r>
          </w:p>
          <w:p w14:paraId="7EDEE0AE" w14:textId="77777777" w:rsidR="001A67EA" w:rsidRPr="002F14E4" w:rsidRDefault="001A67EA" w:rsidP="004F3087">
            <w:pPr>
              <w:autoSpaceDE w:val="0"/>
              <w:autoSpaceDN w:val="0"/>
              <w:adjustRightInd w:val="0"/>
              <w:spacing w:after="120"/>
              <w:jc w:val="both"/>
              <w:rPr>
                <w:rFonts w:ascii="Times New Roman" w:eastAsia="Times New Roman" w:hAnsi="Times New Roman" w:cs="Times New Roman"/>
                <w:sz w:val="24"/>
              </w:rPr>
            </w:pPr>
            <w:r w:rsidRPr="002F14E4">
              <w:rPr>
                <w:rFonts w:ascii="Times New Roman" w:hAnsi="Times New Roman"/>
                <w:sz w:val="24"/>
              </w:rPr>
              <w:t xml:space="preserve">Za namene upoštevanja stolpcev c, d in e se razporeditev knjigovodske vrednosti izpostavljenosti z več zavarovanji na različne tehnike CRM izvede po prednostnem vrstnem redu, pri čemer se začne s tehniko CRM, za katero se pričakuje, da bo v primeru neplačila unovčena prva, in v okviru omejitev knjigovodske vrednosti zavarovanih izpostavljenosti. Posamezni del izpostavljenosti je lahko vključen le v enega od stolpcev c, d ali e te predloge. </w:t>
            </w:r>
          </w:p>
        </w:tc>
      </w:tr>
      <w:tr w:rsidR="001A67EA" w:rsidRPr="002F14E4" w14:paraId="37B3496C" w14:textId="77777777" w:rsidTr="004F3087">
        <w:trPr>
          <w:trHeight w:val="316"/>
        </w:trPr>
        <w:tc>
          <w:tcPr>
            <w:tcW w:w="1413" w:type="dxa"/>
          </w:tcPr>
          <w:p w14:paraId="0CBB040D" w14:textId="77777777" w:rsidR="001A67EA" w:rsidRPr="002F14E4" w:rsidRDefault="001A67EA" w:rsidP="004F3087">
            <w:pPr>
              <w:autoSpaceDE w:val="0"/>
              <w:autoSpaceDN w:val="0"/>
              <w:adjustRightInd w:val="0"/>
              <w:spacing w:after="120"/>
              <w:jc w:val="both"/>
              <w:rPr>
                <w:rFonts w:ascii="Times New Roman" w:eastAsia="Times New Roman" w:hAnsi="Times New Roman" w:cs="Times New Roman"/>
                <w:sz w:val="24"/>
              </w:rPr>
            </w:pPr>
            <w:r w:rsidRPr="002F14E4">
              <w:rPr>
                <w:rFonts w:ascii="Times New Roman" w:hAnsi="Times New Roman"/>
                <w:sz w:val="24"/>
              </w:rPr>
              <w:t>c</w:t>
            </w:r>
          </w:p>
        </w:tc>
        <w:tc>
          <w:tcPr>
            <w:tcW w:w="7654" w:type="dxa"/>
          </w:tcPr>
          <w:p w14:paraId="7D972C67" w14:textId="77777777" w:rsidR="001A67EA" w:rsidRPr="002F14E4" w:rsidRDefault="001A67EA" w:rsidP="004F3087">
            <w:pPr>
              <w:autoSpaceDE w:val="0"/>
              <w:autoSpaceDN w:val="0"/>
              <w:adjustRightInd w:val="0"/>
              <w:spacing w:after="120"/>
              <w:jc w:val="both"/>
              <w:rPr>
                <w:rFonts w:ascii="Times New Roman" w:eastAsia="Times New Roman" w:hAnsi="Times New Roman" w:cs="Times New Roman"/>
                <w:b/>
                <w:iCs/>
                <w:sz w:val="24"/>
              </w:rPr>
            </w:pPr>
            <w:r w:rsidRPr="002F14E4">
              <w:rPr>
                <w:rFonts w:ascii="Times New Roman" w:hAnsi="Times New Roman"/>
                <w:b/>
                <w:sz w:val="24"/>
              </w:rPr>
              <w:t xml:space="preserve">Od tega zavarovano s premoženjem: </w:t>
            </w:r>
          </w:p>
          <w:p w14:paraId="2B8F68C6" w14:textId="77777777" w:rsidR="001A67EA" w:rsidRPr="002F14E4" w:rsidRDefault="001A67EA" w:rsidP="004F3087">
            <w:pPr>
              <w:autoSpaceDE w:val="0"/>
              <w:autoSpaceDN w:val="0"/>
              <w:adjustRightInd w:val="0"/>
              <w:spacing w:after="120"/>
              <w:jc w:val="both"/>
              <w:rPr>
                <w:rFonts w:ascii="Times New Roman" w:eastAsia="Times New Roman" w:hAnsi="Times New Roman" w:cs="Times New Roman"/>
                <w:iCs/>
                <w:sz w:val="24"/>
              </w:rPr>
            </w:pPr>
            <w:r w:rsidRPr="002F14E4">
              <w:rPr>
                <w:rFonts w:ascii="Times New Roman" w:hAnsi="Times New Roman"/>
                <w:sz w:val="24"/>
              </w:rPr>
              <w:t>To je podskupina stolpca b te predloge in predstavlja knjigovodsko vrednost izpostavljenosti (brez popravkov/oslabitev) ali delov izpostavljenosti, zavarovanih z zavarovanjem s premoženjem. Če je izpostavljenost zavarovana z zavarovanjem s premoženjem in drugimi tehnikami CRM, za katere se pričakuje, da se bodo v primeru neplačila unovčile prej, je knjigovodska vrednost izpostavljenosti, zavarovane z zavarovanjem s premoženjem, preostali del izpostavljenosti po upoštevanju delov izpostavljenosti, ki so že zavarovani z drugimi tehnikami za zmanjševanje tveganja, v višini do knjigovodske vrednosti izpostavljenosti.</w:t>
            </w:r>
          </w:p>
        </w:tc>
      </w:tr>
      <w:tr w:rsidR="001A67EA" w:rsidRPr="002F14E4" w14:paraId="50B32400" w14:textId="77777777" w:rsidTr="004F3087">
        <w:trPr>
          <w:trHeight w:val="316"/>
        </w:trPr>
        <w:tc>
          <w:tcPr>
            <w:tcW w:w="1413" w:type="dxa"/>
          </w:tcPr>
          <w:p w14:paraId="741497BC" w14:textId="77777777" w:rsidR="001A67EA" w:rsidRPr="002F14E4" w:rsidRDefault="001A67EA" w:rsidP="004F3087">
            <w:pPr>
              <w:autoSpaceDE w:val="0"/>
              <w:autoSpaceDN w:val="0"/>
              <w:adjustRightInd w:val="0"/>
              <w:spacing w:after="120"/>
              <w:jc w:val="both"/>
              <w:rPr>
                <w:rFonts w:ascii="Times New Roman" w:eastAsia="Times New Roman" w:hAnsi="Times New Roman" w:cs="Times New Roman"/>
                <w:sz w:val="24"/>
              </w:rPr>
            </w:pPr>
            <w:r w:rsidRPr="002F14E4">
              <w:rPr>
                <w:rFonts w:ascii="Times New Roman" w:hAnsi="Times New Roman"/>
                <w:sz w:val="24"/>
              </w:rPr>
              <w:t>d</w:t>
            </w:r>
          </w:p>
        </w:tc>
        <w:tc>
          <w:tcPr>
            <w:tcW w:w="7654" w:type="dxa"/>
          </w:tcPr>
          <w:p w14:paraId="550E0FE4" w14:textId="77777777" w:rsidR="001A67EA" w:rsidRPr="002F14E4" w:rsidRDefault="001A67EA" w:rsidP="004F3087">
            <w:pPr>
              <w:autoSpaceDE w:val="0"/>
              <w:autoSpaceDN w:val="0"/>
              <w:adjustRightInd w:val="0"/>
              <w:spacing w:after="120"/>
              <w:jc w:val="both"/>
              <w:rPr>
                <w:rFonts w:ascii="Times New Roman" w:eastAsia="Times New Roman" w:hAnsi="Times New Roman" w:cs="Times New Roman"/>
                <w:b/>
                <w:iCs/>
                <w:sz w:val="24"/>
              </w:rPr>
            </w:pPr>
            <w:r w:rsidRPr="002F14E4">
              <w:rPr>
                <w:rFonts w:ascii="Times New Roman" w:hAnsi="Times New Roman"/>
                <w:b/>
                <w:sz w:val="24"/>
              </w:rPr>
              <w:t xml:space="preserve">Od tega zavarovano s finančnimi poroštvi: </w:t>
            </w:r>
          </w:p>
          <w:p w14:paraId="17847CC4" w14:textId="77777777" w:rsidR="001A67EA" w:rsidRPr="002F14E4" w:rsidRDefault="001A67EA" w:rsidP="004F3087">
            <w:pPr>
              <w:autoSpaceDE w:val="0"/>
              <w:autoSpaceDN w:val="0"/>
              <w:adjustRightInd w:val="0"/>
              <w:spacing w:after="120"/>
              <w:jc w:val="both"/>
              <w:rPr>
                <w:rFonts w:ascii="Times New Roman" w:eastAsia="Times New Roman" w:hAnsi="Times New Roman" w:cs="Times New Roman"/>
                <w:iCs/>
                <w:sz w:val="24"/>
              </w:rPr>
            </w:pPr>
            <w:r w:rsidRPr="002F14E4">
              <w:rPr>
                <w:rFonts w:ascii="Times New Roman" w:hAnsi="Times New Roman"/>
                <w:sz w:val="24"/>
              </w:rPr>
              <w:t>To je podskupina stolpca b te predloge in predstavlja knjigovodsko vrednost izpostavljenosti (brez popravkov/oslabitev) ali delov izpostavljenosti, zavarovanih s poroštvi. Če je izpostavljenost zavarovana s poroštvom in drugimi tehnikami CRM, za katere se pričakuje, da se bodo v primeru neplačila unovčile prej, je knjigovodska vrednost izpostavljenosti, zavarovane s poroštvom, preostali del izpostavljenosti po upoštevanju delov izpostavljenosti, ki so že zavarovani z drugimi tehnikami za zmanjševanje tveganja, v višini do knjigovodske vrednosti izpostavljenosti.</w:t>
            </w:r>
          </w:p>
        </w:tc>
      </w:tr>
      <w:tr w:rsidR="001A67EA" w:rsidRPr="002F14E4" w14:paraId="674417F3" w14:textId="77777777" w:rsidTr="004F3087">
        <w:trPr>
          <w:trHeight w:val="316"/>
        </w:trPr>
        <w:tc>
          <w:tcPr>
            <w:tcW w:w="1413" w:type="dxa"/>
          </w:tcPr>
          <w:p w14:paraId="0378E1B4" w14:textId="77777777" w:rsidR="001A67EA" w:rsidRPr="002F14E4" w:rsidRDefault="001A67EA" w:rsidP="004F3087">
            <w:pPr>
              <w:autoSpaceDE w:val="0"/>
              <w:autoSpaceDN w:val="0"/>
              <w:adjustRightInd w:val="0"/>
              <w:spacing w:after="120"/>
              <w:jc w:val="both"/>
              <w:rPr>
                <w:rFonts w:ascii="Times New Roman" w:eastAsia="Times New Roman" w:hAnsi="Times New Roman" w:cs="Times New Roman"/>
                <w:sz w:val="24"/>
              </w:rPr>
            </w:pPr>
            <w:r w:rsidRPr="002F14E4">
              <w:rPr>
                <w:rFonts w:ascii="Times New Roman" w:hAnsi="Times New Roman"/>
                <w:sz w:val="24"/>
              </w:rPr>
              <w:t>e</w:t>
            </w:r>
          </w:p>
        </w:tc>
        <w:tc>
          <w:tcPr>
            <w:tcW w:w="7654" w:type="dxa"/>
          </w:tcPr>
          <w:p w14:paraId="4F7777BA" w14:textId="77777777" w:rsidR="001A67EA" w:rsidRPr="002F14E4" w:rsidRDefault="001A67EA" w:rsidP="004F3087">
            <w:pPr>
              <w:autoSpaceDE w:val="0"/>
              <w:autoSpaceDN w:val="0"/>
              <w:adjustRightInd w:val="0"/>
              <w:spacing w:after="120"/>
              <w:jc w:val="both"/>
              <w:rPr>
                <w:rFonts w:ascii="Times New Roman" w:eastAsia="Times New Roman" w:hAnsi="Times New Roman" w:cs="Times New Roman"/>
                <w:b/>
                <w:iCs/>
                <w:sz w:val="24"/>
              </w:rPr>
            </w:pPr>
            <w:r w:rsidRPr="002F14E4">
              <w:rPr>
                <w:rFonts w:ascii="Times New Roman" w:hAnsi="Times New Roman"/>
                <w:b/>
                <w:sz w:val="24"/>
              </w:rPr>
              <w:t xml:space="preserve">Od tega zavarovano s kreditnimi izvedenimi finančnimi instrumenti: </w:t>
            </w:r>
          </w:p>
          <w:p w14:paraId="35390365" w14:textId="77777777" w:rsidR="001A67EA" w:rsidRPr="002F14E4" w:rsidRDefault="001A67EA" w:rsidP="004F3087">
            <w:pPr>
              <w:autoSpaceDE w:val="0"/>
              <w:autoSpaceDN w:val="0"/>
              <w:adjustRightInd w:val="0"/>
              <w:spacing w:after="120"/>
              <w:jc w:val="both"/>
              <w:rPr>
                <w:rFonts w:ascii="Times New Roman" w:eastAsia="Times New Roman" w:hAnsi="Times New Roman" w:cs="Times New Roman"/>
                <w:iCs/>
                <w:sz w:val="24"/>
              </w:rPr>
            </w:pPr>
            <w:r w:rsidRPr="002F14E4">
              <w:rPr>
                <w:rFonts w:ascii="Times New Roman" w:hAnsi="Times New Roman"/>
                <w:sz w:val="24"/>
              </w:rPr>
              <w:t xml:space="preserve">To je podskupina stolpca d (finančna poroštva) te predloge in predstavlja knjigovodsko vrednost izpostavljenosti (brez popravkov/oslabitev) ali delov izpostavljenosti, zavarovanih s kreditnimi izvedenimi finančnimi instrumenti. Če je izpostavljenost zavarovana s kreditnimi izvedenimi finančnimi instrumenti in drugimi tehnikami CRM, za katere se pričakuje, da se bodo v </w:t>
            </w:r>
            <w:r w:rsidRPr="002F14E4">
              <w:rPr>
                <w:rFonts w:ascii="Times New Roman" w:hAnsi="Times New Roman"/>
                <w:sz w:val="24"/>
              </w:rPr>
              <w:lastRenderedPageBreak/>
              <w:t xml:space="preserve">primeru neplačila unovčile prej, je knjigovodska vrednost izpostavljenosti, zavarovane s kreditnimi izvedenimi finančnimi instrumenti, preostali del izpostavljenosti po upoštevanju delov izpostavljenosti, ki so že zavarovani z drugimi tehnikami za zmanjševanje tveganja, v višini do knjigovodske vrednosti izpostavljenosti. </w:t>
            </w:r>
          </w:p>
        </w:tc>
      </w:tr>
    </w:tbl>
    <w:p w14:paraId="3A57B273" w14:textId="77777777" w:rsidR="001A67EA" w:rsidRPr="002F14E4" w:rsidRDefault="001A67EA" w:rsidP="001A67EA">
      <w:pPr>
        <w:spacing w:after="120"/>
        <w:rPr>
          <w:rFonts w:ascii="Times New Roman" w:hAnsi="Times New Roman" w:cs="Times New Roman"/>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1A67EA" w:rsidRPr="002F14E4" w14:paraId="4ED59B80" w14:textId="77777777" w:rsidTr="004F3087">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5165B234" w14:textId="77777777" w:rsidR="001A67EA" w:rsidRPr="002F14E4" w:rsidRDefault="001A67EA" w:rsidP="004F3087">
            <w:pPr>
              <w:autoSpaceDE w:val="0"/>
              <w:autoSpaceDN w:val="0"/>
              <w:adjustRightInd w:val="0"/>
              <w:spacing w:after="120"/>
              <w:rPr>
                <w:rFonts w:ascii="Times New Roman" w:hAnsi="Times New Roman" w:cs="Times New Roman"/>
                <w:b/>
                <w:sz w:val="24"/>
              </w:rPr>
            </w:pPr>
            <w:r w:rsidRPr="002F14E4">
              <w:rPr>
                <w:rFonts w:ascii="Times New Roman" w:hAnsi="Times New Roman"/>
                <w:b/>
                <w:sz w:val="24"/>
              </w:rPr>
              <w:t>Vrstica</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5725938" w14:textId="77777777" w:rsidR="001A67EA" w:rsidRPr="002F14E4" w:rsidRDefault="001A67EA" w:rsidP="004F3087">
            <w:pPr>
              <w:spacing w:after="120"/>
              <w:rPr>
                <w:rFonts w:ascii="Times New Roman" w:hAnsi="Times New Roman" w:cs="Times New Roman"/>
                <w:b/>
                <w:sz w:val="24"/>
              </w:rPr>
            </w:pPr>
            <w:r w:rsidRPr="002F14E4">
              <w:rPr>
                <w:rFonts w:ascii="Times New Roman" w:hAnsi="Times New Roman"/>
                <w:b/>
                <w:sz w:val="24"/>
              </w:rPr>
              <w:t>Pravna podlaga in navodila</w:t>
            </w:r>
          </w:p>
        </w:tc>
      </w:tr>
      <w:tr w:rsidR="001A67EA" w:rsidRPr="002F14E4" w14:paraId="2D299A07" w14:textId="77777777" w:rsidTr="004F3087">
        <w:trPr>
          <w:trHeight w:val="420"/>
        </w:trPr>
        <w:tc>
          <w:tcPr>
            <w:tcW w:w="1381" w:type="dxa"/>
            <w:vMerge/>
            <w:tcBorders>
              <w:left w:val="single" w:sz="4" w:space="0" w:color="auto"/>
              <w:right w:val="single" w:sz="4" w:space="0" w:color="auto"/>
            </w:tcBorders>
            <w:shd w:val="clear" w:color="auto" w:fill="D9D9D9" w:themeFill="background1" w:themeFillShade="D9"/>
          </w:tcPr>
          <w:p w14:paraId="73BB5563" w14:textId="77777777" w:rsidR="001A67EA" w:rsidRPr="002F14E4" w:rsidRDefault="001A67EA" w:rsidP="004F3087">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74C7B9A3" w14:textId="77777777" w:rsidR="001A67EA" w:rsidRPr="002F14E4" w:rsidRDefault="001A67EA" w:rsidP="004F3087">
            <w:pPr>
              <w:spacing w:after="120"/>
              <w:rPr>
                <w:rFonts w:ascii="Times New Roman" w:hAnsi="Times New Roman" w:cs="Times New Roman"/>
                <w:b/>
                <w:sz w:val="24"/>
              </w:rPr>
            </w:pPr>
            <w:r w:rsidRPr="002F14E4">
              <w:rPr>
                <w:rFonts w:ascii="Times New Roman" w:hAnsi="Times New Roman"/>
                <w:b/>
                <w:sz w:val="24"/>
              </w:rPr>
              <w:t>Pojasnilo</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8266"/>
      </w:tblGrid>
      <w:tr w:rsidR="001A67EA" w:rsidRPr="002F14E4" w14:paraId="67790BED" w14:textId="77777777" w:rsidTr="004F3087">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3006C31B" w14:textId="77777777" w:rsidR="001A67EA" w:rsidRPr="002F14E4" w:rsidRDefault="001A67EA" w:rsidP="004F3087">
            <w:pPr>
              <w:spacing w:after="120"/>
              <w:jc w:val="both"/>
              <w:rPr>
                <w:rFonts w:ascii="Times New Roman" w:hAnsi="Times New Roman" w:cs="Times New Roman"/>
                <w:sz w:val="24"/>
                <w:lang w:val="sl-SI"/>
              </w:rPr>
            </w:pPr>
            <w:r w:rsidRPr="002F14E4">
              <w:rPr>
                <w:rFonts w:ascii="Times New Roman" w:hAnsi="Times New Roman"/>
                <w:sz w:val="24"/>
                <w:lang w:val="sl-SI"/>
              </w:rPr>
              <w:t xml:space="preserve">1 </w:t>
            </w:r>
          </w:p>
        </w:tc>
        <w:tc>
          <w:tcPr>
            <w:tcW w:w="826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0E779E01" w14:textId="77777777" w:rsidR="001A67EA" w:rsidRPr="002F14E4" w:rsidRDefault="001A67EA" w:rsidP="004F3087">
            <w:pPr>
              <w:spacing w:after="120"/>
              <w:jc w:val="both"/>
              <w:rPr>
                <w:rFonts w:ascii="Times New Roman" w:hAnsi="Times New Roman" w:cs="Times New Roman"/>
                <w:b/>
                <w:sz w:val="24"/>
                <w:u w:val="single"/>
                <w:lang w:val="sl-SI"/>
              </w:rPr>
            </w:pPr>
            <w:r w:rsidRPr="002F14E4">
              <w:rPr>
                <w:rFonts w:ascii="Times New Roman" w:hAnsi="Times New Roman"/>
                <w:b/>
                <w:sz w:val="24"/>
                <w:u w:val="single"/>
                <w:lang w:val="sl-SI"/>
              </w:rPr>
              <w:t>Krediti in druga finančna sredstva</w:t>
            </w:r>
          </w:p>
          <w:p w14:paraId="1DF552E0" w14:textId="77777777" w:rsidR="001A67EA" w:rsidRPr="002F14E4" w:rsidRDefault="001A67EA" w:rsidP="004F3087">
            <w:pPr>
              <w:spacing w:after="120"/>
              <w:jc w:val="both"/>
              <w:rPr>
                <w:rFonts w:ascii="Times New Roman" w:hAnsi="Times New Roman" w:cs="Times New Roman"/>
                <w:sz w:val="24"/>
                <w:lang w:val="sl-SI"/>
              </w:rPr>
            </w:pPr>
            <w:r w:rsidRPr="002F14E4">
              <w:rPr>
                <w:rFonts w:ascii="Times New Roman" w:hAnsi="Times New Roman"/>
                <w:sz w:val="24"/>
                <w:lang w:val="sl-SI"/>
              </w:rPr>
              <w:t>„Krediti in druga finančna sredstva“ so dolžniški instrumenti, ki jih imajo institucije in niso vrednostni papirji; ta postavka vključuje „kredite“ (posojila) v skladu z Uredbo (EU) št. 1071/2013 (uredba ECB o postavkah bilance stanja)</w:t>
            </w:r>
            <w:r w:rsidRPr="002F14E4">
              <w:rPr>
                <w:rStyle w:val="FootnoteReference"/>
                <w:rFonts w:ascii="Times New Roman" w:hAnsi="Times New Roman" w:cs="Times New Roman"/>
                <w:sz w:val="24"/>
                <w:lang w:val="sl-SI"/>
              </w:rPr>
              <w:footnoteReference w:id="2"/>
            </w:r>
            <w:r w:rsidRPr="002F14E4">
              <w:rPr>
                <w:rFonts w:ascii="Times New Roman" w:hAnsi="Times New Roman"/>
                <w:sz w:val="24"/>
                <w:lang w:val="sl-SI"/>
              </w:rPr>
              <w:t xml:space="preserve"> ter finančna sredstva, ki se ne morejo razvrstiti kot „krediti“ v skladu z uredbo ECB o postavkah bilance stanja, kot je določeno v odstavku 32 dela 1 Priloge V k Izvedbeni uredbi Komisije (EU) št. 680/2014</w:t>
            </w:r>
            <w:r w:rsidRPr="002F14E4">
              <w:rPr>
                <w:rStyle w:val="FootnoteReference"/>
                <w:rFonts w:ascii="Times New Roman" w:hAnsi="Times New Roman" w:cs="Times New Roman"/>
                <w:sz w:val="24"/>
                <w:lang w:val="sl-SI"/>
              </w:rPr>
              <w:footnoteReference w:id="3"/>
            </w:r>
            <w:r w:rsidRPr="002F14E4">
              <w:rPr>
                <w:rFonts w:ascii="Times New Roman" w:hAnsi="Times New Roman"/>
                <w:sz w:val="24"/>
                <w:lang w:val="sl-SI"/>
              </w:rPr>
              <w:t>.</w:t>
            </w:r>
          </w:p>
        </w:tc>
      </w:tr>
      <w:tr w:rsidR="001A67EA" w:rsidRPr="002F14E4" w14:paraId="04E2555D" w14:textId="77777777" w:rsidTr="004F3087">
        <w:trPr>
          <w:trHeight w:val="843"/>
        </w:trPr>
        <w:tc>
          <w:tcPr>
            <w:tcW w:w="1363" w:type="dxa"/>
            <w:tcBorders>
              <w:top w:val="single" w:sz="4" w:space="0" w:color="auto"/>
              <w:left w:val="single" w:sz="4" w:space="0" w:color="auto"/>
              <w:right w:val="single" w:sz="4" w:space="0" w:color="auto"/>
            </w:tcBorders>
          </w:tcPr>
          <w:p w14:paraId="29CB77EA" w14:textId="77777777" w:rsidR="001A67EA" w:rsidRPr="002F14E4" w:rsidRDefault="001A67EA" w:rsidP="004F3087">
            <w:pPr>
              <w:spacing w:after="120"/>
              <w:jc w:val="both"/>
              <w:rPr>
                <w:rFonts w:ascii="Times New Roman" w:hAnsi="Times New Roman" w:cs="Times New Roman"/>
                <w:sz w:val="24"/>
                <w:lang w:val="sl-SI"/>
              </w:rPr>
            </w:pPr>
            <w:r w:rsidRPr="002F14E4">
              <w:rPr>
                <w:rFonts w:ascii="Times New Roman" w:hAnsi="Times New Roman"/>
                <w:sz w:val="24"/>
                <w:lang w:val="sl-SI"/>
              </w:rPr>
              <w:t>2</w:t>
            </w:r>
          </w:p>
        </w:tc>
        <w:tc>
          <w:tcPr>
            <w:tcW w:w="8266" w:type="dxa"/>
            <w:tcBorders>
              <w:top w:val="single" w:sz="4" w:space="0" w:color="auto"/>
              <w:left w:val="single" w:sz="4" w:space="0" w:color="auto"/>
              <w:right w:val="single" w:sz="4" w:space="0" w:color="auto"/>
            </w:tcBorders>
          </w:tcPr>
          <w:p w14:paraId="7DC4064C" w14:textId="77777777" w:rsidR="001A67EA" w:rsidRPr="002F14E4" w:rsidRDefault="001A67EA" w:rsidP="004F3087">
            <w:pPr>
              <w:spacing w:after="120"/>
              <w:jc w:val="both"/>
              <w:rPr>
                <w:rFonts w:ascii="Times New Roman" w:hAnsi="Times New Roman" w:cs="Times New Roman"/>
                <w:b/>
                <w:sz w:val="24"/>
                <w:u w:val="single"/>
                <w:lang w:val="sl-SI"/>
              </w:rPr>
            </w:pPr>
            <w:r w:rsidRPr="002F14E4">
              <w:rPr>
                <w:rFonts w:ascii="Times New Roman" w:hAnsi="Times New Roman"/>
                <w:b/>
                <w:sz w:val="24"/>
                <w:u w:val="single"/>
                <w:lang w:val="sl-SI"/>
              </w:rPr>
              <w:t>Dolžniški vrednostni papirji</w:t>
            </w:r>
          </w:p>
          <w:p w14:paraId="64329DF3" w14:textId="77777777" w:rsidR="001A67EA" w:rsidRPr="002F14E4" w:rsidRDefault="001A67EA" w:rsidP="004F3087">
            <w:pPr>
              <w:spacing w:after="120"/>
              <w:jc w:val="both"/>
              <w:rPr>
                <w:rFonts w:ascii="Times New Roman" w:hAnsi="Times New Roman" w:cs="Times New Roman"/>
                <w:sz w:val="24"/>
                <w:lang w:val="sl-SI"/>
              </w:rPr>
            </w:pPr>
            <w:r w:rsidRPr="002F14E4">
              <w:rPr>
                <w:rFonts w:ascii="Times New Roman" w:hAnsi="Times New Roman"/>
                <w:sz w:val="24"/>
                <w:lang w:val="sl-SI"/>
              </w:rPr>
              <w:t>Dolžniški vrednostni papirji so dolžniški instrumenti, ki jih imajo institucije in so izdani kot vrednostni papirji, ki niso krediti v skladu z uredbo ECB o postavkah bilance stanja, kot je določeno v odstavku 31 dela 1 Priloge V k Izvedbeni uredbi Komisije (EU) št. 680/2014.</w:t>
            </w:r>
          </w:p>
        </w:tc>
      </w:tr>
      <w:tr w:rsidR="001A67EA" w:rsidRPr="002F14E4" w14:paraId="05FBC0A7" w14:textId="77777777" w:rsidTr="004F3087">
        <w:trPr>
          <w:trHeight w:val="843"/>
        </w:trPr>
        <w:tc>
          <w:tcPr>
            <w:tcW w:w="1363" w:type="dxa"/>
            <w:tcBorders>
              <w:top w:val="single" w:sz="4" w:space="0" w:color="auto"/>
              <w:left w:val="single" w:sz="4" w:space="0" w:color="auto"/>
              <w:right w:val="single" w:sz="4" w:space="0" w:color="auto"/>
            </w:tcBorders>
          </w:tcPr>
          <w:p w14:paraId="79F17B57" w14:textId="77777777" w:rsidR="001A67EA" w:rsidRPr="002F14E4" w:rsidRDefault="001A67EA" w:rsidP="004F3087">
            <w:pPr>
              <w:spacing w:after="120"/>
              <w:jc w:val="both"/>
              <w:rPr>
                <w:rFonts w:ascii="Times New Roman" w:hAnsi="Times New Roman" w:cs="Times New Roman"/>
                <w:sz w:val="24"/>
                <w:lang w:val="sl-SI"/>
              </w:rPr>
            </w:pPr>
            <w:r w:rsidRPr="002F14E4">
              <w:rPr>
                <w:rFonts w:ascii="Times New Roman" w:hAnsi="Times New Roman"/>
                <w:sz w:val="24"/>
                <w:lang w:val="sl-SI"/>
              </w:rPr>
              <w:t>3</w:t>
            </w:r>
          </w:p>
        </w:tc>
        <w:tc>
          <w:tcPr>
            <w:tcW w:w="8266" w:type="dxa"/>
            <w:tcBorders>
              <w:top w:val="single" w:sz="4" w:space="0" w:color="auto"/>
              <w:left w:val="single" w:sz="4" w:space="0" w:color="auto"/>
              <w:right w:val="single" w:sz="4" w:space="0" w:color="auto"/>
            </w:tcBorders>
          </w:tcPr>
          <w:p w14:paraId="4015BF67" w14:textId="77777777" w:rsidR="001A67EA" w:rsidRPr="002F14E4" w:rsidRDefault="001A67EA" w:rsidP="004F3087">
            <w:pPr>
              <w:spacing w:after="120"/>
              <w:jc w:val="both"/>
              <w:rPr>
                <w:rFonts w:ascii="Times New Roman" w:hAnsi="Times New Roman" w:cs="Times New Roman"/>
                <w:b/>
                <w:sz w:val="24"/>
                <w:u w:val="single"/>
                <w:lang w:val="sl-SI"/>
              </w:rPr>
            </w:pPr>
            <w:r w:rsidRPr="002F14E4">
              <w:rPr>
                <w:rFonts w:ascii="Times New Roman" w:hAnsi="Times New Roman"/>
                <w:b/>
                <w:sz w:val="24"/>
                <w:u w:val="single"/>
                <w:lang w:val="sl-SI"/>
              </w:rPr>
              <w:t>Skupaj</w:t>
            </w:r>
          </w:p>
          <w:p w14:paraId="1D5CA391" w14:textId="77777777" w:rsidR="001A67EA" w:rsidRPr="002F14E4" w:rsidRDefault="001A67EA" w:rsidP="004F3087">
            <w:pPr>
              <w:spacing w:after="120"/>
              <w:jc w:val="both"/>
              <w:rPr>
                <w:rFonts w:ascii="Times New Roman" w:hAnsi="Times New Roman" w:cs="Times New Roman"/>
                <w:sz w:val="24"/>
                <w:lang w:val="sl-SI"/>
              </w:rPr>
            </w:pPr>
            <w:r w:rsidRPr="002F14E4">
              <w:rPr>
                <w:rFonts w:ascii="Times New Roman" w:hAnsi="Times New Roman"/>
                <w:sz w:val="24"/>
                <w:lang w:val="sl-SI"/>
              </w:rPr>
              <w:t>Vsota zneskov v vrsticah 1 in 2 te predloge.</w:t>
            </w:r>
          </w:p>
        </w:tc>
      </w:tr>
      <w:tr w:rsidR="001A67EA" w:rsidRPr="002F14E4" w14:paraId="232D94F6" w14:textId="77777777" w:rsidTr="004F3087">
        <w:trPr>
          <w:trHeight w:val="843"/>
        </w:trPr>
        <w:tc>
          <w:tcPr>
            <w:tcW w:w="1363" w:type="dxa"/>
            <w:tcBorders>
              <w:top w:val="single" w:sz="4" w:space="0" w:color="auto"/>
              <w:left w:val="single" w:sz="4" w:space="0" w:color="auto"/>
              <w:right w:val="single" w:sz="4" w:space="0" w:color="auto"/>
            </w:tcBorders>
          </w:tcPr>
          <w:p w14:paraId="261A8B61" w14:textId="77777777" w:rsidR="001A67EA" w:rsidRPr="002F14E4" w:rsidRDefault="001A67EA" w:rsidP="004F3087">
            <w:pPr>
              <w:spacing w:after="120"/>
              <w:jc w:val="both"/>
              <w:rPr>
                <w:rFonts w:ascii="Times New Roman" w:hAnsi="Times New Roman" w:cs="Times New Roman"/>
                <w:sz w:val="24"/>
                <w:lang w:val="sl-SI"/>
              </w:rPr>
            </w:pPr>
            <w:r w:rsidRPr="002F14E4">
              <w:rPr>
                <w:rFonts w:ascii="Times New Roman" w:hAnsi="Times New Roman"/>
                <w:sz w:val="24"/>
                <w:lang w:val="sl-SI"/>
              </w:rPr>
              <w:t>4</w:t>
            </w:r>
          </w:p>
        </w:tc>
        <w:tc>
          <w:tcPr>
            <w:tcW w:w="8266" w:type="dxa"/>
            <w:tcBorders>
              <w:top w:val="single" w:sz="4" w:space="0" w:color="auto"/>
              <w:left w:val="single" w:sz="4" w:space="0" w:color="auto"/>
              <w:right w:val="single" w:sz="4" w:space="0" w:color="auto"/>
            </w:tcBorders>
          </w:tcPr>
          <w:p w14:paraId="6361D15E" w14:textId="77777777" w:rsidR="001A67EA" w:rsidRPr="002F14E4" w:rsidRDefault="001A67EA" w:rsidP="004F3087">
            <w:pPr>
              <w:spacing w:after="120"/>
              <w:jc w:val="both"/>
              <w:rPr>
                <w:rFonts w:ascii="Times New Roman" w:hAnsi="Times New Roman" w:cs="Times New Roman"/>
                <w:b/>
                <w:sz w:val="24"/>
                <w:u w:val="single"/>
                <w:lang w:val="sl-SI"/>
              </w:rPr>
            </w:pPr>
            <w:r w:rsidRPr="002F14E4">
              <w:rPr>
                <w:rFonts w:ascii="Times New Roman" w:hAnsi="Times New Roman"/>
                <w:b/>
                <w:sz w:val="24"/>
                <w:u w:val="single"/>
                <w:lang w:val="sl-SI"/>
              </w:rPr>
              <w:t>Od tega nedonosne izpostavljenosti</w:t>
            </w:r>
          </w:p>
          <w:p w14:paraId="3AA9E7C7" w14:textId="77777777" w:rsidR="001A67EA" w:rsidRPr="002F14E4" w:rsidRDefault="001A67EA" w:rsidP="004F3087">
            <w:pPr>
              <w:spacing w:after="120"/>
              <w:jc w:val="both"/>
              <w:rPr>
                <w:rFonts w:ascii="Times New Roman" w:hAnsi="Times New Roman" w:cs="Times New Roman"/>
                <w:sz w:val="24"/>
                <w:lang w:val="sl-SI"/>
              </w:rPr>
            </w:pPr>
            <w:r w:rsidRPr="002F14E4">
              <w:rPr>
                <w:rFonts w:ascii="Times New Roman" w:hAnsi="Times New Roman"/>
                <w:sz w:val="24"/>
                <w:lang w:val="sl-SI"/>
              </w:rPr>
              <w:t>Nedonosne izpostavljenosti v skladu s členom 47a CRR.</w:t>
            </w:r>
          </w:p>
        </w:tc>
      </w:tr>
      <w:tr w:rsidR="001A67EA" w:rsidRPr="002F14E4" w14:paraId="1562F9C2" w14:textId="77777777" w:rsidTr="004F3087">
        <w:trPr>
          <w:trHeight w:val="843"/>
        </w:trPr>
        <w:tc>
          <w:tcPr>
            <w:tcW w:w="1363" w:type="dxa"/>
            <w:tcBorders>
              <w:top w:val="single" w:sz="4" w:space="0" w:color="auto"/>
              <w:left w:val="single" w:sz="4" w:space="0" w:color="auto"/>
              <w:right w:val="single" w:sz="4" w:space="0" w:color="auto"/>
            </w:tcBorders>
          </w:tcPr>
          <w:p w14:paraId="26B868C7" w14:textId="77777777" w:rsidR="001A67EA" w:rsidRPr="002F14E4" w:rsidRDefault="001A67EA" w:rsidP="004F3087">
            <w:pPr>
              <w:spacing w:after="120"/>
              <w:jc w:val="both"/>
              <w:rPr>
                <w:rFonts w:ascii="Times New Roman" w:hAnsi="Times New Roman" w:cs="Times New Roman"/>
                <w:sz w:val="24"/>
                <w:lang w:val="sl-SI"/>
              </w:rPr>
            </w:pPr>
            <w:r w:rsidRPr="002F14E4">
              <w:rPr>
                <w:rFonts w:ascii="Times New Roman" w:hAnsi="Times New Roman"/>
                <w:sz w:val="24"/>
                <w:lang w:val="sl-SI"/>
              </w:rPr>
              <w:t>EU-5</w:t>
            </w:r>
          </w:p>
        </w:tc>
        <w:tc>
          <w:tcPr>
            <w:tcW w:w="8266" w:type="dxa"/>
            <w:tcBorders>
              <w:top w:val="single" w:sz="4" w:space="0" w:color="auto"/>
              <w:left w:val="single" w:sz="4" w:space="0" w:color="auto"/>
              <w:right w:val="single" w:sz="4" w:space="0" w:color="auto"/>
            </w:tcBorders>
          </w:tcPr>
          <w:p w14:paraId="0B9851BE" w14:textId="77777777" w:rsidR="001A67EA" w:rsidRPr="002F14E4" w:rsidRDefault="001A67EA" w:rsidP="004F3087">
            <w:pPr>
              <w:spacing w:after="120"/>
              <w:jc w:val="both"/>
              <w:rPr>
                <w:rFonts w:ascii="Times New Roman" w:hAnsi="Times New Roman" w:cs="Times New Roman"/>
                <w:b/>
                <w:sz w:val="24"/>
                <w:u w:val="single"/>
                <w:lang w:val="sl-SI"/>
              </w:rPr>
            </w:pPr>
            <w:r w:rsidRPr="002F14E4">
              <w:rPr>
                <w:rFonts w:ascii="Times New Roman" w:hAnsi="Times New Roman"/>
                <w:b/>
                <w:sz w:val="24"/>
                <w:u w:val="single"/>
                <w:lang w:val="sl-SI"/>
              </w:rPr>
              <w:t>Od tega neplačane</w:t>
            </w:r>
          </w:p>
          <w:p w14:paraId="6D84A962" w14:textId="77777777" w:rsidR="001A67EA" w:rsidRPr="002F14E4" w:rsidRDefault="001A67EA" w:rsidP="004F3087">
            <w:pPr>
              <w:spacing w:after="120"/>
              <w:jc w:val="both"/>
              <w:rPr>
                <w:rFonts w:ascii="Times New Roman" w:hAnsi="Times New Roman" w:cs="Times New Roman"/>
                <w:sz w:val="24"/>
                <w:lang w:val="sl-SI"/>
              </w:rPr>
            </w:pPr>
            <w:r w:rsidRPr="002F14E4">
              <w:rPr>
                <w:rFonts w:ascii="Times New Roman" w:hAnsi="Times New Roman"/>
                <w:sz w:val="24"/>
                <w:lang w:val="sl-SI"/>
              </w:rPr>
              <w:t>Neplačane izpostavljenosti v skladu s členom 178 CRR.</w:t>
            </w:r>
          </w:p>
        </w:tc>
      </w:tr>
    </w:tbl>
    <w:p w14:paraId="11144359" w14:textId="77777777" w:rsidR="001A67EA" w:rsidRPr="002F14E4" w:rsidRDefault="001A67EA" w:rsidP="001A67EA">
      <w:pPr>
        <w:spacing w:after="120"/>
        <w:rPr>
          <w:rFonts w:ascii="Times New Roman" w:hAnsi="Times New Roman" w:cs="Times New Roman"/>
          <w:sz w:val="24"/>
          <w:highlight w:val="yellow"/>
        </w:rPr>
      </w:pPr>
    </w:p>
    <w:p w14:paraId="516865D4" w14:textId="77777777" w:rsidR="001A67EA" w:rsidRPr="002F14E4" w:rsidRDefault="001A67EA" w:rsidP="001A67EA">
      <w:pPr>
        <w:spacing w:after="120"/>
        <w:rPr>
          <w:rFonts w:ascii="Times New Roman" w:hAnsi="Times New Roman" w:cs="Times New Roman"/>
          <w:sz w:val="24"/>
          <w:highlight w:val="yellow"/>
        </w:rPr>
      </w:pPr>
    </w:p>
    <w:p w14:paraId="2D174E35" w14:textId="77777777" w:rsidR="00993FC2" w:rsidRPr="002F14E4" w:rsidRDefault="00993FC2" w:rsidP="001A67EA"/>
    <w:sectPr w:rsidR="00993FC2" w:rsidRPr="002F14E4">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6916F" w14:textId="77777777" w:rsidR="00FE2307" w:rsidRDefault="00FE2307" w:rsidP="001A67EA">
      <w:r>
        <w:separator/>
      </w:r>
    </w:p>
  </w:endnote>
  <w:endnote w:type="continuationSeparator" w:id="0">
    <w:p w14:paraId="6DA24895" w14:textId="77777777" w:rsidR="00FE2307" w:rsidRDefault="00FE2307" w:rsidP="001A6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856962"/>
      <w:docPartObj>
        <w:docPartGallery w:val="Page Numbers (Bottom of Page)"/>
        <w:docPartUnique/>
      </w:docPartObj>
    </w:sdtPr>
    <w:sdtEndPr>
      <w:rPr>
        <w:noProof/>
      </w:rPr>
    </w:sdtEndPr>
    <w:sdtContent>
      <w:p w14:paraId="4DF45D7D" w14:textId="77777777" w:rsidR="001A67EA" w:rsidRDefault="001A67EA">
        <w:pPr>
          <w:pStyle w:val="Footer"/>
          <w:jc w:val="right"/>
        </w:pPr>
        <w:r>
          <w:fldChar w:fldCharType="begin"/>
        </w:r>
        <w:r>
          <w:instrText xml:space="preserve"> PAGE   \* MERGEFORMAT </w:instrText>
        </w:r>
        <w:r>
          <w:fldChar w:fldCharType="separate"/>
        </w:r>
        <w:r>
          <w:t>4</w:t>
        </w:r>
        <w:r>
          <w:fldChar w:fldCharType="end"/>
        </w:r>
      </w:p>
    </w:sdtContent>
  </w:sdt>
  <w:p w14:paraId="32B367C4" w14:textId="77777777" w:rsidR="001A67EA" w:rsidRDefault="001A67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ED53A" w14:textId="77777777" w:rsidR="00FE2307" w:rsidRDefault="00FE2307" w:rsidP="001A67EA">
      <w:r>
        <w:separator/>
      </w:r>
    </w:p>
  </w:footnote>
  <w:footnote w:type="continuationSeparator" w:id="0">
    <w:p w14:paraId="308DFB3F" w14:textId="77777777" w:rsidR="00FE2307" w:rsidRDefault="00FE2307" w:rsidP="001A67EA">
      <w:r>
        <w:continuationSeparator/>
      </w:r>
    </w:p>
  </w:footnote>
  <w:footnote w:id="1">
    <w:p w14:paraId="46EBDC9A" w14:textId="0643DC4B" w:rsidR="001A67EA" w:rsidRPr="00222AAB" w:rsidRDefault="001A67EA" w:rsidP="001A67EA">
      <w:pPr>
        <w:pStyle w:val="FootnoteText"/>
        <w:rPr>
          <w:rFonts w:cstheme="minorHAnsi"/>
        </w:rPr>
      </w:pPr>
      <w:r>
        <w:rPr>
          <w:rStyle w:val="FootnoteReference"/>
          <w:rFonts w:cstheme="minorHAnsi"/>
        </w:rPr>
        <w:footnoteRef/>
      </w:r>
      <w:r>
        <w:t xml:space="preserve"> </w:t>
      </w:r>
      <w:r>
        <w:tab/>
        <w:t xml:space="preserve">Uredba (EU) št. 575/2013 Evropskega parlamenta in Sveta z dne 26. junija 2013 o bonitetnih zahtevah za kreditne institucije in o spremembi Uredbe (EU) št. 648/2012, kot je bila spremenjena z Uredbo (EU) 2024/1623 </w:t>
      </w:r>
      <w:r>
        <w:rPr>
          <w:color w:val="444444"/>
        </w:rPr>
        <w:t>(</w:t>
      </w:r>
      <w:hyperlink r:id="rId1" w:history="1">
        <w:r>
          <w:rPr>
            <w:rStyle w:val="Hyperlink"/>
            <w:color w:val="800080"/>
          </w:rPr>
          <w:t>UL L 176, 27.6.2013, str. 1</w:t>
        </w:r>
      </w:hyperlink>
      <w:r>
        <w:t>;</w:t>
      </w:r>
      <w:r>
        <w:rPr>
          <w:color w:val="800080"/>
          <w:u w:val="single"/>
        </w:rPr>
        <w:t xml:space="preserve"> </w:t>
      </w:r>
      <w:hyperlink r:id="rId2" w:history="1">
        <w:r>
          <w:rPr>
            <w:rStyle w:val="Hyperlink"/>
          </w:rPr>
          <w:t>Uredba - EU - 2024/1623 - SL - EUR-Lex (europa.eu)</w:t>
        </w:r>
      </w:hyperlink>
      <w:r>
        <w:rPr>
          <w:color w:val="444444"/>
        </w:rPr>
        <w:t>)</w:t>
      </w:r>
      <w:r>
        <w:t>.</w:t>
      </w:r>
    </w:p>
  </w:footnote>
  <w:footnote w:id="2">
    <w:p w14:paraId="617AD8CF" w14:textId="77777777" w:rsidR="001A67EA" w:rsidRPr="00222AAB" w:rsidRDefault="001A67EA" w:rsidP="001A67EA">
      <w:pPr>
        <w:pStyle w:val="FootnoteText"/>
        <w:rPr>
          <w:rFonts w:cstheme="minorHAnsi"/>
        </w:rPr>
      </w:pPr>
      <w:r>
        <w:rPr>
          <w:rStyle w:val="FootnoteReference"/>
          <w:rFonts w:cstheme="minorHAnsi"/>
        </w:rPr>
        <w:footnoteRef/>
      </w:r>
      <w:r>
        <w:t xml:space="preserve"> </w:t>
      </w:r>
      <w:r>
        <w:tab/>
      </w:r>
      <w:r>
        <w:t>UREDBA (EU) št. 1071/2013 EVROPSKE CENTRALNE BANKE z dne 24. septembra 2013 o bilanci stanja sektorja denarnih finančnih institucij (ECB/2013/33) (UL L 297, 7.11.2013, str. 1).</w:t>
      </w:r>
    </w:p>
  </w:footnote>
  <w:footnote w:id="3">
    <w:p w14:paraId="40DC675F" w14:textId="77777777" w:rsidR="001A67EA" w:rsidRPr="00222AAB" w:rsidRDefault="001A67EA" w:rsidP="001A67EA">
      <w:pPr>
        <w:pStyle w:val="FootnoteText"/>
        <w:rPr>
          <w:rFonts w:cstheme="minorHAnsi"/>
        </w:rPr>
      </w:pPr>
      <w:r>
        <w:rPr>
          <w:rStyle w:val="FootnoteReference"/>
          <w:rFonts w:cstheme="minorHAnsi"/>
        </w:rPr>
        <w:footnoteRef/>
      </w:r>
      <w:r>
        <w:t xml:space="preserve"> </w:t>
      </w:r>
      <w:r>
        <w:tab/>
      </w:r>
      <w:r>
        <w:t>IZVEDBENA UREDBA KOMISIJE (EU) št. 680/2014 z dne 16. aprila 2014 o določitvi izvedbenih tehničnih standardov v zvezi z nadzorniškim poročanjem institucij v skladu z Uredbo (EU) št. 575/2013 Evropskega parlamenta in Sveta (UL L 191, 28.6.2014,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4CD94" w14:textId="0D45C6BA" w:rsidR="00D03F87" w:rsidRDefault="00D03F87">
    <w:pPr>
      <w:pStyle w:val="Header"/>
    </w:pPr>
    <w:r>
      <w:rPr>
        <w:noProof/>
      </w:rPr>
      <mc:AlternateContent>
        <mc:Choice Requires="wps">
          <w:drawing>
            <wp:anchor distT="0" distB="0" distL="0" distR="0" simplePos="0" relativeHeight="251659264" behindDoc="0" locked="0" layoutInCell="1" allowOverlap="1" wp14:anchorId="48E57A27" wp14:editId="38EFA058">
              <wp:simplePos x="635" y="635"/>
              <wp:positionH relativeFrom="page">
                <wp:align>left</wp:align>
              </wp:positionH>
              <wp:positionV relativeFrom="page">
                <wp:align>top</wp:align>
              </wp:positionV>
              <wp:extent cx="1273175" cy="376555"/>
              <wp:effectExtent l="0" t="0" r="3175" b="4445"/>
              <wp:wrapNone/>
              <wp:docPr id="1511192801"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CF14E2E" w14:textId="6051178C" w:rsidR="00D03F87" w:rsidRPr="00D03F87" w:rsidRDefault="00D03F87" w:rsidP="00D03F87">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8E57A27"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4CF14E2E" w14:textId="6051178C"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A84A0" w14:textId="4D7564CB" w:rsidR="00D03F87" w:rsidRDefault="00D03F87">
    <w:pPr>
      <w:pStyle w:val="Header"/>
    </w:pPr>
    <w:r>
      <w:rPr>
        <w:noProof/>
      </w:rPr>
      <mc:AlternateContent>
        <mc:Choice Requires="wps">
          <w:drawing>
            <wp:anchor distT="0" distB="0" distL="0" distR="0" simplePos="0" relativeHeight="251660288" behindDoc="0" locked="0" layoutInCell="1" allowOverlap="1" wp14:anchorId="2BA8A8F2" wp14:editId="73F2E6A4">
              <wp:simplePos x="914400" y="447675"/>
              <wp:positionH relativeFrom="page">
                <wp:align>left</wp:align>
              </wp:positionH>
              <wp:positionV relativeFrom="page">
                <wp:align>top</wp:align>
              </wp:positionV>
              <wp:extent cx="1273175" cy="376555"/>
              <wp:effectExtent l="0" t="0" r="3175" b="4445"/>
              <wp:wrapNone/>
              <wp:docPr id="55196680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B33A51A" w14:textId="77519130" w:rsidR="00D03F87" w:rsidRPr="00D03F87" w:rsidRDefault="00D03F87" w:rsidP="00D03F87">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BA8A8F2"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2B33A51A" w14:textId="77519130"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F2360" w14:textId="228A2E9F" w:rsidR="00D03F87" w:rsidRDefault="00D03F87">
    <w:pPr>
      <w:pStyle w:val="Header"/>
    </w:pPr>
    <w:r>
      <w:rPr>
        <w:noProof/>
      </w:rPr>
      <mc:AlternateContent>
        <mc:Choice Requires="wps">
          <w:drawing>
            <wp:anchor distT="0" distB="0" distL="0" distR="0" simplePos="0" relativeHeight="251658240" behindDoc="0" locked="0" layoutInCell="1" allowOverlap="1" wp14:anchorId="2A2B5F7B" wp14:editId="256233AA">
              <wp:simplePos x="635" y="635"/>
              <wp:positionH relativeFrom="page">
                <wp:align>left</wp:align>
              </wp:positionH>
              <wp:positionV relativeFrom="page">
                <wp:align>top</wp:align>
              </wp:positionV>
              <wp:extent cx="1273175" cy="376555"/>
              <wp:effectExtent l="0" t="0" r="3175" b="4445"/>
              <wp:wrapNone/>
              <wp:docPr id="413512796"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95F4275" w14:textId="46855021" w:rsidR="00D03F87" w:rsidRPr="00D03F87" w:rsidRDefault="00D03F87" w:rsidP="00D03F87">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A2B5F7B"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295F4275" w14:textId="46855021"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82C49"/>
    <w:rsid w:val="001A67EA"/>
    <w:rsid w:val="002F14E4"/>
    <w:rsid w:val="00382C49"/>
    <w:rsid w:val="004E6337"/>
    <w:rsid w:val="00993FC2"/>
    <w:rsid w:val="00CA68B1"/>
    <w:rsid w:val="00D03F87"/>
    <w:rsid w:val="00FE23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50B00"/>
  <w15:chartTrackingRefBased/>
  <w15:docId w15:val="{10B9F566-ECEB-472F-BF93-6D8F7AA9F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67EA"/>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1A67EA"/>
    <w:rPr>
      <w:rFonts w:eastAsiaTheme="minorEastAsia"/>
      <w:sz w:val="20"/>
      <w:szCs w:val="20"/>
      <w:lang w:val="de-D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1A67EA"/>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1A67EA"/>
    <w:rPr>
      <w:rFonts w:eastAsiaTheme="minorEastAsia"/>
      <w:sz w:val="18"/>
      <w:szCs w:val="18"/>
      <w:lang w:val="sl-SI"/>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1A67EA"/>
    <w:rPr>
      <w:rFonts w:asciiTheme="minorHAnsi" w:hAnsiTheme="minorHAnsi"/>
      <w:sz w:val="22"/>
      <w:szCs w:val="18"/>
      <w:vertAlign w:val="superscript"/>
    </w:rPr>
  </w:style>
  <w:style w:type="character" w:styleId="Hyperlink">
    <w:name w:val="Hyperlink"/>
    <w:basedOn w:val="DefaultParagraphFont"/>
    <w:uiPriority w:val="99"/>
    <w:rsid w:val="001A67EA"/>
    <w:rPr>
      <w:color w:val="0563C1" w:themeColor="hyperlink"/>
      <w:u w:val="single"/>
    </w:rPr>
  </w:style>
  <w:style w:type="paragraph" w:customStyle="1" w:styleId="Annexetitre">
    <w:name w:val="Annexe titre"/>
    <w:basedOn w:val="Normal"/>
    <w:next w:val="Normal"/>
    <w:rsid w:val="001A67EA"/>
    <w:pPr>
      <w:spacing w:before="120" w:after="120"/>
      <w:jc w:val="center"/>
    </w:pPr>
    <w:rPr>
      <w:rFonts w:ascii="Times New Roman" w:eastAsia="Times New Roman" w:hAnsi="Times New Roman" w:cs="Times New Roman"/>
      <w:b/>
      <w:sz w:val="24"/>
      <w:u w:val="single"/>
    </w:rPr>
  </w:style>
  <w:style w:type="table" w:styleId="TableProfessional">
    <w:name w:val="Table Professional"/>
    <w:basedOn w:val="TableNormal"/>
    <w:uiPriority w:val="99"/>
    <w:semiHidden/>
    <w:unhideWhenUsed/>
    <w:rsid w:val="001A67EA"/>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1A67EA"/>
    <w:pPr>
      <w:tabs>
        <w:tab w:val="center" w:pos="4513"/>
        <w:tab w:val="right" w:pos="9026"/>
      </w:tabs>
    </w:pPr>
  </w:style>
  <w:style w:type="character" w:customStyle="1" w:styleId="HeaderChar">
    <w:name w:val="Header Char"/>
    <w:basedOn w:val="DefaultParagraphFont"/>
    <w:link w:val="Header"/>
    <w:uiPriority w:val="99"/>
    <w:rsid w:val="001A67EA"/>
    <w:rPr>
      <w:rFonts w:eastAsiaTheme="minorEastAsia"/>
      <w:szCs w:val="24"/>
    </w:rPr>
  </w:style>
  <w:style w:type="paragraph" w:styleId="Footer">
    <w:name w:val="footer"/>
    <w:basedOn w:val="Normal"/>
    <w:link w:val="FooterChar"/>
    <w:uiPriority w:val="99"/>
    <w:unhideWhenUsed/>
    <w:rsid w:val="001A67EA"/>
    <w:pPr>
      <w:tabs>
        <w:tab w:val="center" w:pos="4513"/>
        <w:tab w:val="right" w:pos="9026"/>
      </w:tabs>
    </w:pPr>
  </w:style>
  <w:style w:type="character" w:customStyle="1" w:styleId="FooterChar">
    <w:name w:val="Footer Char"/>
    <w:basedOn w:val="DefaultParagraphFont"/>
    <w:link w:val="Footer"/>
    <w:uiPriority w:val="99"/>
    <w:rsid w:val="001A67EA"/>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SL/TXT/?uri=OJ:L_202401623" TargetMode="External"/><Relationship Id="rId1" Type="http://schemas.openxmlformats.org/officeDocument/2006/relationships/hyperlink" Target="https://eur-lex.europa.eu/legal-content/S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24C1BC1-E800-4796-BC9B-53B690B2A411}"/>
</file>

<file path=customXml/itemProps2.xml><?xml version="1.0" encoding="utf-8"?>
<ds:datastoreItem xmlns:ds="http://schemas.openxmlformats.org/officeDocument/2006/customXml" ds:itemID="{5CE3962D-CE1F-4B72-AF38-D65217AC5B8F}"/>
</file>

<file path=customXml/itemProps3.xml><?xml version="1.0" encoding="utf-8"?>
<ds:datastoreItem xmlns:ds="http://schemas.openxmlformats.org/officeDocument/2006/customXml" ds:itemID="{DEFFF800-B68E-4D61-8B12-C62B37F54C0E}"/>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1275</Words>
  <Characters>8113</Characters>
  <Application>Microsoft Office Word</Application>
  <DocSecurity>0</DocSecurity>
  <Lines>197</Lines>
  <Paragraphs>80</Paragraphs>
  <ScaleCrop>false</ScaleCrop>
  <Company>European Banking Authority</Company>
  <LinksUpToDate>false</LinksUpToDate>
  <CharactersWithSpaces>9308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VOLAVSEK Andrej (DGT)</cp:lastModifiedBy>
  <cp:revision>5</cp:revision>
  <dcterms:created xsi:type="dcterms:W3CDTF">2021-03-11T13:17:00Z</dcterms:created>
  <dcterms:modified xsi:type="dcterms:W3CDTF">2024-10-17T09:29:00Z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18a5b45c,5a12f8e1,20e65855</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2024-09-26T15:08:54Z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70db11ff-dbab-49fe-8b5a-723b3ae89617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