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B2EC" w14:textId="77777777" w:rsidR="00C04D6C" w:rsidRPr="007F4CC8" w:rsidRDefault="00C04D6C" w:rsidP="00C04D6C">
      <w:pPr>
        <w:pStyle w:val="Annexetitre"/>
      </w:pPr>
      <w:r>
        <w:t xml:space="preserve">BILAG VI — Instrukser vedrørende offentliggørelse af oplysninger om anvendelsesområdet for de tilsynsmæssige rammer</w:t>
      </w:r>
    </w:p>
    <w:p w14:paraId="4DDCFE1F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320DC4CD" w14:textId="77777777" w:rsidR="00C04D6C" w:rsidRPr="007F4CC8" w:rsidRDefault="00C04D6C" w:rsidP="00C04D6C">
      <w:pPr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Skema EU LI1 – Forskelle mellem de regnskabsmæssige rammer og rammerne for tilsynsmæssig konsolidering og sammenstilling af regnskabskategorierne og lovmæssigt fastsatte risikokategorier.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Fleksibelt format.</w:t>
      </w:r>
    </w:p>
    <w:p w14:paraId="5543C8A2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2474D8BA" w14:textId="373BCCC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436, litra c), i forordning (EU) nr. 575/2013 ("CRR")</w:t>
      </w:r>
      <w:r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, ved at følge instrukserne i dette bilag til udfyldelse af skema EU LI1, som findes i bilag V til EBA's IT-løsninger.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0D9C5174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B244C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noProof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3FA5AAD9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ED7A73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F672A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200E05C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981295" w14:textId="77777777" w:rsidR="00C04D6C" w:rsidRPr="007F4CC8" w:rsidRDefault="00C04D6C" w:rsidP="00D819DE">
            <w:pPr>
              <w:spacing w:before="6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 til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DD078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Aktiver i alt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7036C79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Rækkestrukturen skal være den samme som rækkestrukturen i den balance, der anvendes i instituttets seneste tilgængelige regnskabsaflæggelse.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96558D7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"Regnskabsaflæggelse" henviser til de årlige individuelle eller konsoliderede årsregnskaber som defineret i artikel 4 og 24 i direktiv 2013/34/EU</w:t>
            </w:r>
            <w:r>
              <w:rPr>
                <w:rStyle w:val="FootnoteReference"/>
                <w:rFonts w:eastAsia="Times New Roman" w:cs="Times New Roman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såvel som (når det er relevant) til årsregnskaberne i betydningen internationale regnskabsstandarder som godkendt i EU ved forordning (EF) nr. 1606/2002</w:t>
            </w:r>
            <w:r>
              <w:rPr>
                <w:rStyle w:val="FootnoteReference"/>
                <w:rFonts w:eastAsia="Times New Roman" w:cs="Times New Roman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C04D6C" w:rsidRPr="007F4CC8" w14:paraId="37C63F49" w14:textId="77777777" w:rsidTr="00D819DE">
        <w:trPr>
          <w:trHeight w:val="81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F61D4" w14:textId="77777777" w:rsidR="00C04D6C" w:rsidRPr="007F4CC8" w:rsidRDefault="00C04D6C" w:rsidP="00D819DE">
            <w:pPr>
              <w:spacing w:before="6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 til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8DC01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Passiver i alt</w:t>
            </w:r>
          </w:p>
          <w:p w14:paraId="3FFCF1F9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Rækkestrukturen skal være den samme som rækkestrukturen i den balance, der anvendes i instituttets seneste tilgængelige regnskabsaflæggelse.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DBAE9A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"Regnskabsaflæggelse" henviser til de årlige individuelle eller konsoliderede årsregnskaber som defineret i artikel 4 og 24 i direktiv 2013/34/EU såvel som (når det er relevant) til årsregnskaberne i betydningen internationale regnskabsstandarder som godkendt i EU ved forordning (EF) nr. 1606/2002.</w:t>
            </w:r>
          </w:p>
        </w:tc>
      </w:tr>
    </w:tbl>
    <w:p w14:paraId="4B76983A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1FBAD891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7B22538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12F0F1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noProof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43350AAC" w14:textId="77777777" w:rsidTr="00D819DE">
        <w:trPr>
          <w:trHeight w:val="238"/>
        </w:trPr>
        <w:tc>
          <w:tcPr>
            <w:tcW w:w="1384" w:type="dxa"/>
            <w:tcBorders>
              <w:bottom w:val="nil"/>
            </w:tcBorders>
            <w:shd w:val="clear" w:color="auto" w:fill="D9D9D9" w:themeFill="background1" w:themeFillShade="D9"/>
          </w:tcPr>
          <w:p w14:paraId="284A9CC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Kolonnereference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D9D9D9" w:themeFill="background1" w:themeFillShade="D9"/>
          </w:tcPr>
          <w:p w14:paraId="516C4F8F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7AEEADD6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E74DA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shd w:val="clear" w:color="auto" w:fill="FFFFFF" w:themeFill="background1"/>
          </w:tcPr>
          <w:p w14:paraId="189A484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som indberettet i offentliggjorte regnskaber</w:t>
            </w:r>
          </w:p>
          <w:p w14:paraId="71D45C87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beløb, der indberettes på aktivsiden og passivsiden på balancen, fastsat efter konsolideringskravene i de gældende regnskabsregler, herunder regler baseret på direktiv 2013/34/EU og direktiv (EØF) 86/635</w:t>
            </w:r>
            <w:r>
              <w:rPr>
                <w:rStyle w:val="FootnoteReference"/>
                <w:rFonts w:eastAsia="Times New Roman"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 eller de internationale regnskabsstandarder som godkendt af EU.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80AF56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18FE2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shd w:val="clear" w:color="auto" w:fill="FFFFFF" w:themeFill="background1"/>
          </w:tcPr>
          <w:p w14:paraId="77E7A6A9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inden for rammerne for tilsynsmæssig konsolidering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CF19370" w14:textId="77777777" w:rsidR="00C04D6C" w:rsidRPr="007F4CC8" w:rsidRDefault="00C04D6C" w:rsidP="00D819DE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beløb, der indberettes på aktivsiden og passivsiden på balancen, fastsat efter kravene vedrørende tilsynsmæssig konsolidering i første del, afsnit II, afdeling 2 og 3, i CRR.</w:t>
            </w:r>
          </w:p>
          <w:p w14:paraId="2AB1F4D9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Hvis omfanget af den regnskabsmæssige konsolidering og den tilsynsmæssige konsolidering er nøjagtig det samme, kombineres kolonne a) og b) i dette skema.</w:t>
            </w:r>
          </w:p>
        </w:tc>
      </w:tr>
      <w:tr w:rsidR="00C04D6C" w:rsidRPr="007F4CC8" w14:paraId="55AFC8C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2775890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  <w:shd w:val="clear" w:color="auto" w:fill="FFFFFF" w:themeFill="background1"/>
          </w:tcPr>
          <w:p w14:paraId="63176B46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af poster omfattet af kreditrisikorammen</w:t>
            </w:r>
          </w:p>
          <w:p w14:paraId="147B3513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Regnskabsmæssige værdier i henhold til rammerne for tilsynsmæssig konsolidering af poster (undtagen ikkebalanceførte poster), for hvilke tredje del, afsnit II, kapitel 2 og 3, i CRR finder anvendelse.</w:t>
            </w:r>
          </w:p>
        </w:tc>
      </w:tr>
      <w:tr w:rsidR="00C04D6C" w:rsidRPr="007F4CC8" w14:paraId="30C9B06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3B77BC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  <w:shd w:val="clear" w:color="auto" w:fill="FFFFFF" w:themeFill="background1"/>
          </w:tcPr>
          <w:p w14:paraId="41152FB4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af poster omfattet af modpartskreditrisikorammen</w:t>
            </w:r>
          </w:p>
          <w:p w14:paraId="64D3EA2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Regnskabsmæssige værdier i henhold til rammerne for tilsynsmæssig konsolidering af poster (undtagen ikkebalanceførte poster), for hvilke tredje del, afsnit II, kapitel 6, i CRR finder anvendelse.</w:t>
            </w:r>
          </w:p>
        </w:tc>
      </w:tr>
      <w:tr w:rsidR="00C04D6C" w:rsidRPr="007F4CC8" w14:paraId="7E7B04C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480628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  <w:shd w:val="clear" w:color="auto" w:fill="FFFFFF" w:themeFill="background1"/>
          </w:tcPr>
          <w:p w14:paraId="0C501D4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af poster omfattet af securitiseringsrammen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880C10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Regnskabsmæssige værdier i henhold til rammerne for tilsynsmæssig konsolidering af poster (undtagen ikkebalanceførte poster) uden for handelsbeholdningen, for hvilke tredje del, afsnit II, kapitel 5, i CRR finder anvendelse.</w:t>
            </w:r>
          </w:p>
        </w:tc>
      </w:tr>
      <w:tr w:rsidR="00C04D6C" w:rsidRPr="007F4CC8" w14:paraId="2B965A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0727C3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  <w:shd w:val="clear" w:color="auto" w:fill="FFFFFF" w:themeFill="background1"/>
          </w:tcPr>
          <w:p w14:paraId="5313251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af poster omfattet af markedsrisikorammen</w:t>
            </w:r>
          </w:p>
          <w:p w14:paraId="2081B8AC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Regnskabsmæssige værdier i henhold til rammerne for tilsynsmæssig konsolidering af poster (undtagen ikkebalanceførte poster), for hvilke tredje del, afsnit IV, i CRR finder anvendelse.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Poster, der svarer til securitiseringspositioner i handelsbeholdningen — som kravene i tredje del, afsnit IV i CRR finder anvendelse på — skal medtages i denne kolonne.</w:t>
            </w:r>
          </w:p>
        </w:tc>
      </w:tr>
      <w:tr w:rsidR="00C04D6C" w:rsidRPr="007F4CC8" w14:paraId="4EA0353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21ACD4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  <w:shd w:val="clear" w:color="auto" w:fill="FFFFFF" w:themeFill="background1"/>
          </w:tcPr>
          <w:p w14:paraId="1942AC9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Regnskabsmæssige værdier af poster, der ikke er omfattet af kapitalgrundlagskrav eller omfattet af fradrag i kapitalgrundlag</w:t>
            </w:r>
          </w:p>
          <w:p w14:paraId="2DE2BC8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Regnskabsmæssige værdier i henhold til rammerne for tilsynsmæssig konsolidering af poster (undtagen ikkebalanceførte poster), der ikke er omfattet af kapitalgrundlagskrav i overensstemmelse med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Regnskabsmæssige værdier i henhold til rammerne for tilsynsmæssig konsolidering af poster (undtagen ikkebalanceførte poster), der er omfattet af fradrag i kapitalgrundlaget i overensstemmelse med anden del i CRR.</w:t>
            </w:r>
          </w:p>
          <w:p w14:paraId="6E671A99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Fratrukne poster kan f.eks. inkludere de poster, der er angivet i artikel 37, 38, 39 og 41 i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474491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Beløbene for aktiver skal være de faktiske beløb, der trækkes fra kapitalgrundlaget under hensyntagen til netting med passiver i henhold til (og under hensyntagen til tærskler for) fradrag, der foretages i overensstemmelse med de relevante artikler i anden del af CRR.</w:t>
            </w:r>
          </w:p>
          <w:p w14:paraId="7C247AE0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posterne i artikel 36, stk. 1, litra k), og artikel 48 i CRR risikovægtes med 1 250 % i stedet for at blive fratrukket, offentliggøres de ikke i kolonne g) i dette skema, men i de andre relevante kolonner i skema EU LI1.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Dette gælder også for andre poster, der risikovægtes med 1 250 % i overensstemmelse med kravene i CRR.</w:t>
            </w:r>
          </w:p>
          <w:p w14:paraId="1E8AD1D2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Beløbene for passiver skal være de passiver, der tages i betragtning ved fastsættelse af de aktiver, der skal fratrækkes kapitalgrundlaget i henhold til de relevante artikler i anden del af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Alle passiver, undtagen dem, der i) er relevante for anvendelsen af kravene i tredje del, afsnit II, kapitel 4, i CRR, eller ii) er relevante for anvendelsen af kravene i tredje del, afsnit II, kapitel 6, i CRR og i tredje del, afsnit IV, i CRR, skal endvidere offentliggøres i denne kolonne.</w:t>
            </w:r>
          </w:p>
        </w:tc>
      </w:tr>
      <w:tr w:rsidR="00C04D6C" w:rsidRPr="007F4CC8" w14:paraId="7179E48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32737B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alle</w:t>
            </w:r>
          </w:p>
        </w:tc>
        <w:tc>
          <w:tcPr>
            <w:tcW w:w="7655" w:type="dxa"/>
            <w:shd w:val="clear" w:color="auto" w:fill="FFFFFF" w:themeFill="background1"/>
          </w:tcPr>
          <w:p w14:paraId="4291E137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en enkelt post ifalder kapitalkrav i overensstemmelse med mere end én risikoramme, skal der offentliggøres værdier i alle kolonner, der svarer til de kapitalkrav, de vedrører.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Som en konsekvens heraf kan summen af beløbene i kolonne c) til g) i dette skema derfor være større end beløbet i kolonne b) i dette skema.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Institutterne skal angive kvalitative forklaringer for aktiver og passiver, der er omfattet af kapitalgrundlagskrav for mere end en af de risikorammer, der er opført i tredje del i CRR.</w:t>
            </w:r>
          </w:p>
        </w:tc>
      </w:tr>
    </w:tbl>
    <w:p w14:paraId="6C41F2CD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390C8CCC" w14:textId="77777777" w:rsidR="00C04D6C" w:rsidRPr="007F4CC8" w:rsidRDefault="00C04D6C" w:rsidP="00C04D6C">
      <w:pPr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Skema LI2 – Primære kilder til forskelle mellem de tilsynsmæssige eksponeringsbeløb og regnskabsmæssige værdier.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format.</w:t>
      </w:r>
      <w:r>
        <w:rPr>
          <w:sz w:val="24"/>
          <w:b/>
          <w:rFonts w:ascii="Times New Roman" w:hAnsi="Times New Roman"/>
        </w:rPr>
        <w:t xml:space="preserve"> </w:t>
      </w:r>
    </w:p>
    <w:p w14:paraId="31823E5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color w:val="000000" w:themeColor="text1"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436, stk. l, litra d), i CRR, ved at følge instrukserne i dette bilag til udfyldelse af skema EU LI2, som findes i bilag V til nærværende gennemførelsesforordning.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2E557FAA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F1780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351DFAD6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10F617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1B01B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6B5341A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A2CBB6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5" w:type="dxa"/>
            <w:shd w:val="clear" w:color="auto" w:fill="FFFFFF" w:themeFill="background1"/>
          </w:tcPr>
          <w:p w14:paraId="011E728E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 værdi af aktiver inden for rammerne for tilsynsmæssig konsolidering</w:t>
            </w:r>
          </w:p>
          <w:p w14:paraId="081D6909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Beløbene i kolonne b) til e) i dette skema skal være de samme som beløbene i kolonne c) til f) i skema EU LI1.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263E4AC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09AE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  <w:shd w:val="clear" w:color="auto" w:fill="FFFFFF" w:themeFill="background1"/>
          </w:tcPr>
          <w:p w14:paraId="326A8BD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Regnskabsmæssig værdi af passiver inden for rammerne for tilsynsmæssig konsolidering</w:t>
            </w:r>
          </w:p>
          <w:p w14:paraId="3C83C58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Beløbene i kolonne b) til e) i dette skema skal være de samme som beløbene i kolonne c) til f) i skema EU LI1.</w:t>
            </w:r>
          </w:p>
        </w:tc>
      </w:tr>
      <w:tr w:rsidR="00C04D6C" w:rsidRPr="007F4CC8" w14:paraId="2311BC4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EC8642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  <w:shd w:val="clear" w:color="auto" w:fill="FFFFFF" w:themeFill="background1"/>
          </w:tcPr>
          <w:p w14:paraId="28B60EA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Samlet nettobeløb inden for rammerne for tilsynsmæssig konsolidering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B5D974D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Beløbet efter balanceført netting mellem aktiver og passiver inden for rammerne for tilsynsmæssig konsolidering uanset de pågældende aktivers og passivers berettigelse i henhold til de specifikke nettingregler ved anvendelse af tredje del, afsnit II, kapitel 4 og 5, og af tredje del, afsnit IV, i CRR.</w:t>
            </w:r>
          </w:p>
          <w:p w14:paraId="0082555F" w14:textId="77777777" w:rsidR="00C04D6C" w:rsidRPr="007F4CC8" w:rsidRDefault="00C04D6C" w:rsidP="00D819DE">
            <w:pPr>
              <w:spacing w:before="60" w:after="120"/>
              <w:jc w:val="both"/>
              <w:rPr>
                <w:color w:val="A8D08D" w:themeColor="accent6" w:themeTint="99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Beløbet i denne række skal være lig med værdien i række 1 fratrukket værdien i række 2 i dette skema.</w:t>
            </w:r>
          </w:p>
        </w:tc>
      </w:tr>
      <w:tr w:rsidR="00C04D6C" w:rsidRPr="007F4CC8" w14:paraId="3CEA54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A71EF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  <w:shd w:val="clear" w:color="auto" w:fill="FFFFFF" w:themeFill="background1"/>
          </w:tcPr>
          <w:p w14:paraId="7FF54E31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Ikkebalanceførte beløb</w:t>
            </w:r>
          </w:p>
          <w:p w14:paraId="00C5BCD8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omfatter ikkebalanceførte oprindelige eksponeringer før anvendelse af en konverteringsfaktor, hvis relevant, fra det etablerede ikkebalanceførte regnskab, i henhold til rammerne for tilsynsmæssig konsolidering i kolonne a) til d) i dette skema.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215A6DC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B8AEE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  <w:shd w:val="clear" w:color="auto" w:fill="FFFFFF" w:themeFill="background1"/>
          </w:tcPr>
          <w:p w14:paraId="3C19E71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Forskelle i værdiansættelser</w:t>
            </w:r>
          </w:p>
          <w:p w14:paraId="48C473FE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Indvirkningen på den regnskabsmæssige værdi af værdijusteringer i overensstemmelse med anden del, afsnit I, kapitel 2, artikel 34, i CRR og med tredje del, afsnit I, kapitel 3, artikel 105, i CRR vedrørende eksponeringer i handelsbeholdningen og eksponeringer uden for handelsbeholdningen målt til dagsværdi i overensstemmelse med de gældende regnskabsregler.</w:t>
            </w:r>
          </w:p>
          <w:p w14:paraId="33A2A80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beløb skal stemme overens med beløbet i række 7 i skema EU CC1 samt med beløbet i række 12, kolonne f), i skema EU PV1.</w:t>
            </w:r>
          </w:p>
        </w:tc>
      </w:tr>
      <w:tr w:rsidR="00C04D6C" w:rsidRPr="007F4CC8" w14:paraId="2EDE1179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3AEF8E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  <w:shd w:val="clear" w:color="auto" w:fill="FFFFFF" w:themeFill="background1"/>
          </w:tcPr>
          <w:p w14:paraId="3A8E70A3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Forskelle pga. forskellige nettingregler ud over dem, der allerede er inkluderet i række 2 i dette skema</w:t>
            </w:r>
          </w:p>
          <w:p w14:paraId="0583DDBB" w14:textId="77777777" w:rsidR="00C04D6C" w:rsidRPr="007F4CC8" w:rsidRDefault="00C04D6C" w:rsidP="00D819DE">
            <w:pPr>
              <w:spacing w:before="60" w:after="12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post vedrører de balanceførte og ikkebalanceførte nettoeksponeringer efter anvendelse af de specifikke nettingregler i tredje del, afsnit II, kapitel 4 og 5, i CRR og tredje del, afsnit IV, i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Indvirkningen af anvendelsen af nettingreglerne kan være negativ (hvis flere eksponeringer skal nettes end brugen af balanceført netting i række 2 i dette skema) eller positiv (i tilfælde af at anvendelse af nettingregler i CRR medfører, at et lavere beløb nettes ud end balanceført netting i række 2 i dette skema).</w:t>
            </w:r>
          </w:p>
        </w:tc>
      </w:tr>
      <w:tr w:rsidR="00C04D6C" w:rsidRPr="007F4CC8" w14:paraId="44759EA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8510DD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  <w:shd w:val="clear" w:color="auto" w:fill="FFFFFF" w:themeFill="background1"/>
          </w:tcPr>
          <w:p w14:paraId="788C1A56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Forskelle pga. hensyntagen til bestemmelser</w:t>
            </w:r>
          </w:p>
          <w:p w14:paraId="31DB4868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Reintegration i værdien af eksponeringer for specifikke og generelle kreditrisikojusteringer (som fastlagt i Kommissionens delegerede forordning (EU) nr. 183/2014</w:t>
            </w:r>
            <w:r>
              <w:rPr>
                <w:rStyle w:val="FootnoteReference"/>
                <w:rFonts w:eastAsia="Times New Roman" w:cs="Times New Roman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), der er blevet fratrukket i overensstemmelse med de gældende regnskabsregler fra den regnskabsmæssige værdi af eksponeringer i overensstemmelse med tredje del, afsnit II, kapitel 3, i CRR til risikovægtningsformål.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Med hensyn til eksponeringer, der er risikovægtede i overensstemmelse med tredje del, afsnit II, kapitel 2, i CRR, gælder det, at når den regnskabsmæssige værdi i regnskabet i henhold til rammerne for tilsynsmæssig konsolidering er blevet reduceret af elementer, der kan betegnes som generelle kreditrisikojusteringer i henhold til den førnævnte delegerede forordning, skal disse elementer reintegreres i eksponeringsværdien.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A77124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F54B4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5" w:type="dxa"/>
            <w:shd w:val="clear" w:color="auto" w:fill="FFFFFF" w:themeFill="background1"/>
          </w:tcPr>
          <w:p w14:paraId="1F94DD70" w14:textId="77777777" w:rsidR="00C04D6C" w:rsidRPr="007F4CC8" w:rsidRDefault="00C04D6C" w:rsidP="00D819DE">
            <w:pPr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Forskelle pga. anvendelse af kreditrisikoreduktionsteknikker</w:t>
            </w:r>
            <w:r>
              <w:rPr>
                <w:b/>
                <w:i/>
                <w:sz w:val="24"/>
                <w:rFonts w:ascii="Times New Roman" w:hAnsi="Times New Roman"/>
              </w:rPr>
              <w:t xml:space="preserve"> </w:t>
            </w:r>
          </w:p>
          <w:p w14:paraId="2CFFDCD8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6EC8050F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Indvirkning på eksponeringsværdien i henhold til rammerne for tilsynsmæssig konsolidering som følge af anvendelse af kreditrisikoreduktionsteknikker som fastsat i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5ED1ED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505E59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5" w:type="dxa"/>
            <w:shd w:val="clear" w:color="auto" w:fill="FFFFFF" w:themeFill="background1"/>
          </w:tcPr>
          <w:p w14:paraId="1E44E476" w14:textId="77777777" w:rsidR="00C04D6C" w:rsidRPr="007F4CC8" w:rsidRDefault="00C04D6C" w:rsidP="00D819DE">
            <w:pPr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Forskelle pga. kreditkonverteringsfaktorer</w:t>
            </w:r>
          </w:p>
          <w:p w14:paraId="53FD5536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38BAEA5C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Indvirkning på eksponeringsværdien af ikkebalanceførte eksponeringer i henhold til rammerne for tilsynsmæssig konsolidering som følge af anvendelse af de relevante kreditrisikokonverteringsfaktorer i overensstemmelse med CRR.</w:t>
            </w:r>
          </w:p>
          <w:p w14:paraId="75BD9AEB" w14:textId="77777777" w:rsidR="00C04D6C" w:rsidRPr="007F4CC8" w:rsidRDefault="00C04D6C" w:rsidP="00D819DE">
            <w:pPr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Konverteringsfaktoren for ikkebalanceførte poster, der skal risikovægtes ved anvendelse af tredje del, afsnit II, i CRR, skal fastsættes i overensstemmelse med artikel 111, 166, 167 og 182 (som gælder for kreditrisiko) og artikel 246 i CRR (som gælder for securitiseringsrisiko).</w:t>
            </w:r>
          </w:p>
        </w:tc>
      </w:tr>
      <w:tr w:rsidR="00C04D6C" w:rsidRPr="007F4CC8" w14:paraId="72BAD6A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C5B09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  <w:shd w:val="clear" w:color="auto" w:fill="FFFFFF" w:themeFill="background1"/>
          </w:tcPr>
          <w:p w14:paraId="5F1391ED" w14:textId="77777777" w:rsidR="00C04D6C" w:rsidRPr="007F4CC8" w:rsidRDefault="00C04D6C" w:rsidP="00D819DE">
            <w:pPr>
              <w:spacing w:after="24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Forskelle pga. securitisering med risikooverførsel</w:t>
            </w:r>
          </w:p>
          <w:p w14:paraId="0CD216A1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Indvirkning på eksponeringsværdien af securitiserede eksponeringer som følge af anvendelse af securitiserede transaktioner til at overføre kreditrisiko til tredjeparter i overensstemmelse med CRR.</w:t>
            </w:r>
          </w:p>
        </w:tc>
      </w:tr>
      <w:tr w:rsidR="00C04D6C" w:rsidRPr="007F4CC8" w14:paraId="07DA820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CADA4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  <w:shd w:val="clear" w:color="auto" w:fill="FFFFFF" w:themeFill="background1"/>
          </w:tcPr>
          <w:p w14:paraId="7523D1FE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b/>
                <w:rFonts w:ascii="Times New Roman" w:hAnsi="Times New Roman"/>
              </w:rPr>
              <w:t xml:space="preserve">Andre forskelle</w:t>
            </w:r>
            <w:r>
              <w:rPr>
                <w:i/>
                <w:sz w:val="24"/>
                <w:rFonts w:ascii="Times New Roman" w:hAnsi="Times New Roman"/>
              </w:rPr>
              <w:t xml:space="preserve"> (hvis relevant)</w:t>
            </w:r>
          </w:p>
          <w:p w14:paraId="7A3BEA11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Andre meningsfyldte årsager til forskellene mellem de regnskabsmæssige værdier i regnskaberne i henhold til anvendelsens tilsynsmæssige rammer og de eksponeringsværdier, der overvejes i tilsynsøjemed.</w:t>
            </w:r>
          </w:p>
          <w:p w14:paraId="678F847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supplere de kvantitative offentliggørelser i denne række med kvalitative forklaringer om de væsentligste årsager til disse forskelle i tabel EU LIA.</w:t>
            </w:r>
          </w:p>
        </w:tc>
      </w:tr>
      <w:tr w:rsidR="00C04D6C" w:rsidRPr="007F4CC8" w14:paraId="2957570B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BC3A5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5" w:type="dxa"/>
            <w:shd w:val="clear" w:color="auto" w:fill="FFFFFF" w:themeFill="background1"/>
          </w:tcPr>
          <w:p w14:paraId="2416DA9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Eksponeringer overvejet i tilsynsøjemed</w:t>
            </w:r>
          </w:p>
          <w:p w14:paraId="1BCDD663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Aggregeret beløb, der betragtes som et udgangspunkt for beregning af risikovægtede eksponeringer efter anvendelse af kreditrisikoreduktionsteknikker ud over netting i tredje del, afsnit II, kapitel 4, i CRR, og efter anvendelse af nettingkrav i tredje del, afsnit II, kapitel 4 og 5, i CRR og tredje del, afsnit IV, i CRR for hver risikokategori.</w:t>
            </w:r>
          </w:p>
          <w:p w14:paraId="42A65886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Hvis standardmetoden anvendes, er dette værdien efter specifikke kreditrisikojusteringer, yderligere værdijusteringer i overensstemmelse med artikel 34 og 110 i CRR og andre reduktioner af kapitalgrundlaget i forbindelse med aktivposten.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For ikkebalanceførte poster, som er opført i bilag I til nærværende gennemførelsesforordning, skal eksponeringsværdien være den nominelle værdi efter reduktion af specifikke kreditrisikojusteringer, multipliceret med den relevante procentdel omhandlet i artikel 111, stk. 1, litra a) og d), i CRR.</w:t>
            </w:r>
          </w:p>
          <w:p w14:paraId="029EEE3E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Hvad angår IRB-metoden skal den offentliggjorte værdi være eksponeringsværdien som fastsat i artikel 166, 167 og 168 i CRR.</w:t>
            </w:r>
          </w:p>
          <w:p w14:paraId="262660AB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regnskabsmæssige værdier som indberettet i regnskaberne inden for rammerne for tilsynsmæssig konsolidering skal offentliggøres i de tilsvarende rækker 1 til 3 i dette skema, mens de ikkebalanceførte oprindelige eksponeringer skal offentliggøres i række 4 i dette skema.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Enhver specifik lovpligtig tilføjelse eller reduktion vedrørende disse beløb skal medtages i række 5 til 11 i dette skema for at forklare, hvordan disse beløb afstemmes med eksponeringsværdien i tilsynsøjemed som udgangspunkt for beregningen af risikovægtede eksponeringer i overensstemmelse med hver af de risikorammer, der er omhandlet i kolonne b) til e) i dette skema.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Dette betyder, at især for kreditrisiko vil de eksponeringsbeløb, der overvejes i tilsynsøjemed, og som skal offentliggøres i række 12 i dette skema, være forskellige fra de regnskabsmæssige værdier, der indberettes i regnskaberne inden for rammerne for tilsynsmæssig konsolidering, på grund af den tilsynsmæssige behandling af regnskabsmæssige hensættelser til beregningen af de risikovægtede eksponeringer.</w:t>
            </w:r>
          </w:p>
        </w:tc>
      </w:tr>
    </w:tbl>
    <w:p w14:paraId="16B3001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6C172395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19A19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EBCF1EE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3E5C9001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CCFAA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Kolonnereference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B9A787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6D075D12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0D456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2CBF30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 alt</w:t>
            </w:r>
          </w:p>
          <w:p w14:paraId="07AF5974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alt i kolonne a) i skema EU LI2 = beløb i kolonne b) i skema EU LI1 – beløb i kolonne g) i skema EU LI1.</w:t>
            </w:r>
          </w:p>
        </w:tc>
      </w:tr>
      <w:tr w:rsidR="00C04D6C" w:rsidRPr="007F4CC8" w14:paraId="56B847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A707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08A540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Opdelingen af kolonnerne i tilsynsmæssigt fastsatte risikokategorier b) til e) svarer til den opdeling, der er angivet i tredje del i CRR: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5D5071F3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ACAB2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F3017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Kreditrisikoramme</w:t>
            </w:r>
          </w:p>
          <w:p w14:paraId="0254C74A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i tredje del, afsnit II, i CRR.</w:t>
            </w:r>
          </w:p>
          <w:p w14:paraId="096E08B3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inden for kreditrisikorammerne svarer enten til den eksponeringsværdi, der anvendes i standardmetoden for kreditrisiko (se tredje del, afsnit II, kapitel 2, artikel 111, i CRR), eller til eksponeringerne ved misligholdelse (EAD) i IRB-metoden for kreditrisiko (se tredje del, afsnit II, kapitel 3, artikel 166, 167 og 168, i CRR).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2E656532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306D9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8B06A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Securitiseringsramme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7C4B0D7" w14:textId="77777777" w:rsidR="00C04D6C" w:rsidRPr="007F4CC8" w:rsidRDefault="00C04D6C" w:rsidP="00D819DE">
            <w:pPr>
              <w:spacing w:before="60" w:after="120"/>
              <w:jc w:val="both"/>
              <w:rPr>
                <w:color w:val="A8D08D" w:themeColor="accent6" w:themeTint="99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uden for handelsbeholdningen i tredje del, afsnit II, kapitel 5, i CRR.</w:t>
            </w:r>
          </w:p>
          <w:p w14:paraId="7FC11C3E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Securitiseringer bestemmes i overensstemmelse med tredje del, afsnit II, kapitel 5, artikel 246, i CRR.</w:t>
            </w:r>
          </w:p>
        </w:tc>
      </w:tr>
      <w:tr w:rsidR="00C04D6C" w:rsidRPr="007F4CC8" w14:paraId="6C769D68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7ED9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922C5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Modpartskreditrisikoramme</w:t>
            </w:r>
          </w:p>
          <w:p w14:paraId="00BCF7A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Eksponeringer i tredje del, afsnit II, kapitel 6, i CRR.</w:t>
            </w:r>
          </w:p>
        </w:tc>
      </w:tr>
      <w:tr w:rsidR="00C04D6C" w:rsidRPr="007F4CC8" w14:paraId="43A437A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819EC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B46726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Markedsrisikoramme</w:t>
            </w:r>
          </w:p>
          <w:p w14:paraId="73E5DB24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Markedsrisikoeksponeringer svarende til positioner, der er omfattet af markedsrisikorammen i tredje del, afsnit IV, i CRR).</w:t>
            </w:r>
          </w:p>
          <w:p w14:paraId="5414F913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Kun række 1 til 3 og 12 i dette skema skal offentliggøres i forbindelse med denne kolonne.</w:t>
            </w:r>
          </w:p>
        </w:tc>
      </w:tr>
      <w:tr w:rsidR="00C04D6C" w:rsidRPr="007F4CC8" w14:paraId="4C3ADD4C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6DA4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alle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0B7E0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Når en enkelt post ifalder kapitalkrav i overensstemmelse med mere end én risikoramme, skal den offentliggøres i alle relevante kolonner, der svarer til kapitalkravene.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Som følge heraf kan summen af beløbene i kolonne b) til e) i dette skema derfor være større end beløbet i kolonne a) i dette skema.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Institutterne skal angive kvalitative forklaringer for aktiver og passiver, der er omfattet af kapitalgrundlagskrav for mere end en af de risikorammer, der er opført i tredje del i CRR.</w:t>
            </w:r>
          </w:p>
        </w:tc>
      </w:tr>
    </w:tbl>
    <w:p w14:paraId="09488D0C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3F57B012" w14:textId="77777777" w:rsidR="00C04D6C" w:rsidRPr="007F4CC8" w:rsidRDefault="00C04D6C" w:rsidP="00C04D6C">
      <w:pPr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Skema EU LI3 – Skitsering af forskellene i konsolideringens omfang (enhed for enhed)</w:t>
      </w:r>
    </w:p>
    <w:p w14:paraId="220A6A8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32"/>
        <w:jc w:val="both"/>
        <w:rPr>
          <w:color w:val="000000" w:themeColor="text1"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436, litra b), i CRR, ved at følge instrukserne i dette bilag til udfyldelse af skema EU LI3, som findes i bilag V til nærværende gennemførelsesforordning.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79CC600E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645B2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7049E2D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8DE13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06A73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1334C028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D8F2CB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shd w:val="clear" w:color="auto" w:fill="FFFFFF" w:themeFill="background1"/>
          </w:tcPr>
          <w:p w14:paraId="58B42D2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Rækkerne er fleksible.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Offentliggørelse skal ske for enheder i den regnskabsmæssige og tilsynsmæssige ramme for konsolidering som fastsat i overensstemmelse med de gældende regnskabsregler og første del, afsnit II, afdeling 2 og 3 i CRR, for hvilke metoden for regnskabsmæssig konsolidering adskiller sig fra metoden for den tilsynsmæssige konsolidering.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Én række pr. enhed.</w:t>
            </w:r>
          </w:p>
        </w:tc>
      </w:tr>
    </w:tbl>
    <w:p w14:paraId="69BC7E98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7F5172AB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9A7A7C7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90813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26169E7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FDC664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Kolonnereference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4C2AE7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3A2CC9C4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CCAC83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shd w:val="clear" w:color="auto" w:fill="auto"/>
          </w:tcPr>
          <w:p w14:paraId="1A700FFF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Enhedens navn</w:t>
            </w:r>
          </w:p>
          <w:p w14:paraId="582262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Handelsnavnet på enhver enhed, der inkluderes eller fratrækkes de tilsynsmæssige og regnskabsmæssige rammer for et instituts konsolidering.</w:t>
            </w:r>
          </w:p>
        </w:tc>
      </w:tr>
      <w:tr w:rsidR="00C04D6C" w:rsidRPr="007F4CC8" w14:paraId="7D6C8905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634543A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shd w:val="clear" w:color="auto" w:fill="auto"/>
          </w:tcPr>
          <w:p w14:paraId="734193F7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Metode for regnskabsmæssig konsolidering</w:t>
            </w:r>
          </w:p>
          <w:p w14:paraId="35D66850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konsolideringsmetode, der anvendes i overensstemmelse med de gældende regnskabsregler.</w:t>
            </w:r>
          </w:p>
        </w:tc>
      </w:tr>
      <w:tr w:rsidR="00C04D6C" w:rsidRPr="007F4CC8" w14:paraId="7823BE70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7D17B5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 til g</w:t>
            </w:r>
          </w:p>
        </w:tc>
        <w:tc>
          <w:tcPr>
            <w:tcW w:w="7655" w:type="dxa"/>
            <w:shd w:val="clear" w:color="auto" w:fill="auto"/>
          </w:tcPr>
          <w:p w14:paraId="4A7613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Metode for tilsynsmæssig konsolidering</w:t>
            </w:r>
          </w:p>
          <w:p w14:paraId="2ED012A6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konsolideringsmetode, der anvendes med henblik på første del, afsnit II, kapitel 2, i CRR.</w:t>
            </w:r>
          </w:p>
          <w:p w14:paraId="7F6826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 minimum skal de metoder, der er angivet i artikel 436, litra b), i CRR, offentliggøres.</w:t>
            </w:r>
          </w:p>
          <w:p w14:paraId="599304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markere de relevante kolonner for at identificere konsolideringsmetoden for hver enhed i den regnskabsmæssige ramme og for at angive om hver enhed, i overensstemmelse med rammerne for tilsynsmæssig konsolidering, er i) fuldt konsolideret,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ii) proportionalt konsolideret,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iii) indregnet efter den indre værdis metode,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iv) hverken konsolideret eller fratrukket eller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v) fratrukket.</w:t>
            </w:r>
          </w:p>
        </w:tc>
      </w:tr>
      <w:tr w:rsidR="00C04D6C" w:rsidRPr="007F4CC8" w14:paraId="39E2D62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0E4DC7A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  <w:shd w:val="clear" w:color="auto" w:fill="auto"/>
          </w:tcPr>
          <w:p w14:paraId="58EFFF31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Beskrivelse af enheden</w:t>
            </w:r>
          </w:p>
          <w:p w14:paraId="0A1DF23D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Kort beskrivelse af enheden med (som minimum) oplysning om aktivitetssektor.</w:t>
            </w:r>
          </w:p>
        </w:tc>
      </w:tr>
    </w:tbl>
    <w:p w14:paraId="4E3EF873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60CE42E5" w14:textId="77777777" w:rsidR="00C04D6C" w:rsidRPr="007F4CC8" w:rsidRDefault="00C04D6C" w:rsidP="00C04D6C">
      <w:pPr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 EU LIA – Forklaringer af forskelle mellem regnskabsmæssige og tilsynsmæssige eksponeringsbeløb.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Fritekstbokse til offentliggørelse af kvalitative oplysninger.</w:t>
      </w:r>
    </w:p>
    <w:p w14:paraId="63E9335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04637CE1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color w:val="000000" w:themeColor="text1"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436, litra b) og d), i CRR, ved at følge instrukserne i dette bilag til udfyldelse af tabel EU LIA, som findes i bilag V til nærværende gennemførelsesforordning.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A310B7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A8945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3B97ED6B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9271C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23E86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13ADFB4C" w14:textId="77777777" w:rsidTr="00D819DE">
        <w:trPr>
          <w:trHeight w:val="238"/>
        </w:trPr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7C0394" w14:textId="77777777" w:rsidR="00C04D6C" w:rsidRPr="007F4CC8" w:rsidRDefault="00C04D6C" w:rsidP="00D819DE">
            <w:pPr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a)</w:t>
            </w: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A21937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forklare og kvantificere kilden til eventuelle betydelige forskelle mellem beløbene i kolonne a) og b) i skema EU LI1, uanset om forskellene stammer fra forskellige konsolideringsregler eller fra brugen af forskellige regnskabsstandarder mellem den regnskabsmæssige og den tilsynsmæssige konsolidering.</w:t>
            </w:r>
          </w:p>
        </w:tc>
      </w:tr>
      <w:tr w:rsidR="00C04D6C" w:rsidRPr="007F4CC8" w14:paraId="10A315AD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E3B73" w14:textId="77777777" w:rsidR="00C04D6C" w:rsidRPr="007F4CC8" w:rsidRDefault="00C04D6C" w:rsidP="00D819DE">
            <w:pPr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b)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8B5E08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forklare kilden til forskelle mellem regnskabsmæssige værdier inden for rammerne for tilsynsmæssig konsolidering og beløb, der overvejes i tilsynsøjemed som vist i skema EU LI2.</w:t>
            </w:r>
          </w:p>
        </w:tc>
      </w:tr>
    </w:tbl>
    <w:p w14:paraId="5B834D3C" w14:textId="77777777" w:rsidR="00C04D6C" w:rsidRPr="007F4CC8" w:rsidRDefault="00C04D6C" w:rsidP="00C04D6C">
      <w:pPr>
        <w:ind w:left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 </w:t>
      </w:r>
    </w:p>
    <w:p w14:paraId="5736EA43" w14:textId="77777777" w:rsidR="00C04D6C" w:rsidRPr="007F4CC8" w:rsidRDefault="00C04D6C" w:rsidP="00C04D6C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 EU LIB – Andre kvalitative oplysninger om anvendelsesområdet.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Fritekstbokse til offentliggørelse af kvalitative oplysninger.</w:t>
      </w:r>
    </w:p>
    <w:p w14:paraId="70C5E2A8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436, litra f), g) og h), i CRR, ved at følge instrukserne i dette bilag til udfyldelse af tabel EU LIB, som findes i bilag V til nærværende gennemførelsesforordning.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F8ACC3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952A75" w14:textId="77777777" w:rsidR="00C04D6C" w:rsidRPr="007F4CC8" w:rsidRDefault="00C04D6C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61AC473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C8D0E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37BAC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3DBACA53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293582C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a)</w:t>
            </w:r>
          </w:p>
        </w:tc>
        <w:tc>
          <w:tcPr>
            <w:tcW w:w="7655" w:type="dxa"/>
            <w:shd w:val="clear" w:color="auto" w:fill="auto"/>
          </w:tcPr>
          <w:p w14:paraId="04E76FD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skal offentliggøre alle nuværende eller forventede væsentlige, praktiske eller juridiske hindringer for en hurtig overførsel af kapitalgrundlag eller tilbagebetaling af forpligtelser mellem moderselskabet og dets datterselskaber.</w:t>
            </w:r>
          </w:p>
        </w:tc>
      </w:tr>
      <w:tr w:rsidR="00C04D6C" w:rsidRPr="007F4CC8" w14:paraId="237826AC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1F09A9C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b)</w:t>
            </w:r>
          </w:p>
        </w:tc>
        <w:tc>
          <w:tcPr>
            <w:tcW w:w="7655" w:type="dxa"/>
            <w:shd w:val="clear" w:color="auto" w:fill="auto"/>
          </w:tcPr>
          <w:p w14:paraId="46681EF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Hvor det er relevant, skal institutterne offentliggøre navnet eller navnene på de datterselskaber, som ikke er omfattet af konsolideringen.</w:t>
            </w:r>
          </w:p>
        </w:tc>
      </w:tr>
      <w:tr w:rsidR="00C04D6C" w:rsidRPr="007F4CC8" w14:paraId="6F7114D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5370588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c)</w:t>
            </w:r>
          </w:p>
        </w:tc>
        <w:tc>
          <w:tcPr>
            <w:tcW w:w="7655" w:type="dxa"/>
            <w:shd w:val="clear" w:color="auto" w:fill="auto"/>
          </w:tcPr>
          <w:p w14:paraId="1800BD7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Hvor det er relevant, skal institutterne offentliggøre de omstændigheder, der ligger til grund for anvendelsen af undtagelsen i artikel 7 i CRR eller den individuelle konsolideringsmetode, der er fastsat i artikel 9 i CRR.</w:t>
            </w:r>
          </w:p>
        </w:tc>
      </w:tr>
      <w:tr w:rsidR="00C04D6C" w:rsidRPr="007F4CC8" w14:paraId="70A5DD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03A103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d)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2E8CF52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Hvor det er relevant, skal institutterne offentliggøre det aggregerede beløb, hvormed det faktiske kapitalgrundlag er mindre end krævet i alle datterselskaber, der ikke er omfattet af konsolideringen, samt navnet eller navnene på disse datterselskaber.</w:t>
            </w:r>
          </w:p>
        </w:tc>
      </w:tr>
    </w:tbl>
    <w:p w14:paraId="26403B4C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092F96DF" w14:textId="77777777" w:rsidR="00C04D6C" w:rsidRPr="00DD0C4D" w:rsidRDefault="00C04D6C" w:rsidP="00C04D6C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Skema EU PV1 – Justeringer som følge af forsigtig værdiansættelse (PVA):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format.</w:t>
      </w:r>
    </w:p>
    <w:p w14:paraId="01BBAEB3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60"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Institutter, der anvender kernemetoden til bestemmelse af den yderligere værdiansættelsesjustering med henblik på forsigtig værdiansættelse i overensstemmelse med kapitel III i Kommissionens delegerede forordning (EU) 2016/101</w:t>
      </w:r>
      <w:r>
        <w:rPr>
          <w:rStyle w:val="FootnoteReference"/>
          <w:rFonts w:ascii="Times New Roman" w:hAnsi="Times New Roman"/>
          <w:bCs/>
          <w:sz w:val="24"/>
          <w:szCs w:val="24"/>
        </w:rPr>
        <w:footnoteReference w:id="6"/>
      </w:r>
      <w:r>
        <w:rPr>
          <w:sz w:val="24"/>
          <w:rFonts w:ascii="Times New Roman" w:hAnsi="Times New Roman"/>
        </w:rPr>
        <w:t xml:space="preserve">, skal offentliggøre de oplysninger, der er omhandlet i artikel 436, litra e), i CRR, ved at følge instrukserne nedenfor i dette bilag til at udfylde skema EU PV1, som findes i bilag V til nærværende gennemførelsesforordning.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3C4377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9B9A9" w14:textId="77777777" w:rsidR="00C04D6C" w:rsidRPr="007F4CC8" w:rsidRDefault="00C04D6C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C04D6C" w:rsidRPr="007F4CC8" w14:paraId="50701F6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902A5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B442B6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036FD0C7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743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1 til 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0141" w14:textId="77777777" w:rsidR="00C04D6C" w:rsidRPr="007F4CC8" w:rsidRDefault="00C04D6C" w:rsidP="00D819DE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på kategoriniveau</w:t>
            </w:r>
          </w:p>
          <w:p w14:paraId="4E570456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AVA'erne på kategoriniveau for markedsprisusikkerhed, omkostninger ved at lukke positioner, modelrisiko, koncentrerede positioner, fremtidige administrationsomkostninger, forfald før aftalt tid og operationel risiko beregnes som beskrevet i henholdsvis artikel 9 til 11 og 14 til 17 i Kommissionens delegerede forordning (EU) 2016/101.</w:t>
            </w:r>
          </w:p>
          <w:p w14:paraId="7B4E3C6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kategorierne markedsprisusikkerhed, omkostninger ved at lukke positioner og modelrisiko, som er omfattet af diversificeringsfordele som beskrevet i henholdsvis artikel 9, stk. 6, artikel 10, stk. 7, og artikel 11, stk. 7, i delegeret forordning (EU) 2016/101, offentliggøres AVA'er på kategoriniveau i kolonne a til EU-e2 i dette skema som summen af de individuelle AVA'er før diversificeringsfordel.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Diversificeringsfordele i overensstemmelse med artikel 9, stk. 6, artikel 10, stk. 7, og artikel 11, stk. 7, i Kommissionens delegerede forordning (EU) 2016/101 skal medtages i kolonne f) i dette skema.</w:t>
            </w:r>
          </w:p>
        </w:tc>
      </w:tr>
      <w:tr w:rsidR="00C04D6C" w:rsidRPr="007F4CC8" w14:paraId="1A1E11FE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0CE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C78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Markedsprisusikkerhed</w:t>
            </w:r>
          </w:p>
          <w:p w14:paraId="3D2F467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CRR.</w:t>
            </w:r>
          </w:p>
          <w:p w14:paraId="59AE988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AVA'er for markedsprisusikkerhed skal beregnes i overensstemmelse med artikel 9 i Kommissionens delegerede forordning (EU) 2016/101.</w:t>
            </w:r>
          </w:p>
        </w:tc>
      </w:tr>
      <w:tr w:rsidR="00C04D6C" w:rsidRPr="007F4CC8" w14:paraId="5ACD0CA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F16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A6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Ikke relevant</w:t>
            </w:r>
          </w:p>
        </w:tc>
      </w:tr>
      <w:tr w:rsidR="00C04D6C" w:rsidRPr="007F4CC8" w14:paraId="3750419D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C12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ADC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Omkostninger ved at lukke positioner</w:t>
            </w:r>
          </w:p>
          <w:p w14:paraId="7AF430E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CRR.</w:t>
            </w:r>
          </w:p>
          <w:p w14:paraId="05054C6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AVA'er for omkostninger ved at lukke positioner skal beregnes i overensstemmelse med artikel 10 i Kommissionens delegerede forordning (EU) 2016/101.</w:t>
            </w:r>
          </w:p>
        </w:tc>
      </w:tr>
      <w:tr w:rsidR="00C04D6C" w:rsidRPr="007F4CC8" w14:paraId="680DDF7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011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E67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Koncentrerede positioner</w:t>
            </w:r>
          </w:p>
          <w:p w14:paraId="08370B0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11, i CRR.</w:t>
            </w:r>
          </w:p>
          <w:p w14:paraId="42AFA9B2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AVA'er for koncentrerede positioner skal beregnes i overensstemmelse med artikel 14 i Kommissionens delegerede forordning (EU) 2016/101.</w:t>
            </w:r>
          </w:p>
        </w:tc>
      </w:tr>
      <w:tr w:rsidR="00C04D6C" w:rsidRPr="007F4CC8" w14:paraId="358FA37F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BA5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19C3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Forfald før aftalt tid</w:t>
            </w:r>
          </w:p>
          <w:p w14:paraId="52C42C7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CRR.</w:t>
            </w:r>
          </w:p>
          <w:p w14:paraId="4AEB079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AVA'er for forfald før aftalt tid skal beregnes i overensstemmelse med artikel 16 i Kommissionens delegerede forordning (EU) 2016/101.</w:t>
            </w:r>
          </w:p>
        </w:tc>
      </w:tr>
      <w:tr w:rsidR="00C04D6C" w:rsidRPr="007F4CC8" w14:paraId="25315BC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FEF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8D5E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Modelrisiko</w:t>
            </w:r>
          </w:p>
          <w:p w14:paraId="49ED331A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CRR.</w:t>
            </w:r>
          </w:p>
          <w:p w14:paraId="2BCE5220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AVA'er for modelrisiko skal beregnes i overensstemmelse med artikel 11 i Kommissionens delegerede forordning (EU) 2016/101.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F5BA19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FBEA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231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Operationel risiko</w:t>
            </w:r>
          </w:p>
          <w:p w14:paraId="3EE7FBBF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CRR.</w:t>
            </w:r>
          </w:p>
          <w:p w14:paraId="64B1AD8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AVA'er for operationel risiko skal beregnes i overensstemmelse med artikel 17 i Kommissionens delegerede forordning (EU) 2016/101.</w:t>
            </w:r>
          </w:p>
        </w:tc>
      </w:tr>
      <w:tr w:rsidR="00C04D6C" w:rsidRPr="007F4CC8" w14:paraId="3AE9B7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A6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13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Ikke relevant</w:t>
            </w:r>
          </w:p>
        </w:tc>
      </w:tr>
      <w:tr w:rsidR="00C04D6C" w:rsidRPr="007F4CC8" w14:paraId="27C5D5B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D90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0E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Ikke relevant</w:t>
            </w:r>
          </w:p>
        </w:tc>
      </w:tr>
      <w:tr w:rsidR="00C04D6C" w:rsidRPr="007F4CC8" w14:paraId="0D4A7BB8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3C8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9EC1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Fremtidige administrationsomkostninger</w:t>
            </w:r>
          </w:p>
          <w:p w14:paraId="03DE082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CRR.</w:t>
            </w:r>
          </w:p>
          <w:p w14:paraId="77EAFF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AVA'er for fremtidige administrationsomkostninger skal beregnes i overensstemmelse med artikel 15 i Kommissionens delegerede forordning (EU) 2016/101.</w:t>
            </w:r>
          </w:p>
        </w:tc>
      </w:tr>
      <w:tr w:rsidR="00C04D6C" w:rsidRPr="007F4CC8" w14:paraId="2D7F52A9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F684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1A65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Ikke relevant</w:t>
            </w:r>
          </w:p>
        </w:tc>
      </w:tr>
      <w:tr w:rsidR="00C04D6C" w:rsidRPr="007F4CC8" w14:paraId="1996F9F1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D93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DE5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Yderligere værdijusteringer i alt</w:t>
            </w:r>
          </w:p>
          <w:p w14:paraId="773818D3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Samlet AVA, der skal trækkes fra kapitalgrundlaget i henhold til artikel 34 og 105 i CRR, offentliggøres i række 12, kolonne f), i dette skema.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Dette beløb skal stemme overens med beløbet i række 7 i skema EU CC1 samt med beløbet i række 5, kolonne a), i skema EU LI2.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  <w:p w14:paraId="3E1D4E77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For porteføljer, der er omfattet af kernemetoden som fastsat i kapitel III i delegeret forordning (EU) 2016/101 om forsigtig værdiansættelse, skal den samlede AVA være summen af række 1 til 10 i dette skema, og beløbene beregnet i overensstemmelse med artikel 7, stk. 2, litra b), nr. i)-iii) i delegeret forordning (EU) 2016/101, for porteføljer, der er omfattet af den subsidiære metode.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  <w:p w14:paraId="0557EFCB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For porteføljer, der er omfattet af den forenklede metode som fastsat i kapitel II i delegeret forordning (EU) 2016/101 om forsigtig værdiansættelse, skal den samlede AVA i kolonne f) i dette skema være beløbet beregnet i overensstemmelse med artikel 5 i dette kapitel.</w:t>
            </w:r>
          </w:p>
        </w:tc>
      </w:tr>
      <w:tr w:rsidR="00C04D6C" w:rsidRPr="007F4CC8" w14:paraId="680BC399" w14:textId="77777777" w:rsidTr="00D819DE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F590F" w14:textId="77777777" w:rsidR="00C04D6C" w:rsidRPr="007F4CC8" w:rsidRDefault="00C04D6C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Kolonnebogstav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86B5F" w14:textId="77777777" w:rsidR="00C04D6C" w:rsidRPr="007F4CC8" w:rsidRDefault="00C04D6C" w:rsidP="00D819DE">
            <w:pPr>
              <w:pStyle w:val="TableMainHeading"/>
              <w:spacing w:before="6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C04D6C" w:rsidRPr="007F4CC8" w14:paraId="4C8AA77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53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a-e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FB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Opdeling efter RISIKOKATEGORI</w:t>
            </w:r>
          </w:p>
          <w:p w14:paraId="19554FB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henfører deres aktiver og passiver til dagsværdi, der medtages i tærskelberegningen i overensstemmelse med artikel 4, stk. 1, i Kommissionens delegerede forordning (EU) 2016/101 (i og uden for handelsbeholdningen), til følgende risikokategorier: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renter, valuta, lån, aktier, råvarer.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8E03628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Opdelingen i disse kolonner omfatter ikke AVA'er, der beregnes i overensstemmelse med artikel 12 og 13 i Kommissionens delegerede forordning (EU) 2016/101, og som offentliggøres i kolonne EU-e1 og EU-e2 i dette skema.</w:t>
            </w:r>
          </w:p>
        </w:tc>
      </w:tr>
      <w:tr w:rsidR="00C04D6C" w:rsidRPr="007F4CC8" w14:paraId="5626241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79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FF4E96" w14:textId="77777777" w:rsidR="00C04D6C" w:rsidRPr="007F4CC8" w:rsidRDefault="00C04D6C" w:rsidP="00D819DE">
            <w:pPr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EU e1</w:t>
            </w:r>
          </w:p>
          <w:p w14:paraId="5276CC33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962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på kategoriniveau —Værdiansættelsesusikkerhed: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for ikke optjente kreditspænd</w:t>
            </w:r>
          </w:p>
          <w:p w14:paraId="2381E111" w14:textId="77777777" w:rsidR="00C04D6C" w:rsidRPr="007F4CC8" w:rsidRDefault="00C04D6C" w:rsidP="00D819DE">
            <w:pPr>
              <w:spacing w:beforeLines="60" w:before="144" w:afterLines="60" w:after="144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 og artikel 12 i Kommissionens delegerede forordning (EU)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A3FCC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Samlet AVA for ikke optjente kreditspænd ("CVA-AVA") og henførelse deraf til AVA'er for markedsprisusikkerhed, AVA'er for omkostninger ved at lukke positioner eller AVA'er for modelrisiko bestemmes i overensstemmelse med artikel 12 i Kommissionen delegerede forordning (EU) 2016/101.</w:t>
            </w:r>
          </w:p>
        </w:tc>
      </w:tr>
      <w:tr w:rsidR="00C04D6C" w:rsidRPr="007F4CC8" w14:paraId="3D6EAD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A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7014344" w14:textId="77777777" w:rsidR="00C04D6C" w:rsidRPr="007F4CC8" w:rsidRDefault="00C04D6C" w:rsidP="00D819DE">
            <w:pPr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EU e2</w:t>
            </w:r>
          </w:p>
          <w:p w14:paraId="067E72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058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på kategoriniveau — AVA for investerings- og finansieringsomkostninger</w:t>
            </w:r>
          </w:p>
          <w:p w14:paraId="4E0DC4BC" w14:textId="77777777" w:rsidR="00C04D6C" w:rsidRPr="007F4CC8" w:rsidRDefault="00C04D6C" w:rsidP="00D819DE">
            <w:pPr>
              <w:spacing w:beforeLines="60" w:before="144" w:afterLines="60" w:after="144"/>
              <w:rPr>
                <w:caps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Artikel 105, stk. 10, i CRR og artikel 13 i Kommissionens delegerede forordning (EU) 2016/101.</w:t>
            </w:r>
          </w:p>
          <w:p w14:paraId="014133D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Samlet AVA for investerings- og finansieringsomkostninger og henførelse deraf til AVA'er for markedsprisusikkerhed, AVA'er for omkostninger ved at lukke positioner eller AVA'er for modelrisiko bestemmes i overensstemmelse med artikel 13 i Kommissionen delegerede forordning (EU) 2016/101.</w:t>
            </w:r>
          </w:p>
        </w:tc>
      </w:tr>
      <w:tr w:rsidR="00C04D6C" w:rsidRPr="007F4CC8" w14:paraId="7AF131EB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4A8A" w14:textId="77777777" w:rsidR="00C04D6C" w:rsidRPr="007F4CC8" w:rsidRDefault="00C04D6C" w:rsidP="00D819DE">
            <w:pPr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f</w:t>
            </w:r>
          </w:p>
          <w:p w14:paraId="4BAD70B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FB7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Samlet værdi på kategoriniveau efter diversificering</w:t>
            </w:r>
          </w:p>
          <w:p w14:paraId="7AC1D08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porteføljer, der er omfattet af kernemetoden som fastsat i kapitel III i Kommissionens delegerede forordning (EU) 2016/101, omfatter den samlede værdi på kategoriniveau efter diversificering de samlede AVA'er beregnet i overensstemmelse med kernemetoden for aktiver og passiver til dagsværdi, der medtages i tærskelberegningen i overensstemmelse med artikel 4, stk. 1, i Kommissionens delegerede forordning (EU)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Heri indgår de indberettede diversificeringsfordele, der er bestemt i overensstemmelse med artikel 9, stk. 6, artikel 10, stk. 7, og artikel 11, stk. 7, i Kommissionens delegerede forordning (EU) 2016/101.</w:t>
            </w:r>
          </w:p>
          <w:p w14:paraId="786A07B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samlede AVA i række 12, kolonne f), i dette skema omfatter de beløb, der beregnes i overensstemmelse med artikel 7, stk. 2, litra b), nr. i)-iii), i delegeret forordning (EU) 2016/101, for porteføljer, der er omfattet af den subsidiære metode.</w:t>
            </w:r>
          </w:p>
          <w:p w14:paraId="16B6B958" w14:textId="77777777" w:rsidR="00C04D6C" w:rsidRPr="00CA31E6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porteføljer, der er omfattet af den forenklede metode som fastsat i kapitel II i delegeret forordning (EU) 2016/101 om forsigtig værdiansættelse, skal den samlede AVA i række 12 i dette skema være beløbet beregnet i overensstemmelse med artikel 5 i dette kapitel.</w:t>
            </w:r>
          </w:p>
        </w:tc>
      </w:tr>
      <w:tr w:rsidR="00C04D6C" w:rsidRPr="007F4CC8" w14:paraId="7A68CB3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1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8B5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samlet kernemetode i handelsbeholdningen</w:t>
            </w:r>
          </w:p>
          <w:p w14:paraId="77520A8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hver relevant kategori af AVA'er, for porteføljer, der er omfattet af kernemetoden som fastsat i kapitel III i Kommissionens delegerede forordning (EU) 2016/101, andelen af AVA'er, der stammer fra positioner i "handelsbeholdningen":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alle positioner i finansielle instrumenter og råvarer, som instituttet besidder med henblik på videresalg eller for at afdække positioner, der besiddes med handelshensigt, jf. artikel 104 i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169FF0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offentliggjorte værdi skal omfatte de diversificeringsfordele, der er bestemt i overensstemmelse med artikel 9, stk. 6, artikel 10, stk. 7, og artikel 11, stk. 7, i Kommissionens delegerede forordning (EU) 2016/101.</w:t>
            </w:r>
          </w:p>
        </w:tc>
      </w:tr>
      <w:tr w:rsidR="00C04D6C" w:rsidRPr="007F4CC8" w14:paraId="2EBCD7A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CE8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F65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Heraf: samlet kernemetode i anlægsbeholdningen</w:t>
            </w:r>
          </w:p>
          <w:p w14:paraId="4EC457E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For hver relevant kategori af AVA'er, for porteføljer, der er omfattet af kernemetoden som fastsat i kapitel III i Kommissionens delegerede forordning (EU) 2016/101, andelen af AVA'er, der stammer fra positioner til dagsværdi i finansielle instrumenter og råvarer uden for handelsbeholdningen.</w:t>
            </w:r>
          </w:p>
          <w:p w14:paraId="5D6CB73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offentliggjorte værdi skal omfatte de diversificeringsfordele, der er bestemt i overensstemmelse med artikel 9, stk. 6, artikel 10, stk. 7, og artikel 11, stk. 7, i Kommissionens delegerede forordning (EU) 2016/101.</w:t>
            </w:r>
          </w:p>
        </w:tc>
      </w:tr>
    </w:tbl>
    <w:p w14:paraId="1DA9D705" w14:textId="77777777" w:rsidR="004E3F4D" w:rsidRDefault="004E3F4D" w:rsidP="00C04D6C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ACB9" w14:textId="77777777" w:rsidR="00ED3B2B" w:rsidRDefault="00ED3B2B" w:rsidP="00C04D6C">
      <w:r>
        <w:separator/>
      </w:r>
    </w:p>
  </w:endnote>
  <w:endnote w:type="continuationSeparator" w:id="0">
    <w:p w14:paraId="595845DA" w14:textId="77777777" w:rsidR="00ED3B2B" w:rsidRDefault="00ED3B2B" w:rsidP="00C0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644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57631" w14:textId="77777777" w:rsidR="002C7922" w:rsidRDefault="002C79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</w:p>
    </w:sdtContent>
  </w:sdt>
  <w:p w14:paraId="4003F916" w14:textId="77777777" w:rsidR="002C7922" w:rsidRDefault="002C7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8F32" w14:textId="77777777" w:rsidR="00ED3B2B" w:rsidRDefault="00ED3B2B" w:rsidP="00C04D6C">
      <w:r>
        <w:separator/>
      </w:r>
    </w:p>
  </w:footnote>
  <w:footnote w:type="continuationSeparator" w:id="0">
    <w:p w14:paraId="01923D22" w14:textId="77777777" w:rsidR="00ED3B2B" w:rsidRDefault="00ED3B2B" w:rsidP="00C04D6C">
      <w:r>
        <w:continuationSeparator/>
      </w:r>
    </w:p>
  </w:footnote>
  <w:footnote w:id="1">
    <w:p w14:paraId="75EB5CC5" w14:textId="63915B84" w:rsidR="00C04D6C" w:rsidRPr="00346640" w:rsidRDefault="00C04D6C" w:rsidP="00C04D6C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lang w:val="en-GB"/>
        </w:rPr>
        <w:footnoteRef/>
      </w:r>
      <w:r>
        <w:t xml:space="preserve"> </w:t>
      </w:r>
      <w:r>
        <w:tab/>
      </w:r>
      <w:r>
        <w:t xml:space="preserve">Regulation (EU) No 575/2013 of the European Parliament and of the Council of 26 June 2013 on prudential requirements for credit institutions and amending Regulation (EU) No 648/2012, as amended by Regulation (EU) No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OJ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Forordning - EU - 2024/1623 - DA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6152D585" w14:textId="77777777" w:rsidR="00C04D6C" w:rsidRPr="00BB5993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Europa-Parlamentets og Rådets direktiv 2013/34/EU af 26. juni 2013 om årsregnskaber, konsoliderede regnskaber og tilhørende beretninger for visse virksomhedsformer, om ændring af Europa-Parlamentets og Rådets direktiv 2006/43/EF og om ophævelse af Rådets direktiv 78/660/EØF og 83/349/EØF (EUT L 182 af 29.6.2013, s. 19).</w:t>
      </w:r>
    </w:p>
  </w:footnote>
  <w:footnote w:id="3">
    <w:p w14:paraId="41D63525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Europa-Parlamentets og Rådets forordning (EF) nr. 1606/2002 af 19. juli 2002 om anvendelse af internationale regnskabsstandarder (EFT L 243 af 11.9.2002, s. 1).</w:t>
      </w:r>
    </w:p>
  </w:footnote>
  <w:footnote w:id="4">
    <w:p w14:paraId="51C1A08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Rådets direktiv 86/635/EØF af 8. december 1986 om bankers og andre penge- og finansieringsinstitutters årsregnskaber og konsoliderede regnskaber (EFT L 372 af 31.12.1986, s. 1).</w:t>
      </w:r>
    </w:p>
  </w:footnote>
  <w:footnote w:id="5">
    <w:p w14:paraId="0C3793CA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Kommissionens delegerede forordning (EU) nr. 183/2014 af 20. december 2013 om udbygning af Europa-Parlamentets og Rådets forordning (EU) nr. 575/2013 om tilsynsmæssige krav til kreditinstitutter og investeringsselskaber, for så vidt angår reguleringsmæssige tekniske standarder for at præcisere beregningen af specifikke og generelle kreditrisikojusteringer (EUT L 57 af 27.2.2014, s. 3).</w:t>
      </w:r>
    </w:p>
  </w:footnote>
  <w:footnote w:id="6">
    <w:p w14:paraId="4B2D69D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Kommissionens delegerede forordning (EU) 2016/101 af 26. oktober 2015 om supplerende regler til Europa-Parlamentets og Rådets forordning (EU) nr. 575/2013 for så vidt angår reguleringsmæssige tekniske standarder for forsigtig værdiansættelse i henhold til artikel 105, stk. 14 (EUT L 21 af 28.1.2016, s. 54).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0878" w14:textId="4C534AD7" w:rsidR="009F69A4" w:rsidRDefault="009F69A4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26B05EE" wp14:editId="25E380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983981750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A3FFD" w14:textId="2FD5BDD4" w:rsidR="009F69A4" w:rsidRPr="009F69A4" w:rsidRDefault="009F69A4" w:rsidP="009F69A4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26B05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0DA3FFD" w14:textId="2FD5BDD4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C0B0" w14:textId="509F1CE8" w:rsidR="009F69A4" w:rsidRDefault="009F69A4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0324C2DB" wp14:editId="2FC146FF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2159657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0198A" w14:textId="3A90A883" w:rsidR="009F69A4" w:rsidRPr="009F69A4" w:rsidRDefault="009F69A4" w:rsidP="009F69A4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324C2D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6F70198A" w14:textId="3A90A883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ADF6" w14:textId="29E06D7A" w:rsidR="009F69A4" w:rsidRDefault="009F69A4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1D4B697" wp14:editId="42A7C45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04483645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8CF09" w14:textId="139B48AA" w:rsidR="009F69A4" w:rsidRPr="009F69A4" w:rsidRDefault="009F69A4" w:rsidP="009F69A4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D4B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728CF09" w14:textId="139B48AA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488596300">
    <w:abstractNumId w:val="0"/>
  </w:num>
  <w:num w:numId="2" w16cid:durableId="149044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330FC"/>
    <w:rsid w:val="002C7922"/>
    <w:rsid w:val="003330FC"/>
    <w:rsid w:val="004E3F4D"/>
    <w:rsid w:val="005B3D23"/>
    <w:rsid w:val="009F69A4"/>
    <w:rsid w:val="00AF0EB9"/>
    <w:rsid w:val="00C04D6C"/>
    <w:rsid w:val="00E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A5DD"/>
  <w15:chartTrackingRefBased/>
  <w15:docId w15:val="{CFE64EB4-385B-4000-BE3C-E0F42091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D6C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C04D6C"/>
    <w:pPr>
      <w:spacing w:before="80" w:line="200" w:lineRule="exact"/>
      <w:ind w:left="567" w:hanging="567"/>
      <w:jc w:val="both"/>
    </w:pPr>
    <w:rPr>
      <w:sz w:val="18"/>
      <w:szCs w:val="18"/>
      <w:lang w:val="da-DK"/>
    </w:rPr>
  </w:style>
  <w:style w:type="character" w:customStyle="1" w:styleId="FootnoteTextChar">
    <w:name w:val="Footnote Text Char"/>
    <w:basedOn w:val="DefaultParagraphFont"/>
    <w:link w:val="FootnoteText"/>
    <w:rsid w:val="00C04D6C"/>
    <w:rPr>
      <w:rFonts w:eastAsiaTheme="minorEastAsia"/>
      <w:sz w:val="18"/>
      <w:szCs w:val="18"/>
      <w:lang w:val="da-D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C04D6C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C04D6C"/>
    <w:rPr>
      <w:color w:val="0563C1" w:themeColor="hyperlink"/>
      <w:u w:val="single"/>
    </w:rPr>
  </w:style>
  <w:style w:type="paragraph" w:customStyle="1" w:styleId="Default">
    <w:name w:val="Default"/>
    <w:rsid w:val="00C04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nnexetitre">
    <w:name w:val="Annexe titre"/>
    <w:basedOn w:val="Normal"/>
    <w:next w:val="Normal"/>
    <w:rsid w:val="00C04D6C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C04D6C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C04D6C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C04D6C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C04D6C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C04D6C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C04D6C"/>
    <w:rPr>
      <w:rFonts w:ascii="Verdana" w:hAnsi="Verdana" w:cs="Times New Roman"/>
      <w:b/>
      <w:bCs/>
      <w:sz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922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922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A/TXT/?uri=OJ:L_202401623" TargetMode="External"/><Relationship Id="rId1" Type="http://schemas.openxmlformats.org/officeDocument/2006/relationships/hyperlink" Target="https://eur-lex.europa.eu/legal-content/D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F6FAA-4CA3-4926-B4B3-C8D695DE6575}"/>
</file>

<file path=customXml/itemProps2.xml><?xml version="1.0" encoding="utf-8"?>
<ds:datastoreItem xmlns:ds="http://schemas.openxmlformats.org/officeDocument/2006/customXml" ds:itemID="{2C1E693E-B858-4842-8FF5-8C78E4E7B6DA}"/>
</file>

<file path=customXml/itemProps3.xml><?xml version="1.0" encoding="utf-8"?>
<ds:datastoreItem xmlns:ds="http://schemas.openxmlformats.org/officeDocument/2006/customXml" ds:itemID="{FD2E386A-977C-492C-8FE7-8005E3139DC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4097</Words>
  <Characters>21840</Characters>
  <Application>Microsoft Office Word</Application>
  <DocSecurity>0</DocSecurity>
  <Lines>532</Lines>
  <Paragraphs>285</Paragraphs>
  <ScaleCrop>false</ScaleCrop>
  <Company>European Banking Authority</Company>
  <LinksUpToDate>false</LinksUpToDate>
  <CharactersWithSpaces>25652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5</cp:revision>
  <dcterms:created xsi:type="dcterms:W3CDTF">2021-03-11T11:51:00Z</dcterms:created>
  <dcterms:modified xsi:type="dcterms:W3CDTF">2024-09-26T14:40:00Z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3e46f064,764128b6,5a21b9a9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23d21fe0-0da5-41bf-af59-bd30b05c992a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