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>PRILOG II.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>Upute za obrasce s pregledom informacija za objavu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OV1 – Pregled ukupnih iznosa izloženosti ponderiranih rizikom. </w:t>
      </w:r>
      <w:r>
        <w:rPr>
          <w:rFonts w:ascii="Times New Roman" w:hAnsi="Times New Roman"/>
          <w:color w:val="auto"/>
          <w:sz w:val="24"/>
        </w:rPr>
        <w:t>Fiksni unos.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obrazac EU OV1 iz Priloga I. IT rješenjima EBA-e prateći upute u nastavku, u skladu s člankom 438. točkom (d) Uredbe (EU) br. 575/2013 („CRR”)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rFonts w:ascii="Times New Roman" w:hAnsi="Times New Roman"/>
          <w:color w:val="auto"/>
          <w:sz w:val="24"/>
        </w:rPr>
        <w:t>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 opisu koji prilažu obrascu objašnjavaju, ako je relevantno, učinak primjene donjih granica za kapital i neodbijanja stavki od regulatornog kapitala na izračun regulatornog kapitala i iznosa izloženosti ponderiranih rizikom.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Ukupni iznosi izloženosti riziku (TREA)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izloženosti riziku koji se izračunava u skladu s člankom 92. stavkom 4. Uredbe (EU) br. 575/2013 za retke od 1 do 28, člankom 92. stavkom 3. te uredbe za redak 29 te člancima 95., 96. i 98. Uredbe (EU) br. 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</w:tcPr>
          <w:p w14:paraId="22370966" w14:textId="4C946B1E" w:rsidR="00677CC7" w:rsidRPr="00232C88" w:rsidRDefault="00476E7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TREA (T-1) </w:t>
            </w:r>
          </w:p>
          <w:p w14:paraId="3470438E" w14:textId="4CEBB9C8" w:rsidR="00720050" w:rsidRPr="00232C88" w:rsidRDefault="00476E72" w:rsidP="00B74E92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TREA kako je objavljena u prethodnom razdoblju objave</w:t>
            </w:r>
            <w:r w:rsidR="00EB314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kapitalni zahtjevi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Kapitalni zahtjevi koji odgovaraju iznosima TREA za različite kategorije rizika.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(isključujući kreditni rizik druge ugovorne strane)</w:t>
            </w:r>
          </w:p>
          <w:p w14:paraId="3A25A955" w14:textId="4673C726" w:rsidR="001A0C8D" w:rsidRPr="00232C88" w:rsidRDefault="000A4A93" w:rsidP="00A25707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izloženosti ponderiranih rizikom (RWEA) i kapitalni zahtjevi koji se izračunavaju u skladu s dijelom trećim glavom II. poglavljima od 1. do 4. Uredbe (EU) br. 575/2013 i s člankom 379. Uredbe (EU) br. 575/2013. Iznosi RWEA za kreditni rizik druge ugovorne strane (Uredba (EU) br. 575/2013) i za sekuritizacijske izloženosti u knjizi pozicija kojima se ne trguje isključeni su i objavljuju se u redcima 6. i 16. ovog obrasca. Institucije u iznos objavljen u ovom retku uključuju iznose RWEA i kapitalne zahtjeve za rizik slobodnih isporuka koji se izračunavaju u skladu s člankom 379. Uredbe (EU) br. 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A303B7" w14:textId="7777777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(isključujući kreditni rizik druge ugovorne strane) – od čega standardizirani pristup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sa standardiziranim pristupom kreditnom riziku (dio treći glava II. poglavlje 2. Uredbe (EU) br. 575/2013 i članak 379. Uredbe (EU) br. 575/2013).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D300D26" w14:textId="2612B8E7" w:rsidR="008B269B" w:rsidRPr="00232C88" w:rsidRDefault="008B269B" w:rsidP="008B269B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Kreditni rizik (isključujući kreditni rizik druge ugovorne strane) – od čega temeljni IRB (F-IRB) pristup </w:t>
            </w:r>
          </w:p>
          <w:p w14:paraId="67755B7F" w14:textId="6B3A98C3" w:rsidR="008B269B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temeljnim pristupom zasnovanim na internim rejting-sustavima za kreditni rizik (dio treći glava II. poglavlje 3. Uredbe (EU) br. 575/2013), isključujući iznose RWEA objavljene u retku 4 za izloženosti u obliku specijaliziranog financiranja na koje se primjenjuje pristup raspoređivanja, i u retku 4a za vlasnička ulaganja u skladu s jednostavnim pristupom ponderiranja rizika, a uključujući iznose RWEA i kapitalne zahtjeve koji se izračunavaju u skladu s člankom 379. Uredbe (EU) br. 575/2013.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370308AB" w14:textId="0FFC281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(isključujući kreditni rizik druge ugovorne strane) – od čega: pristup raspoređivanja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za izloženosti u obliku specijaliziranog financiranja na koje se primjenjuje pristup raspoređivanja koji se izračunavaju u skladu s člankom 153. stavkom 5. Uredbe (EU) br. 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EU 4a</w:t>
            </w:r>
          </w:p>
        </w:tc>
        <w:tc>
          <w:tcPr>
            <w:tcW w:w="7655" w:type="dxa"/>
          </w:tcPr>
          <w:p w14:paraId="37370FB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(isključujući kreditni rizik druge ugovorne strane) – od čega: vlasnička ulaganja u skladu s jednostavnim pristupom ponderiranja rizika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za izloženosti na osnovi vlasničkih ulaganja ako se primjenjuju prijelazne odredbe iz članka 495. stavka 1. točke (b) Uredbe (EU) br. 575/2013.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3AFF7CE4" w14:textId="27FE8FDF" w:rsidR="00460FF6" w:rsidRPr="00232C88" w:rsidRDefault="00460FF6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(isključujući kreditni rizik druge ugovorne strane) – od čega napredni IRB (A-IRB) pristup</w:t>
            </w:r>
          </w:p>
          <w:p w14:paraId="7667081C" w14:textId="5A6E8BF3" w:rsidR="00460FF6" w:rsidRPr="00232C88" w:rsidRDefault="00460FF6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naprednim pristupom zasnovanim na internim rejting-sustavima za kreditni rizik (dio treći glava II. poglavlje 3. Uredbe (EU) br. 575/2013), isključujući iznose RWEA objavljene u retku 4 za izloženosti u obliku specijaliziranog financiranja na koje se primjenjuje pristup raspoređivanja, i u retku 4a za vlasnička ulaganja u skladu s jednostavnim pristupom ponderiranja rizika, a uključujući iznose RWEA i kapitalne zahtjeve koji se izračunavaju u skladu s člankom 379. Uredbe (EU) br. 575/2013.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7F11F1D5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Kreditni rizik druge ugovorne strane – CCR </w:t>
            </w:r>
          </w:p>
          <w:p w14:paraId="6E778278" w14:textId="12E427A1" w:rsidR="00FA1376" w:rsidRPr="00232C88" w:rsidRDefault="009A463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II. poglavljem 6. Uredbe (EU) br. 575/2013 za kreditni rizik druge ugovorne strane.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528A31C" w14:textId="62213072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– od čega standardizirani pristup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II. poglavljem 6. odjeljkom 3. Uredbe (EU) br. 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2C150D6B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CCR – od čega metoda internog modela (IMM)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 283. Uredbe (EU) br. 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EU 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od čega izloženosti prema središnjoj drugoj ugovornoj strani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II. poglavljem 6. odjeljkom 9. Uredbe (EU) br. 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1F211550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CCR – od čega ostali kreditni rizik druge ugovorne strane (CCR)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za kreditni rizik druge ugovorne strane koji nisu objavljeni u redcima 7, 8 i EU 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FBF49C6" w14:textId="22C1CF03" w:rsidR="004D588F" w:rsidRPr="00232C88" w:rsidRDefault="6B84787B" w:rsidP="7A5B4152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 prilagodbe kreditnom vrednovanju – CVA rizik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VI. Uredbe (EU) br. 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6CC156C7" w14:textId="4E5A33FC" w:rsidR="6B84787B" w:rsidRPr="00232C88" w:rsidRDefault="6B84787B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CVA rizik – od čega standardizirani pristup (SA)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 383. Uredbe (EU) br. 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10b</w:t>
            </w:r>
          </w:p>
        </w:tc>
        <w:tc>
          <w:tcPr>
            <w:tcW w:w="7655" w:type="dxa"/>
          </w:tcPr>
          <w:p w14:paraId="1888B262" w14:textId="387A46E5" w:rsidR="2B63221F" w:rsidRPr="00232C88" w:rsidRDefault="2B63221F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CVA rizik – od čega osnovni pristup (F-BA i R-BA)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 384. Uredbe (EU) br. 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>EU 10c</w:t>
            </w:r>
          </w:p>
        </w:tc>
        <w:tc>
          <w:tcPr>
            <w:tcW w:w="7655" w:type="dxa"/>
          </w:tcPr>
          <w:p w14:paraId="1606F92D" w14:textId="3DD380FC" w:rsidR="3812DD51" w:rsidRPr="00232C88" w:rsidRDefault="3812DD51" w:rsidP="00254ED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CVA rizik – od čega pojednostavnjeni pristup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 385. Uredbe (EU) br. 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Rizik namire </w:t>
            </w:r>
          </w:p>
          <w:p w14:paraId="5BD4C7C7" w14:textId="245CE380" w:rsidR="00FA1376" w:rsidRPr="00232C88" w:rsidRDefault="76C231EB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Iznosi RWEA i kapitalni zahtjevi koji se izračunavaju za rizik namire/isporuke u skladu s člankom 378. Uredbe (EU) br. 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Sekuritizacijske izloženosti u knjizi pozicija kojima se ne trguje (nakon primjene gornje granice)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II. poglavljem 5. Uredbe (EU) br. 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0EB9584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Sekuritizacija – od čega pristup SEC-IRBA </w:t>
            </w:r>
          </w:p>
          <w:p w14:paraId="48D3D12E" w14:textId="321099B2" w:rsidR="00FA1376" w:rsidRPr="00232C88" w:rsidRDefault="009A4635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regulatornim pristupom SEC-IRBA, koji se primjenjuje u skladu s hijerarhijom pristupa iz članka 254. Uredbe (EU) br. 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3D0BC87F" w14:textId="77777777" w:rsidR="004D588F" w:rsidRPr="00232C88" w:rsidRDefault="004D588F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Sekuritizacija – od čega pristup SEC-ERBA (uključujući IAA)</w:t>
            </w:r>
          </w:p>
          <w:p w14:paraId="081795BE" w14:textId="41E5125D" w:rsidR="004D588F" w:rsidRPr="00232C88" w:rsidRDefault="004D588F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regulatornim pristupom SEC-ERBA (uključujući IAA), koji se primjenjuje u skladu s hijerarhijom pristupa iz članka 254. Uredbe (EU) br. 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59496D51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Sekuritizacija – od čega pristup SEC-SA </w:t>
            </w:r>
          </w:p>
          <w:p w14:paraId="70F39EBB" w14:textId="0BFE4551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regulatornim pristupom SEC-SA, koji se primjenjuje u skladu s hijerarhijom pristupa iz članka 254. Uredbe (EU) br. 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Sekuritizacija – od čega odbitak 1250 %</w:t>
            </w:r>
          </w:p>
          <w:p w14:paraId="7E6CD2F2" w14:textId="35E17A23" w:rsidR="00FA1376" w:rsidRPr="00232C88" w:rsidRDefault="009A4635" w:rsidP="0077689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za sekuritizacijske izloženosti iz knjige pozicija kojima se ne trguje s ponderom rizika 1250 % ili odbijene od regulatornog kapitala u skladu s dijelom trećim glavom II. poglavljem 5. Uredbe (EU) br. 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 pozicija, valutni rizik i robni rizik (tržišni rizik)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Iznosi RWEA i kapitalni zahtjevi koji se izračunavaju u skladu s dijelom trećim glavom IV. Uredbe (EU) br. 575/2013.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21</w:t>
            </w:r>
          </w:p>
        </w:tc>
        <w:tc>
          <w:tcPr>
            <w:tcW w:w="7655" w:type="dxa"/>
            <w:shd w:val="clear" w:color="auto" w:fill="auto"/>
          </w:tcPr>
          <w:p w14:paraId="094F283E" w14:textId="6A34A8B5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Tržišni rizik – od čega alternativni standardizirani pristup (A-SA)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IV. poglavljem 1.a Uredbe (EU) br. 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Taj redak se ne primjenjuje do datuma početka primjene alternativnih pristupa iz dijela trećeg glave IV. poglavlja 1.a i 1.b Uredbe (EU) br. 575/2013 za potrebe stvarnog izračuna kapitalnih zahtjeva iz članka 92. stavka 4. točke (b) podtočke i. i točke (c) i članka 92. stavka 5. točaka (b) i (c) te uredbe.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t>EU 21a</w:t>
            </w:r>
          </w:p>
        </w:tc>
        <w:tc>
          <w:tcPr>
            <w:tcW w:w="7655" w:type="dxa"/>
          </w:tcPr>
          <w:p w14:paraId="511B7362" w14:textId="68D54C08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Tržišni rizik – od čega pojednostavnjeni standardizirani pristup (S-SA)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 325.a Uredbe (EU) br. 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Taj redak se ne primjenjuje do datuma početka primjene alternativnih pristupa iz dijela trećeg glave IV. poglavlja 1.a i 1.b Uredbe (EU) br. 575/2013 za potrebe stvarnog izračuna kapitalnih zahtjeva iz članka 92. stavka 4. točke (b) podtočke i. i točke (c) i članka 92. stavka 5. točaka (b) i (c) te uredbe.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>22</w:t>
            </w:r>
          </w:p>
        </w:tc>
        <w:tc>
          <w:tcPr>
            <w:tcW w:w="7655" w:type="dxa"/>
          </w:tcPr>
          <w:p w14:paraId="7F8B2B75" w14:textId="1EA83C77" w:rsidR="004D588F" w:rsidRPr="00232C88" w:rsidRDefault="48604EBF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Tržišni rizik – od čega alternativni pristup internih modela (A-IMA)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dijelom trećim glavom IV. poglavljem 1.b Uredbe (EU) br. 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Taj redak se ne primjenjuje do datuma početka primjene alternativnih pristupa iz dijela trećeg glave IV. poglavlja 1.a i 1.b Uredbe (EU) br. 575/2013 za potrebe stvarnog izračuna kapitalnih zahtjeva iz članka 92. stavka 4. točke (b) podtočke i. i točke (c) i članka 92. stavka 5. točaka (b) i (c) te uredbe.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>EU 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Velike izloženosti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 92. stavkom 4. točkom b podtočkom ii. Uredbe (EU) br. 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>23</w:t>
            </w:r>
          </w:p>
        </w:tc>
        <w:tc>
          <w:tcPr>
            <w:tcW w:w="7655" w:type="dxa"/>
          </w:tcPr>
          <w:p w14:paraId="3A8A51A2" w14:textId="77777777" w:rsidR="008D0CBA" w:rsidRDefault="00886EA4" w:rsidP="00310C93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Reklasifikacija između knjige trgovanja i knjige pozicija kojima se ne trguje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člankom 104.a stavcima 3., 4. i 6. Uredbe (EU) br. 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Operativni rizik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Iznosi RWEA i kapitalni zahtjevi koji se izračunavaju u skladu s dijelom trećim glavom III. Uredbe (EU) br. 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>EU 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Izloženosti prema kriptoimovini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i kapitalni zahtjevi koji se izračunavaju u skladu s prijelaznim odredbama o bonitetnom tretmanu iz članka 501.d stavka 2. Uredbe (EU) br. 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t xml:space="preserve"> 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Iznos ispod pragova za odbitak (na koji se primjenjuje ponder rizika od 250 %) </w:t>
            </w:r>
          </w:p>
          <w:p w14:paraId="2A67FBCB" w14:textId="71D73BE9" w:rsidR="00355D90" w:rsidRPr="00232C88" w:rsidRDefault="00355D90" w:rsidP="001C2D1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odgovara zbroju iznosa stavki na koje se primjenjuje ponder rizika od 250 % iz članka 48. stavka 4. Uredbe (EU) br. 575/2013 nakon primjene pondera rizika od 250 %. Ti iznosi uključuju:</w:t>
            </w:r>
          </w:p>
          <w:p w14:paraId="7233691E" w14:textId="63D2831D" w:rsidR="00355D90" w:rsidRPr="00232C88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odgođenu poreznu imovinu koja ovisi o budućoj profitabilnosti i proizlazi iz privremenih razlika, a ukupno je jednaka ili manja od 10 % stavki redovnog osnovnog kapitala institucije koje se izračunavaju u skladu s člankom 48. stavkom 1. točkom (a) Uredbe (EU) br. 575/2013,</w:t>
            </w:r>
          </w:p>
          <w:p w14:paraId="3954A3F4" w14:textId="09EAE9D4" w:rsidR="00355D90" w:rsidRPr="009260D6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značajna ulaganja u subjekt financijskog sektora, izravna, neizravna i sintetska ulaganja te institucije u instrumente redovnog osnovnog kapitala tih subjekata koja su ukupno jednaka ili manja od 10 % stavki redovnog osnovnog kapitala institucije koje se izračunavaju u skladu s člankom 48. stavkom 1. točkom (b) Uredbe (EU) br. 575/2013.</w:t>
            </w:r>
          </w:p>
          <w:p w14:paraId="6B4CA360" w14:textId="138451FC" w:rsidR="00355D90" w:rsidRPr="00232C88" w:rsidRDefault="00355D90" w:rsidP="00544FF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Informacije u ovom retku objavljuju se samo u informativne svrhe jer je iznos iz ovog retka iskazan i u retku 1, u kojem institucije objavljuju informacije o kreditnom riziku.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Primijenjena minimalna donja granica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Minimalna donja granica, izražena kao postotak, koju je institucija primijenila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za izračun vrijednosti prilagodbe donje granice u redcima 27. i 28.: faktor „x” u skladu s člankom 92. stavkom 3. i člankom 465. stavkom 1. Uredbe (EU) br. 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se redak ne primjenjuje na institucije na koje se primjenjuje odstupanje iz članka 92. stavka 3. drugog podstavka Uredbe (EU) br. 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Prilagodba donje granice (prije primjene prijelazne gornje granice)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institucije na koje se primjenjuje minimalna donja granica u skladu s člankom 92. stavkom 3. točkom (a) Uredbe (EU) br. 575/2013, povećanje iznosa TREA, na temelju primijenjene minimalne donje granice iz retka 26, bez primjene prijelazne gornje granice iz članka 465. stavka 2. Uredbe (EU) br. 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se redak ne primjenjuje na institucije na koje se primjenjuje odstupanje iz članka 92. stavka 3. drugog podstavka Uredbe (EU) br. 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Prilagodba donje granice (nakon primjene prijelazne gornje granice)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institucije na koje se primjenjuje minimalna donja granica u skladu s člankom 92. stavkom 3. točkom (a) Uredbe (EU) br. 575/2013, povećanje iznosa TREA, na temelju primijenjene minimalne donje granice iz retka 26, nakon primjene prijelazne gornje granice iz članka 465. stavka 2. Uredbe (EU) br. 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se redak ne primjenjuje na institucije na koje se primjenjuje odstupanje iz članka 92. stavka 3. drugog podstavka Uredbe (EU) br. 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FA137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Ukupno</w:t>
            </w:r>
          </w:p>
          <w:p w14:paraId="4DE2E57F" w14:textId="77777777" w:rsidR="008D0CBA" w:rsidRDefault="00FA1376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Ukupni iznos izloženosti riziku koji se izračunava u skladu s člankom 92. stavkom 3. i člancima 95., 96. i 98. Uredbe (EU) br. 575/2013.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redak jednak je zbroju sljedećih redaka: 1, 6, 10, 15, 16, 20, EU22a, 23, 24, EU 24a, 28.</w:t>
            </w:r>
          </w:p>
        </w:tc>
      </w:tr>
    </w:tbl>
    <w:p w14:paraId="2CB62609" w14:textId="77777777" w:rsidR="00C41C25" w:rsidRPr="00EB3146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fr-BE"/>
        </w:rPr>
      </w:pPr>
    </w:p>
    <w:p w14:paraId="62DDE9E1" w14:textId="413A13B5" w:rsidR="00501CEC" w:rsidRPr="00232C88" w:rsidRDefault="00BD36EC" w:rsidP="00501CEC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KM1 – Obrazac za ključne pokazatelje. </w:t>
      </w:r>
      <w:r>
        <w:rPr>
          <w:rFonts w:ascii="Times New Roman" w:hAnsi="Times New Roman"/>
          <w:color w:val="auto"/>
          <w:sz w:val="24"/>
        </w:rPr>
        <w:t>Fiksni unos.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obrazac EU KM1 iz Priloga I. IT rješenjima EBA-e prateći upute u nastavku ovog Priloga, u skladu s člankom 447. točkama od (a) do (g) Uredbe (EU) br. 575/2013 i u skladu s člankom 438. točkom (b) Uredbe (EU) br. 575/2013.</w:t>
      </w: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61B6BC46" w14:textId="4370DEB2" w:rsidR="0CF4BDBF" w:rsidRPr="00EB3146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>a – e</w:t>
            </w:r>
          </w:p>
        </w:tc>
        <w:tc>
          <w:tcPr>
            <w:tcW w:w="7655" w:type="dxa"/>
            <w:vAlign w:val="center"/>
          </w:tcPr>
          <w:p w14:paraId="01DAA312" w14:textId="53CA3AA7" w:rsidR="00A919FB" w:rsidRPr="00232C88" w:rsidRDefault="00187C4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Razdoblja objave T, T-1, T-2, T-3 i T-4 definirana su kao tromjesečna razdoblja i popunjavaju se ovisno o učestalosti utvrđenoj u člancima 433., 433.a, 433.b i 433.c Uredbe (EU) br. 575/2013.</w:t>
            </w:r>
          </w:p>
          <w:p w14:paraId="3BAEA110" w14:textId="7DE115C7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koje informacije sadržane u ovom obrascu objavljuju na tromjesečnoj osnovi iskazuju podatke za razdoblja T, T-1, T-2, T-3 i T-4; institucije koje te informacije objavljuju na polugodišnjoj osnovi iskazuju podatke za razdoblja T, T-2 i T-4, a institucije koje ih objavljuju na godišnjoj osnovi iskazuju podatke za razdoblja T i T-4.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datume koji odgovaraju razdobljima objave.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Podaci za prethodna razdoblja ne objavljuju se pri prvoj objavi podataka.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Redovni osnovni kapital (CET1)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redovnog osnovnog kapitala iznos je koji institucije objavljuju u Prilogu VII. IT rješenjima (redak 29 obrasca EU CC1 Sastav regulatornog kapitala).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Osnovni kapital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osnovnog kapitala iznos je koji institucije objavljuju u Prilogu VII. IT rješenjima EBA-e (redak 45 obrasca EU CC1 Sastav regulatornog kapitala).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kapital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ukupnog kapitala iznos je koji institucije objavljuju u Prilogu VII. IT rješenjima EBA-e (redak 59 obrasca EU CC1 Sastav regulatornog kapitala).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iznos izloženosti riziku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ukupne izloženosti riziku (TREA) iznos je koji institucije objavljuju u Prilogu VII. IT rješenjima EBA-e (redak 60 obrasca EU CC1 Sastav regulatornog kapitala).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Ukupna izloženost riziku prije primjene donje granice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 institucije na koje se primjenjuje minimalna donja granica u skladu s člankom 92. stavkom 3. točkom (a) Uredbe (EU) br. 575/2013, iznos TREA prije primjene donje granice kako je definirano u članku 92. stavku 4. Uredbe (EU) br. 575/2013.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 TREA prije primjene gornje granice, iz objavljenog iznosa treba biti isključena svaka prilagodba TREA zbog primjene minimalne donje granice.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redovnog osnovnog kapitala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redovnog osnovnog kapitala je vrijednost koju institucije objavljuju u Prilogu VII. IT rješenjima EBA-e (redak 61 obrasca EU CC1 Sastav regulatornog kapitala).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redovnog osnovnog kapitala uzimajući u obzir TREA bez primjene donje granice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redovnog osnovnog kapitala kako je definirana u članku 92. stavku 2. točki (a) Uredbe (EU) br. 575/2013, iskazana kao postotni udio iznosa ukupne izloženosti riziku koji se izračunava isključujući učinak minimalne donje granice u skladu s člankom 92. stavkom 4. Uredbe (EU) br. 575/2013.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osnovnog kapitala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osnovnog kapitala je vrijednost koju institucije objavljuju u Prilogu VII. IT rješenjima EBA-e (redak 62 obrasca EU CC1 Sastav regulatornog kapitala).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osnovnog kapitala uzimajući u obzir TREA bez primjene donje granice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osnovnog kapitala kako je definirana u članku 92. stavku 2. točki (b) Uredbe (EU) br. 575/2013, iskazana kao postotni udio iznosa ukupne izloženosti riziku koji se izračunava isključujući učinak minimalne donje granice u skladu s člankom 92. stavkom 4. Uredbe (EU) br. 575/2013.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ukupnog kapitala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ukupnog kapitala je vrijednost koju institucije objavljuju u Prilogu VII. IT rješenjima EBA-e (redak 63 obrasca EU CC1 Sastav regulatornog kapitala).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Nije primjenjivo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ukupnog kapitala uzimajući u obzir TREA bez primjene donje granice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ukupnog kapitala kako je definirana u članku 92. stavku 2. točki (c) Uredbe (EU) br. 575/2013, iskazana kao postotni udio iznosa ukupne izloženosti riziku koji se izračunava isključujući učinak minimalne donje granice u skladu s člankom 92. stavkom 4. Uredbe (EU) br. 575/2013.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Dodatni kapitalni zahtjevi za upravljanje rizicima koji nisu rizik prekomjerne financijske poluge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Dodatni kapitalni zahtjevi za upravljanje rizicima osim rizika prekomjerne financijske poluge koje je nadležno tijelo odredilo u skladu s člankom 104. stavkom 1. točkom (a) Direktive 2013/36/EU, izraženi kao postotak iznosa ukupne izloženosti riziku.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od čega: koji se sastoje od redovnog osnovnog kapitala (postotni bodovi)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Dio dodatnih kapitalnih zahtjeva za upravljanje rizicima osim rizika prekomjerne financijske poluge koje je nadležno tijelo odredilo u skladu s člankom 104. stavkom 1. točkom (a) Direktive 2013/36/EU, koji mora biti ispunjen redovnim osnovnim kapitalom u skladu s člankom 104.a stavkom 4. prvim i trećim podstavkom.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od čega: koji se sastoje od osnovnog kapitala (postotni bodovi)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Dio dodatnih kapitalnih zahtjeva za upravljanje rizicima osim rizika prekomjerne financijske poluge koje je nadležno tijelo odredilo u skladu s člankom 104. stavkom 1. točkom (a) Direktive 2013/36/EU, koji mora biti ispunjen osnovnim kapitalom u skladu s člankom 104.a stavkom 4. prvim i trećim podstavkom.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>EU 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kapitalni zahtjevi u okviru SREP-a (stopa ukupnog kapitalnog zahtjeva – TSCR) (%)</w:t>
            </w:r>
          </w:p>
          <w:p w14:paraId="0EB50A81" w14:textId="77CE0E9A" w:rsidR="003F72E2" w:rsidRPr="00677BB2" w:rsidRDefault="003F72E2" w:rsidP="00677BB2">
            <w:pPr>
              <w:pStyle w:val="InstructionsText"/>
            </w:pPr>
            <w:r>
              <w:t>Zbroj vrijednosti u točkama i. i ii. određuje se kako slijedi:</w:t>
            </w:r>
          </w:p>
          <w:p w14:paraId="5260BB93" w14:textId="1D865CC9" w:rsidR="003F72E2" w:rsidRPr="00677BB2" w:rsidRDefault="003F72E2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stopa ukupnog kapitala (8 %) kako je utvrđena u članku 92. stavku 1. točki (c) Uredbe (EU) br. 575/2013; </w:t>
            </w:r>
          </w:p>
          <w:p w14:paraId="6408D689" w14:textId="2B5BF350" w:rsidR="003F72E2" w:rsidRPr="00677BB2" w:rsidRDefault="77E19EAF" w:rsidP="00677BB2">
            <w:pPr>
              <w:pStyle w:val="InstructionsText"/>
              <w:numPr>
                <w:ilvl w:val="0"/>
                <w:numId w:val="12"/>
              </w:numPr>
            </w:pPr>
            <w:r>
              <w:t>dodatni kapitalni zahtjevi za upravljanje rizicima osim rizika prekomjerne financijske poluge (zahtjevi iz stupa 2. – P2R) koje je nadležno tijelo odredilo u skladu s člankom 104. stavkom 1. točkom (a) Direktive 2013/36/EU, a određuju se u skladu s kriterijima iz Smjernica EBA/GL/2018/03</w:t>
            </w:r>
            <w:r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 („EBA SREP GL”), izraženi kao postotak ukupnih RWEA.</w:t>
            </w:r>
          </w:p>
          <w:p w14:paraId="421B2155" w14:textId="458E132C" w:rsidR="003F72E2" w:rsidRPr="00677BB2" w:rsidRDefault="003F72E2" w:rsidP="00677BB2">
            <w:pPr>
              <w:pStyle w:val="InstructionsText"/>
            </w:pPr>
            <w:r>
              <w:t>U ovoj se stavci navodi stopa ukupnog kapitalnog zahtjeva u okviru SREP-a (TSCR) o kojoj je nadležno tijelo izvijestilo instituciju. Ukupni kapitalni zahtjev u okviru SREP-a definiran je u odjeljku 7.4. i 7.5. EBA-inih smjernica EBA SREP GL.</w:t>
            </w:r>
          </w:p>
          <w:p w14:paraId="16E68C5B" w14:textId="77777777" w:rsidR="009E1F4E" w:rsidRPr="00677BB2" w:rsidRDefault="009E1F4E" w:rsidP="00677BB2">
            <w:pPr>
              <w:pStyle w:val="InstructionsText"/>
            </w:pPr>
            <w:r>
              <w:t>Ako je institucija obveznik primjene minimalne donje granice, iskazani podaci predstavljaju TSCR koji je propisan za ispunjavanje zahtjeva na izvještajni datum u skladu s odredbama članka 104.a stavka 6. Direktive 2013/36/EU.</w:t>
            </w:r>
          </w:p>
          <w:p w14:paraId="25DA925F" w14:textId="2F58FE29" w:rsidR="003F72E2" w:rsidRPr="00232C88" w:rsidRDefault="00704085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nadležno tijelo nije izvijestilo instituciju o dodatnim kapitalnim zahtjevima za upravljanje rizicima osim rizika prekomjerne financijske poluge, objavljuje se samo točka i.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Zaštitni sloj za očuvanje kapitala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regulatornog kapitala koji su institucije dužne održavati u skladu s člankom 128. stavkom 1. i člankom 129. Direktive 2013/36/EU, izraženo kao postotak ukupnih RWEA.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 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Zaštitni sloj za očuvanje kapitala zbog makrobonitetnog ili sistemskog rizika utvrđenog na razini države članice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zaštitnog sloja za očuvanje kapitala zbog makrobonitetnog ili sistemskog rizika utvrđenog na razini države članice koji se može zatražiti u skladu s člankom 458. Uredbe (EU) br. 575/2013 uz zaštitni sloj za očuvanje kapitala, izraženo kao postotak ukupnih RWEA.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249EE5F9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Protuciklički zaštitni sloj kapitala specifičan za instituciju (%)</w:t>
            </w:r>
          </w:p>
          <w:p w14:paraId="7EE95752" w14:textId="048F4470" w:rsidR="008C672C" w:rsidRPr="00677BB2" w:rsidRDefault="59C8E997" w:rsidP="00677BB2">
            <w:pPr>
              <w:pStyle w:val="InstructionsText"/>
            </w:pPr>
            <w:r>
              <w:t>Iznos regulatornog kapitala koji su institucije dužne održavati u skladu s člankom 128. stavkom 2., člankom 130. i člancima od 135. do 140. Direktive 2013/36/EU, izraženo kao postotak ukupnih RWEA.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postotak odražava iznos regulatornog kapitala koji je potreban za ispunjenje odgovarajućih zahtjeva za zaštitni sloj kapitala na datum objave.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>EU 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Zaštitni sloj za sistemski rizik (%)</w:t>
            </w:r>
          </w:p>
          <w:p w14:paraId="1A39C087" w14:textId="523BD954" w:rsidR="008C672C" w:rsidRPr="00677BB2" w:rsidRDefault="59C8E997" w:rsidP="00677BB2">
            <w:pPr>
              <w:pStyle w:val="InstructionsText"/>
            </w:pPr>
            <w:r>
              <w:t>Iznos regulatornog kapitala koji su institucije dužne održavati u skladu s člankom 128. stavkom 5., člancima 133. i 134. Direktive 2013/36/EU, izraženo kao postotak ukupnih RWEA.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postotak odražava iznos regulatornog kapitala koji je potreban za ispunjenje odgovarajućih zahtjeva za zaštitni sloj kapitala na datum objave.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Zaštitni sloj za globalnu sistemski važnu instituciju (%)</w:t>
            </w:r>
          </w:p>
          <w:p w14:paraId="6FDE597A" w14:textId="5D0D3EC2" w:rsidR="00F16314" w:rsidRPr="00677BB2" w:rsidRDefault="564F8672" w:rsidP="00677BB2">
            <w:pPr>
              <w:pStyle w:val="InstructionsText"/>
            </w:pPr>
            <w:r>
              <w:t>Iznos regulatornog kapitala koji su institucije dužne održavati u skladu s člankom 128. stavkom 3. i člankom 131. Direktive 2013/36/EU, izraženo kao postotak ukupnih RWEA.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postotak odražava iznos regulatornog kapitala koji je potreban za ispunjenje odgovarajućih zahtjeva za zaštitni sloj kapitala na datum objave.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 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Zaštitni sloj za ostale sistemski važne institucije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regulatornog kapitala koji su institucije dužne održavati u skladu s člankom 128. stavkom 4. i člankom 131. Direktive 2013/36/EU, izraženo kao postotak ukupnih RWEA.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postotak odražava iznos regulatornog kapitala koji je potreban za ispunjenje odgovarajućih zahtjeva za zaštitni sloj kapitala na datum objave.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Zahtjev za kombinirani zaštitni sloj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skladu s člankom 128. točkom (6) Direktive 2013/36/EU, izraženo kao postotak ukupnih RWEA.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>EU 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Sveukupni kapitalni zahtjevi (OCR) (%)</w:t>
            </w:r>
          </w:p>
          <w:p w14:paraId="27E7760D" w14:textId="77777777" w:rsidR="003F72E2" w:rsidRPr="00677BB2" w:rsidRDefault="003F72E2" w:rsidP="00677BB2">
            <w:pPr>
              <w:pStyle w:val="InstructionsText"/>
            </w:pPr>
            <w:r>
              <w:t>Zbroj i. i ii. određuje se kako slijedi:</w:t>
            </w:r>
          </w:p>
          <w:p w14:paraId="75A891AF" w14:textId="77777777" w:rsidR="003F72E2" w:rsidRPr="00677BB2" w:rsidRDefault="003F72E2" w:rsidP="00677BB2">
            <w:pPr>
              <w:pStyle w:val="InstructionsText"/>
              <w:numPr>
                <w:ilvl w:val="0"/>
                <w:numId w:val="13"/>
              </w:numPr>
            </w:pPr>
            <w:r>
              <w:t>stopa ukupnog kapitalnog zahtjeva u okviru SREP-a iz retka EU 7d;</w:t>
            </w:r>
          </w:p>
          <w:p w14:paraId="5EE9D2EB" w14:textId="1239145E" w:rsidR="003F72E2" w:rsidRPr="00677BB2" w:rsidRDefault="77E19EAF" w:rsidP="00677BB2">
            <w:pPr>
              <w:pStyle w:val="InstructionsText"/>
              <w:numPr>
                <w:ilvl w:val="0"/>
                <w:numId w:val="13"/>
              </w:numPr>
            </w:pPr>
            <w:r>
              <w:t>u mjeri u kojoj je to pravno primjenjivo, stopa zahtjeva za kombinirani zaštitni sloj iz članka 128. točke 6. Direktive 2013/36/EU.</w:t>
            </w:r>
          </w:p>
          <w:p w14:paraId="4B4D7463" w14:textId="52E60BF7" w:rsidR="003F72E2" w:rsidRPr="00677BB2" w:rsidRDefault="003F72E2" w:rsidP="00677BB2">
            <w:pPr>
              <w:pStyle w:val="InstructionsText"/>
            </w:pPr>
            <w:r>
              <w:t>U ovoj se stavci navodi stopa sveukupnog kapitalnog zahtjeva kako je definirana u odjeljku 1.2. EBA-inih smjernica SREP GL.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se ne primjenjuje zahtjev za zaštitni sloj, objavljuje se samo točka i.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Dostupni redovni osnovni kapital nakon ukupnih kapitalnih zahtjeva u okviru SREP-a (%)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Mjera ukupne izloženosti</w:t>
            </w:r>
          </w:p>
          <w:p w14:paraId="7F06FA40" w14:textId="4B87FF94" w:rsidR="00BB2F0A" w:rsidRPr="00232C88" w:rsidRDefault="00A239F6" w:rsidP="00A239F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Mjera ukupne izloženosti u skladu s iznosom koji institucije objavljuju u Prilogu XI. IT rješenjima EBA-e (redak 24 obrasca EU LR2 – LRCom: Zajednička objava omjera financijske poluge).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Omjer financijske poluge (%)</w:t>
            </w:r>
          </w:p>
          <w:p w14:paraId="19D19C40" w14:textId="760F6920" w:rsidR="00BB2F0A" w:rsidRPr="00232C88" w:rsidRDefault="00BB2F0A" w:rsidP="00416DA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Omjer financijske poluge u skladu s vrijednošću koju institucije objavljuju u Prilogu XI.</w:t>
            </w:r>
            <w:bookmarkStart w:id="10" w:name="_Hlk169692988"/>
            <w:r>
              <w:rPr>
                <w:rFonts w:ascii="Times New Roman" w:hAnsi="Times New Roman"/>
                <w:sz w:val="24"/>
              </w:rPr>
              <w:t xml:space="preserve"> IT rješenjima EBA-e </w:t>
            </w:r>
            <w:bookmarkEnd w:id="10"/>
            <w:r>
              <w:rPr>
                <w:rFonts w:ascii="Times New Roman" w:hAnsi="Times New Roman"/>
                <w:sz w:val="24"/>
              </w:rPr>
              <w:t>(redak 25 obrasca EU LR2 – LRCom: Zajednička objava omjera financijske poluge).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t>EU 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Dodatni kapitalni zahtjevi za upravljanje rizikom prekomjerne financijske poluge (%)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Dodatni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kapitalni</w:t>
            </w:r>
            <w:r>
              <w:rPr>
                <w:rFonts w:ascii="Times New Roman" w:hAnsi="Times New Roman"/>
                <w:sz w:val="24"/>
              </w:rPr>
              <w:t xml:space="preserve"> zahtjevi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za upravljanje rizikom prekomjerne financijske poluge</w:t>
            </w:r>
            <w:r>
              <w:rPr>
                <w:rFonts w:ascii="Times New Roman" w:hAnsi="Times New Roman"/>
                <w:sz w:val="24"/>
              </w:rPr>
              <w:t xml:space="preserve"> koje je nadležno tijelo odredilo u skladu s člankom 104. stavkom 1. točkom (a) Direktive 2013/36/EU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, izraženi kao postotak mjere ukupne izloženosti. </w:t>
            </w:r>
          </w:p>
          <w:p w14:paraId="46E7F0BC" w14:textId="2D154485" w:rsidR="000C1BEC" w:rsidRPr="00232C88" w:rsidRDefault="00597D20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Dodatni kapitalni zahtjevi u skladu s vrijednošću koju institucije objavljuju u Prilogu XI. IT rješenjima EBA-e (redak EU-26a obrasca EU LR2 – LRCom: Zajednička objava omjera financijske poluge).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14b</w:t>
            </w:r>
          </w:p>
        </w:tc>
        <w:tc>
          <w:tcPr>
            <w:tcW w:w="7655" w:type="dxa"/>
          </w:tcPr>
          <w:p w14:paraId="2B7D35CB" w14:textId="5C222559" w:rsidR="00381E59" w:rsidRPr="00232C88" w:rsidRDefault="002B7ED3" w:rsidP="00597D20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od čega: koji se sastoje od redovnog osnovnog kapitala (postotni bodovi)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rFonts w:ascii="Times New Roman" w:eastAsia="Book Antiqua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Dio dodatnih</w:t>
            </w:r>
            <w:r>
              <w:rPr>
                <w:rFonts w:ascii="Times New Roman" w:hAnsi="Times New Roman"/>
                <w:sz w:val="24"/>
              </w:rPr>
              <w:t xml:space="preserve"> kapitalnih zahtjeva za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upravljanje rizikom prekomjerne financijske poluge</w:t>
            </w:r>
            <w:r>
              <w:rPr>
                <w:rFonts w:ascii="Times New Roman" w:hAnsi="Times New Roman"/>
                <w:sz w:val="24"/>
              </w:rPr>
              <w:t xml:space="preserve"> koje je nadležno tijelo odredilo u skladu s člankom 104. stavkom 1. točkom (a) Direktive 2013/36/EU,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koji mora biti ispunjen redovnim osnovnim kapitalom u skladu s člankom 104.a stavkom 4. trećim podstavkom. </w:t>
            </w:r>
          </w:p>
          <w:p w14:paraId="68D46321" w14:textId="250E24AF" w:rsidR="000C1BEC" w:rsidRPr="00232C88" w:rsidRDefault="00597D20" w:rsidP="000C1BEC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Dodatni kapitalni zahtjevi u skladu s vrijednošću koju institucije objavljuju u Prilogu XI. IT rješenjima EBA-e (redak EU-26b obrasca EU LR2 – LRCom: Zajednička objava omjera financijske poluge).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zahtjevi za omjer financijske poluge u okviru SREP-a (%)</w:t>
            </w:r>
          </w:p>
          <w:p w14:paraId="12B9013E" w14:textId="77777777" w:rsidR="00505188" w:rsidRPr="00677BB2" w:rsidRDefault="00505188" w:rsidP="00677BB2">
            <w:pPr>
              <w:pStyle w:val="InstructionsText"/>
            </w:pPr>
            <w:r>
              <w:t>Zbroj i. i ii. određuje se kako slijedi:</w:t>
            </w:r>
          </w:p>
          <w:p w14:paraId="5E716F27" w14:textId="0373DF56" w:rsidR="00505188" w:rsidRPr="00677BB2" w:rsidRDefault="00D96782" w:rsidP="00677BB2">
            <w:pPr>
              <w:pStyle w:val="InstructionsText"/>
            </w:pPr>
            <w:r>
              <w:t xml:space="preserve">i. zahtjev za minimalni omjer financijske poluge kako je utvrđen u članku 92. stavku 1. točki (d) Uredbe (EU) br. 575/2013 ili zahtjev za prilagođeni omjer financijske poluge koji se izračunava u skladu s člankom 429.a stavkom 7. Uredbe (EU) br. 575/2013, ovisno o slučaju; </w:t>
            </w:r>
          </w:p>
          <w:p w14:paraId="40C21DE2" w14:textId="09C7D200" w:rsidR="00505188" w:rsidRPr="00677BB2" w:rsidRDefault="00D96782" w:rsidP="00677BB2">
            <w:pPr>
              <w:pStyle w:val="InstructionsText"/>
            </w:pPr>
            <w:r>
              <w:t>ii. dodatni kapitalni zahtjevi za upravljanje rizikom prekomjerne financijske poluge (zahtjevi iz stupa 2. – P2R) koje je nadležno tijelo odredilo u skladu s člankom 104. stavkom 1. točkom (a) Direktive 2013/36/EU, izraženi kao postotak mjere ukupne izloženosti.</w:t>
            </w:r>
          </w:p>
          <w:p w14:paraId="72014476" w14:textId="72428B13" w:rsidR="00505188" w:rsidRPr="00677BB2" w:rsidRDefault="00505188" w:rsidP="00677BB2">
            <w:pPr>
              <w:pStyle w:val="InstructionsText"/>
            </w:pPr>
            <w:r>
              <w:t>U ovoj se stavci navodi stopa ukupnog zahtjeva za omjer financijske poluge u okviru SREP-a o kojoj je nadležno tijelo izvijestilo instituciju.</w:t>
            </w:r>
          </w:p>
          <w:p w14:paraId="35AC4925" w14:textId="264DA7C5" w:rsidR="00505188" w:rsidRPr="00232C88" w:rsidRDefault="00505188" w:rsidP="00A44A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nadležno tijelo nije odredilo dodatne kapitalne zahtjeve za upravljanje rizikom prekomjerne financijske poluge, objavljuje se samo točka i.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677BB2">
            <w:pPr>
              <w:pStyle w:val="InstructionsText"/>
            </w:pPr>
            <w:r>
              <w:t>Zahtjev za zaštitni sloj omjera financijske poluge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 92. stavak 1.a Uredbe (EU) br. 575/2013</w:t>
            </w:r>
          </w:p>
          <w:p w14:paraId="7716A8FF" w14:textId="2792D8EB" w:rsidR="00505188" w:rsidRPr="00232C88" w:rsidRDefault="00505188" w:rsidP="004A2B2B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Primjenjivi zaštitni sloj omjera financijske poluge u skladu s vrijednošću koju institucije objavljuju u Prilogu XI. IT rješenjima EBA-e (redak 27 obrasca EU LR2 – LRCom: Zajednička objava omjera financijske poluge).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>EU 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Sveukupni zahtjev za omjer financijske poluge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redaka EU 14c i EU 14d.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bookmarkStart w:id="11" w:name="OLE_LINK1"/>
            <w:r>
              <w:rPr>
                <w:rFonts w:ascii="Times New Roman" w:hAnsi="Times New Roman"/>
                <w:b/>
                <w:sz w:val="24"/>
              </w:rPr>
              <w:t>Ukupna likvidna imovina visoke kvalitete (HQLA) (ponderirana vrijednost – prosjek)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kao ponderiranu vrijednost objavljuju vrijednost likvidne imovine u skladu s člankom 9. Delegirane uredbe Komisije (EU) 2015/61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/>
                <w:sz w:val="24"/>
              </w:rPr>
              <w:t xml:space="preserve"> prije prilagodbe iz članka 17. stavka 2. Delegirane uredbe (EU) 2015/61.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16a</w:t>
            </w:r>
          </w:p>
        </w:tc>
        <w:tc>
          <w:tcPr>
            <w:tcW w:w="7655" w:type="dxa"/>
          </w:tcPr>
          <w:p w14:paraId="0FDF2F0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Novčani odljev – Ukupna ponderirana vrijednost </w:t>
            </w:r>
          </w:p>
          <w:p w14:paraId="001CA858" w14:textId="412A239E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zbroj ponderiranih vrijednosti svojih novčanih odljeva, kako je objavljen u Prilogu XIII. (redak 16 obrasca EU LIQ1 – Kvantitativne informacije o LCR-u).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>EU 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Novčani priljev – Ukupna ponderirana vrijednost </w:t>
            </w:r>
          </w:p>
          <w:p w14:paraId="7CF5A37A" w14:textId="29FD5A91" w:rsidR="009008FD" w:rsidRPr="00232C88" w:rsidRDefault="009008FD" w:rsidP="009008FD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zbroj ponderiranih vrijednosti svojih novčanih priljeva, kako je objavljen u Prilogu XIII. (redak 20 obrasca EU LIQ1 – Kvantitativne informacije o LCR-u).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16</w:t>
            </w:r>
          </w:p>
        </w:tc>
        <w:tc>
          <w:tcPr>
            <w:tcW w:w="7655" w:type="dxa"/>
          </w:tcPr>
          <w:p w14:paraId="7DCF86AE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neto novčani odljev (usklađena vrijednost)</w:t>
            </w:r>
          </w:p>
          <w:p w14:paraId="1D6EC4CA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objavljuju usklađenu vrijednost neto likvidnosnog odljeva koja je jednaka ukupnim odljevima umanjenima za smanjenje za priljeve izuzete u cijelosti, smanjenje za priljeve na koje se primjenjuje gornja granica od 90 % i smanjenje za priljeve na koje se primjenjuje gornja granica od 75 %.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Koeficijent likvidnosne pokrivenosti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kao usklađenu vrijednost objavljuju postotak stavke „Koeficijent likvidnosne pokrivenosti (%)” kako je definirana u članku 4. stavku 1. Delegirane uredbe (EU)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Koeficijent likvidnosne pokrivenosti jednak je omjeru zaštitnog sloja likvidnosti kreditne institucije i njezinih neto likvidnosnih odljeva tijekom razdoblja stresa u trajanju od 30 kalendarskih dana i iskazuje se kao postotak.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dostupni stabilni izvori financiranja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iznos dostupnih stabilnih izvora financiranja koji se izračunava u skladu s dijelom šestim glavom IV. poglavljem 3. Uredbe (EU) br. 575/2013, kako je objavljen u Prilogu XIII. IT rješenjima (redak 14 obrasca EU LIQ2 – Omjer neto stabilnih izvora financiranja).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zahtijevani stabilni izvori financiranja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iznos propisanih stabilnih izvora financiranja koji se izračunava u skladu s dijelom šestim glavom IV. poglavljem 4. Uredbe (EU) br. 575/2013, kako je objavljen u Prilogu XIII. IT rješenjima (redak 33 obrasca EU LIQ2 – Omjer neto stabilnih izvora financiranja).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Omjer neto stabilnih izvora financiranja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Omjer neto stabilnih izvora financiranja koji se izračunava u skladu s člankom 428.b. Uredbe (EU) br.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232C88" w:rsidRDefault="00BD36EC" w:rsidP="00D845D4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INS1 – Ulaganja u društva za osiguranje. </w:t>
      </w:r>
      <w:r>
        <w:rPr>
          <w:rFonts w:ascii="Times New Roman" w:hAnsi="Times New Roman"/>
          <w:sz w:val="24"/>
        </w:rPr>
        <w:t>Fiksni unos.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obrazac EU INS1 iz Priloga I. prateći upute u nastavku ovog Priloga, u skladu s člankom 438. točkom (f) Uredbe (EU) br. 575/2013.</w:t>
      </w:r>
    </w:p>
    <w:p w14:paraId="5970EF08" w14:textId="77777777" w:rsidR="00295952" w:rsidRPr="00EB3146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 izloženosti</w:t>
            </w:r>
          </w:p>
          <w:p w14:paraId="18F1CB5D" w14:textId="190541F5" w:rsidR="00295952" w:rsidRPr="00232C88" w:rsidRDefault="00295952" w:rsidP="0097538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izloženosti instrumenata regulatornog kapitala koji se drže u društvu za osiguranje, društvu za reosiguranje ili osigurateljnom holdingu koje institucije ne odbijaju od svojeg regulatornog kapitala pri izračunu kapitalnih zahtjeva na pojedinačnoj, potkonsolidiranoj i konsolidiranoj osnovi u skladu s člankom 49. Uredbe (EU) br. 575/2013.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izloženosti rizicima</w:t>
            </w:r>
          </w:p>
          <w:p w14:paraId="5F873619" w14:textId="1505D88C" w:rsidR="00295952" w:rsidRPr="00232C88" w:rsidRDefault="00295952" w:rsidP="0028210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izloženosti rizicima instrumenata regulatornog kapitala koji se drže u društvu za osiguranje, društvu za reosiguranje ili osigurateljnom holdingu koje institucije ne odbijaju od svojeg regulatornog kapitala pri izračunu kapitalnih zahtjeva na pojedinačnoj, potkonsolidiranoj i konsolidiranoj osnovi u skladu s člankom 49. Uredbe (EU) br. 575/2013.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INS2 – Financijski konglomerati – Informacije o regulatornom kapitalu i stopi adekvatnosti kapitala. </w:t>
      </w:r>
      <w:r>
        <w:rPr>
          <w:rFonts w:ascii="Times New Roman" w:hAnsi="Times New Roman"/>
          <w:sz w:val="24"/>
        </w:rPr>
        <w:t>Fiksni unos.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obrazac EU INS2 iz Priloga I. IT rješenjima EBA-e prateći upute u nastavku ovog Priloga, u skladu s člankom 438. točkom (g) Uredbe (EU) br. 575/2013.</w:t>
      </w:r>
    </w:p>
    <w:p w14:paraId="2C33B06C" w14:textId="77777777" w:rsidR="00295952" w:rsidRPr="00EB3146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Dodatni kapitalni zahtjevi financijskog konglomerata (iznos)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dodatnih kapitalnih zahtjeva financijskog konglomerata koji se izračunava u skladu s člankom 6. Direktive 2002/87/EZ Europskog parlamenta i Vijeća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rFonts w:ascii="Times New Roman" w:hAnsi="Times New Roman"/>
                <w:sz w:val="24"/>
              </w:rPr>
              <w:t xml:space="preserve"> i Priloga I. toj direktivi ako se primjenjuje metoda 1 ili 2 iz Priloga I.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adekvatnosti kapitala financijskog konglomerata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adekvatnosti kapitala financijskog konglomerata izračunava se u skladu s člankom 6. Direktive 2002/87/EZ Europskog parlamenta i Vijeća i Priloga I. toj direktivi ako se primjenjuje metoda 1 ili 2 iz Priloga I.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Tablica EU OVC – Informacije o postupku procjene adekvatnosti internog kapitala. </w:t>
      </w:r>
      <w:r>
        <w:rPr>
          <w:rFonts w:ascii="Times New Roman" w:hAnsi="Times New Roman"/>
          <w:sz w:val="24"/>
        </w:rPr>
        <w:t>Fleksibilan format.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tablicu EU OVC iz Priloga I. prateći upute u nastavku ovog Priloga, u skladu s člankom 438. točkama (a) i (c) Uredbe (EU) br. 575/2013.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Pristup procjeni adekvatnosti internog kapitala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objavljuju sažetak svojeg pristupa procjeni adekvatnosti svojeg internog kapitala za potporu tekućim i budućim aktivnostima.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Na zahtjev relevantnog nadležnog tijela, rezultat postupka procjene adekvatnosti internoga kapitala institucije</w:t>
            </w:r>
          </w:p>
          <w:p w14:paraId="32D8B55C" w14:textId="77777777" w:rsidR="00D15B1C" w:rsidRPr="00232C88" w:rsidRDefault="00B05624" w:rsidP="00B2180A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Institucije ove informacije objavljuju samo na zahtjev relevantnog nadležnog tijela.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CMS1 – Usporedba modeliranih i standardiziranih iznosa izloženosti ponderiranih rizikom na razini rizika. </w:t>
      </w:r>
      <w:r>
        <w:rPr>
          <w:rFonts w:ascii="Times New Roman" w:hAnsi="Times New Roman"/>
          <w:sz w:val="24"/>
        </w:rPr>
        <w:t>Fiksni unos.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obrazac EU CMS1 iz Priloga I. prateći upute u nastavku ovog Priloga, u skladu s člankom 438. točkama (d) i (da) Uredbe (EU) br. 575/2013.</w:t>
      </w:r>
    </w:p>
    <w:p w14:paraId="57705F0E" w14:textId="35F79DC6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Ovaj obrazac objavljuju samo one institucije koje za izračun iznosa izloženosti ponderiranih rizikom primjenjuju interne modele koje je odobrilo nadležno tijelo i na koje se ne primjenjuje izuzeće iz članka 92. stavka 3. drugog podstavka Uredbe (EU) br. 575/2013.</w:t>
      </w:r>
    </w:p>
    <w:p w14:paraId="022B4D4D" w14:textId="5C9C14ED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 opisu koji prilažu obrascu objašnjavaju, ako je relevantno, učinak primjene donjih granica za kapital i neodbijanja stavki od regulatornog kapitala na izračun regulatornog kapitala i iznosa izloženosti ponderiranih rizikom.</w:t>
      </w:r>
    </w:p>
    <w:p w14:paraId="2DEA712B" w14:textId="0B1ED4FA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Osim toga, ako su u skladu s uputama o redcima u nastavku izloženosti u skladu s IRB pristupom isključene iz kategorija izloženosti u skladu s IRB pristupom i objavljene u jednoj od kategorija izloženosti u skladu sa standardiziranim pristupom koje su navedene u obrascu, institucije u opisu koji prilažu obrascu navode svoje izvorne kategorije izloženosti u skladu s IRB pristupom. </w:t>
      </w:r>
    </w:p>
    <w:p w14:paraId="7F5020E2" w14:textId="77777777" w:rsidR="004E19D2" w:rsidRPr="00EB3146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za modelirane pristupe za čiju primjenu institucije imaju odobrenje nadzornih tijela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Dio RWEA koji se izračunava s internim modelima koje je odobrilo nadležno tijelo.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za portfelje u kojima se primjenjuju standardizirani pristupi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Dio iznosa RWEA koji se izračunava u skladu sa standardiziranim pristupima.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Ukupni stvarni RWEA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Zbroj stupaca a i b; tj. RWEA koje institucije iskazuju u skladu s primjenjivim pristupima. Ukupni stvarni RWEA objavljeni u retku 8. prikazuju iznos prije prilagodbe minimalne donje granice.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izračunati primjenom potpunog standardiziranog pristupa</w:t>
            </w:r>
          </w:p>
          <w:p w14:paraId="483ED9BD" w14:textId="77777777" w:rsidR="00DD7C7A" w:rsidRDefault="6016A13E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Iznosi RWEA za potrebe usporedbe iznosa rizikom ponderirane imovine dobivenog primjenom potpunog standardiziranog pristupa (S-TREA) i modeliranih RWEA za čiju primjenu banke imaju odobrenje nadzornih tijela u skladu s bazelskim okvirom i kako je propisano člankom 438. stavkom (da) Uredbe (EU) br. 575/2013.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objavljuju RWEA izračunate u skladu s člankom 92. stavcima 5. i 6. Uredbe (EU) br. 575/2013, bez primjene prijelaznih odredbi iz članka 465. Uredbe (EU) br. 575/2013.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objavljen u retku 8 bit će osnova za izračun minimalne donje granice na kraju prijelaznog razdoblja za minimalnu donju granicu.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koji su osnova minimalne donje granice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Iznosi RWEA za potrebe osnove izračuna minimalne donje granice kako je propisano člankom 438. stavkom (d) Uredbe (EU) br. 575/2013. Institucije objavljuju RWEA izračunate u skladu s člankom 92. stavcima 5. i 6. Uredbe (EU) br. 575/2013, nakon primjene prijelaznih odredbi iz članka 465. Uredbe (EU) br. 575/2013.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Ukupni iznos RWEA objavljen u retku 8. osnova je za izračun minimalne donje granice. </w:t>
            </w:r>
          </w:p>
          <w:p w14:paraId="343C355A" w14:textId="1C3BCD00" w:rsidR="00C83C5F" w:rsidRPr="00EB3146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(ne uključujući kreditni rizik druge ugovorne strane)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se izračunavaju u skladu s dijelom trećim glavom II. poglavljima od 1. do 4. Uredbe (EU) br. 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Kreditni rizik druge ugovorne strane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se izračunavaju u skladu s dijelom trećim glavom II. poglavljem 6. Uredbe (EU) br. 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Prilagodba kreditnom vrednovanju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se izračunavaju u skladu s dijelom trećim glavom VI. Uredbe (EU) br. 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Sekuritizacijske izloženosti u knjizi pozicija kojima se ne trguje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se izračunavaju u skladu s dijelom trećim glavom II. poglavljem 5. Uredbe (EU) br. 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Tržišni rizik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se izračunavaju u skladu s dijelom trećim glavom IV. Uredbe (EU) br. 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Operativni rizik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se izračunavaju u skladu s dijelom trećim glavom III. Uredbe (EU) br. 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Drugi iznosi izloženosti ponderirani rizikom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koji nisu obuhvaćeni redcima od 1 do 6 (npr. RWEA koji proizlaze iz rizika namire (redak 15 u obrascu OV1) i iznosi ispod praga za odbitak (redak 25 u obrascu OV1).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Ukupno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redaka od 1 do 7.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CMS2 – Usporedba modeliranih i standardiziranih iznosa izloženosti ponderiranih rizikom za kreditni rizik na razini kategorije imovine. </w:t>
      </w:r>
      <w:r>
        <w:rPr>
          <w:rFonts w:ascii="Times New Roman" w:hAnsi="Times New Roman"/>
          <w:sz w:val="24"/>
        </w:rPr>
        <w:t>Fiksni unos.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ispunjavaju obrazac EU CMS2 iz Priloga I. prateći upute u nastavku ovog Priloga, u skladu s člankom 438. točkama (d) i (da) Uredbe (EU) br. 575/2013.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Ovaj obrazac objavljuju samo one institucije koje izračunavaju RWEA za kreditni rizik primjenom pristupa zasnovanog na internim rejting sustavima (IRB), u skladu s dijelom trećim glavom II. poglavljem 3. Uredbe (EU) br. 575/2013 i na koje se ne primjenjuje izuzeće iz članka 92. stavka 3. drugog podstavka Uredbe (EU) br. 575/2013.</w:t>
      </w:r>
    </w:p>
    <w:p w14:paraId="0BBC334C" w14:textId="77777777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Institucije u opisu koji prilažu obrascu objašnjavaju, ako je relevantno, učinak primjene donjih granica za kapital i neodbijanja stavki od regulatornog kapitala na izračun regulatornog kapitala i iznosa izloženosti ponderiranih rizikom.</w:t>
      </w:r>
    </w:p>
    <w:p w14:paraId="21FDE9C5" w14:textId="77777777" w:rsidR="00054B2E" w:rsidRPr="00EB3146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</w:rPr>
      </w:pPr>
    </w:p>
    <w:p w14:paraId="0FD192F2" w14:textId="77777777" w:rsidR="004E19D2" w:rsidRPr="00EB3146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za modelirane pristupe za čiju primjenu institucije imaju odobrenje nadzornih tijela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Dio iznosa RWEA koji se izračunava pristupima zasnovanima na internim rejting sustavima (IRB) koje je odobrilo nadležno tijelo.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za stupac (a) ako su ponovno izračunati primjenom standardiziranog pristupa</w:t>
            </w:r>
          </w:p>
          <w:p w14:paraId="23C2E1CF" w14:textId="081428BE" w:rsidR="00994B4F" w:rsidRPr="00232C88" w:rsidRDefault="00994B4F" w:rsidP="004E19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Iznosi RWEA izračunati primjenom IRB pristupa koji je odobrilo nadležno tijelo iz stupca (a), ponovno izračunati primjenom standardiziranog pristupa. Drugim riječima, odgovarajući RWEA u skladu sa standardiziranim pristupom za stupac (a).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Ukupni stvarni RWEA </w:t>
            </w:r>
          </w:p>
          <w:p w14:paraId="13A79EFF" w14:textId="377057AF" w:rsidR="00994B4F" w:rsidRPr="00232C88" w:rsidRDefault="00E86C14" w:rsidP="001B30FD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RWEA za koje institucije iskazuju stvarne zahtjeve. Zbroj RWEA za IRB pristupe za čiju primjenu institucije imaju odobrenje nadzornih tijela i RWEA u skladu sa standardiziranim pristupima.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izračunati primjenom potpunog standardiziranog pristupa</w:t>
            </w:r>
          </w:p>
          <w:p w14:paraId="023D1C65" w14:textId="77777777" w:rsidR="00192044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Iznosi RWEA za potrebe usporedbe iznosa rizikom ponderirane imovine dobivenog primjenom potpunog standardiziranog pristupa (S-RWEA) na razini kategorije imovine i odgovarajućih modeliranih RWEA za čiju primjenu banke imaju odobrenje nadzornih tijela u skladu s bazelskim okvirom i kako je propisano člankom 438. stavkom (da) Uredbe (EU) br. 575/2013.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objavljuju iznose RWEA izračunate u skladu s člankom 92. stavcima 5. i 6. Uredbe (EU) br. 575/2013, bez primjene prijelaznih odredbi iz članka 465. Uredbe (EU) br. 575/2013. </w:t>
            </w:r>
          </w:p>
          <w:p w14:paraId="585F96E7" w14:textId="5936CF82" w:rsidR="00AF5BD3" w:rsidRPr="00EB3146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RWEA koji su osnova minimalne donje granice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Iznosi RWEA za potrebe osnove izračuna minimalne donje granice kako je propisano člankom 438. stavkom (d) Uredbe (EU) br. 575/2013. Institucije objavljuju iznose RWEA izračunate u skladu s člankom 92. stavcima 5. i 6. Uredbe (EU) br. 575/2013, primjenjujući prijelazne odredbe iz članka 465. Uredbe (EU) br. 575/2013.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1, EU1a, EU1b, EU1c, EU1d, 2, 3,5, 5.1, 5.2, EU 5a, EU 5b, EU 5c, 6, 6.1, EU6.1a, EU6.1b,EU 7a, EU 7b, EU 7c, EU 7d, EU 7e, EU 7f, 8</w:t>
            </w:r>
          </w:p>
        </w:tc>
        <w:tc>
          <w:tcPr>
            <w:tcW w:w="7655" w:type="dxa"/>
          </w:tcPr>
          <w:p w14:paraId="73A562A1" w14:textId="272AA28F" w:rsidR="00192044" w:rsidRDefault="0046019D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uključuju raščlambu iznosa izloženosti ponderiranih rizikom po kategoriji izloženosti i potkategoriji izloženosti kako su definirane u skladu s člankom 147. Uredbe (EU) br. 575/2013. </w:t>
            </w:r>
          </w:p>
          <w:p w14:paraId="6D77E411" w14:textId="48760B89" w:rsidR="008C231E" w:rsidRPr="00232C88" w:rsidRDefault="00091AA5" w:rsidP="00A02839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bi se izloženosti u skladu s IRB pristupom rasporedile u drugu kategoriju izloženosti u skladu sa standardiziranim pristupom (SA), izloženosti u skladu s IRB pristupom isključuju se iz kategorija izloženosti u skladu s IRB pristupom i objavljuju u jednoj od sljedećih kategorija izloženosti u skladu sa standardiziranim pristupom, kako su definirane u skladu s člankom 112. Uredbe (EU) br. 575/2013:</w:t>
            </w:r>
          </w:p>
          <w:p w14:paraId="3C3411A5" w14:textId="0C8E84A8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kategorizirani kao multilateralne razvojne banke u skladu sa standardiziranim pristupom</w:t>
            </w:r>
          </w:p>
          <w:p w14:paraId="3FAF52BD" w14:textId="5283EA03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kategorizirani kao međunarodne organizacije u skladu sa standardiziranim pristupom</w:t>
            </w:r>
          </w:p>
          <w:p w14:paraId="112B3885" w14:textId="29B54BC9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kategorizirane kao osigurane nekretninama i ADC izloženosti u skladu sa standardiziranim pristupom</w:t>
            </w:r>
          </w:p>
          <w:p w14:paraId="2EFC3839" w14:textId="2B291791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kategorizirane kao izloženosti sa statusom neispunjavanja obveza u skladu sa standardiziranim pristupom</w:t>
            </w:r>
          </w:p>
          <w:p w14:paraId="562F01DF" w14:textId="6279DC55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kategorizirane kao podređene dužničke izloženosti u skladu sa standardiziranim pristupom</w:t>
            </w:r>
          </w:p>
          <w:p w14:paraId="78D8C21E" w14:textId="78068DBB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kategorizirane kao pokrivene obveznice u skladu sa standardiziranim pristupom; kategorizirane kao potraživanja prema institucijama i trgovačkim društvima s kratkoročnom kreditnom procjenom u skladu sa standardiziranim pristupom</w:t>
            </w:r>
            <w:r w:rsidR="0014073E">
              <w:rPr>
                <w:rFonts w:ascii="Times New Roman" w:hAnsi="Times New Roman"/>
                <w:sz w:val="24"/>
              </w:rPr>
              <w:t>.</w:t>
            </w:r>
          </w:p>
          <w:p w14:paraId="71BDF450" w14:textId="7DC7998E" w:rsidR="00700A5A" w:rsidRPr="00232C88" w:rsidRDefault="00700A5A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Za kategoriju izloženosti „Trgovačka društva” institucije objavljuju i međuzbrojeve za F-IRB izloženosti i za A-IRB izloženosti u redcima 5.1 i 5.2 ovog obrasca.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Redci 4 i 7. nisu primjenjivi u EU-u.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U retku 8 „Ostalo” institucije objavljuju izloženosti raspoređene u kategoriju izloženosti u skladu s IRB pristupom „Druga imovina bez kreditnih obveza” i izloženosti u skladu s IRB pristupom koje bi bile raspoređene u kategoriju izloženosti u skladu sa standardiziranim pristupom „Ostale stavke”.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Ukupno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redaka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930C" w14:textId="77777777" w:rsidR="0021137D" w:rsidRDefault="0021137D" w:rsidP="00A00E34">
      <w:r>
        <w:separator/>
      </w:r>
    </w:p>
    <w:p w14:paraId="2D8E0CE6" w14:textId="77777777" w:rsidR="0021137D" w:rsidRDefault="0021137D"/>
  </w:endnote>
  <w:endnote w:type="continuationSeparator" w:id="0">
    <w:p w14:paraId="190EE95B" w14:textId="77777777" w:rsidR="0021137D" w:rsidRDefault="0021137D" w:rsidP="00A00E34">
      <w:r>
        <w:continuationSeparator/>
      </w:r>
    </w:p>
    <w:p w14:paraId="6C1B14C8" w14:textId="77777777" w:rsidR="0021137D" w:rsidRDefault="0021137D"/>
  </w:endnote>
  <w:endnote w:type="continuationNotice" w:id="1">
    <w:p w14:paraId="25A095AC" w14:textId="77777777" w:rsidR="0021137D" w:rsidRDefault="00211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00"/>
    <w:family w:val="auto"/>
    <w:pitch w:val="variable"/>
    <w:sig w:usb0="A00002EF" w:usb1="1000E0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a14="http://schemas.microsoft.com/office/mac/drawingml/2011/main" xmlns:a="http://schemas.openxmlformats.org/drawingml/2006/main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19EA" w14:textId="77777777" w:rsidR="0021137D" w:rsidRPr="00DB5E8F" w:rsidRDefault="0021137D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7D3C1AAA" w14:textId="77777777" w:rsidR="0021137D" w:rsidRDefault="0021137D" w:rsidP="00A00E34">
      <w:r>
        <w:continuationSeparator/>
      </w:r>
    </w:p>
    <w:p w14:paraId="05D7EA3E" w14:textId="77777777" w:rsidR="0021137D" w:rsidRDefault="0021137D"/>
  </w:footnote>
  <w:footnote w:type="continuationNotice" w:id="1">
    <w:p w14:paraId="47C7EB89" w14:textId="77777777" w:rsidR="0021137D" w:rsidRDefault="0021137D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  <w:t xml:space="preserve">Uredba (EU) br. 575/2013 Europskog parlamenta i Vijeća od 26. lipnja 2013. o bonitetnim zahtjevima za kreditne institucije i o izmjeni Uredbe (EU) br. 648/2012, kako je izmijenjena Uredbom (EU) 2024/1623 </w:t>
      </w:r>
      <w:r>
        <w:rPr>
          <w:color w:val="444444"/>
        </w:rPr>
        <w:t>(</w:t>
      </w:r>
      <w:hyperlink r:id="rId1" w:history="1">
        <w:r>
          <w:rPr>
            <w:color w:val="800080"/>
            <w:u w:val="single"/>
          </w:rPr>
          <w:t>SL L 176, 27.6.2013., str. 1.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– EU – 2024/1623 – HR –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>Revidirane smjernice EBA/GL/2018/03 Europskog nadzornog tijela za bankarstvo od 19. srpnja 2018. o zajedničkim postupcima i metodologijama za postupak nadzorne provjere i ocjene (SREP) i nadzorno testiranje otpornosti na stres.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Delegirana uredba Komisije (EU) 2015/61 оd 10. listopada 2014. o dopuni Uredbe (EU) br. 575/2013 Europskog parlamenta i Vijeća u pogledu zahtjeva za likvidnosnu pokrivenost kreditnih institucija (SL L 11, 17.1.2015., str. 1.).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Direktiva 2002/87/EZ Europskog parlamenta i Vijeća od 16. prosinca 2002. o dodatnom nadzoru kreditnih institucija, društava za osiguranje i investicijskih društava u financijskom konglomeratu i o izmjeni direktiva Vijeća 73/239/EEZ, 79/267/EEZ, 92/49/EEZ, 92/96/EEZ, 93/6/EEZ i 93/22/EEZ i direktiva 98/78/EZ i 2000/12/EZ Europskog parlamenta i Vijeća (SL L 35, 11.2.2003., str. 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>[Type text]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itle:  - Description: EBA Regular Use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69804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243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073E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3146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hr-HR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hr-HR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677BB2"/>
    <w:rPr>
      <w:rFonts w:ascii="Times New Roman" w:hAnsi="Times New Roman" w:cs="Times New Roman"/>
      <w:b/>
      <w:bCs/>
      <w:lang w:val="hr-HR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677BB2"/>
    <w:pPr>
      <w:spacing w:after="120"/>
      <w:ind w:left="61" w:hanging="2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hr-HR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hr-HR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hr-HR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hr-HR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hr-HR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hr-HR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hr-HR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AB35-2A44-4FE8-8C3C-80B862A2B191}"/>
</file>

<file path=customXml/itemProps3.xml><?xml version="1.0" encoding="utf-8"?>
<ds:datastoreItem xmlns:ds="http://schemas.openxmlformats.org/officeDocument/2006/customXml" ds:itemID="{B3B23D71-2022-43FD-8883-68EA6DB6BD49}"/>
</file>

<file path=customXml/itemProps4.xml><?xml version="1.0" encoding="utf-8"?>
<ds:datastoreItem xmlns:ds="http://schemas.openxmlformats.org/officeDocument/2006/customXml" ds:itemID="{CC19BF63-1334-4DD8-8224-2F6A36C7306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5777</Words>
  <Characters>32758</Characters>
  <Application>Microsoft Office Word</Application>
  <DocSecurity>0</DocSecurity>
  <Lines>839</Lines>
  <Paragraphs>500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2024-10-18T08:18:00Z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