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 xml:space="preserve">PŘÍLOHA VIII – Pokyny k šablonám pro zpřístupňování informací o kapitálu</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b/>
          <w:bCs/>
          <w:sz w:val="24"/>
          <w:rFonts w:ascii="Times New Roman" w:hAnsi="Times New Roman" w:cs="Times New Roman"/>
        </w:rPr>
      </w:pPr>
      <w:r>
        <w:rPr>
          <w:b/>
          <w:sz w:val="24"/>
          <w:rFonts w:ascii="Times New Roman" w:hAnsi="Times New Roman"/>
        </w:rPr>
        <w:t xml:space="preserve">Šablona EU CC1 – Složení regulatorního kapitálu</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Informace uvedené v čl. 437 písm. a), d), e) a f) nařízení (EU) č. 575/2013</w:t>
      </w:r>
      <w:r w:rsidRPr="007F4CC8">
        <w:rPr>
          <w:rStyle w:val="FootnoteReference"/>
          <w:rFonts w:cs="Times New Roman"/>
          <w:color w:val="000000"/>
        </w:rPr>
        <w:footnoteReference w:id="1"/>
      </w:r>
      <w:r>
        <w:rPr>
          <w:sz w:val="24"/>
          <w:rFonts w:ascii="Times New Roman" w:hAnsi="Times New Roman"/>
        </w:rPr>
        <w:t xml:space="preserve"> (dále jen „CRR“) zpřístupňují instituce podle níže uvedených pokynů k vyplnění šablony EU CC1, obsažené v příloze VII IT řešení orgánu EBA.</w:t>
      </w:r>
    </w:p>
    <w:p w14:paraId="33ADC7E7"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Pro účely šablony EU CC1 normativní úpravy zahrnují odpočty od kapitálu a obezřetnostní filtry.</w:t>
      </w:r>
    </w:p>
    <w:p w14:paraId="2CDAAE74"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Instituce musí vyplnit sloupec „b“ této šablony, aby uvedly zdroj každého významného vstupu, a to s křížovými odkazy na odpovídající řádky v šabloně EU CC2.</w:t>
      </w:r>
    </w:p>
    <w:p w14:paraId="5C636132" w14:textId="77777777" w:rsidR="00C85971" w:rsidRPr="007F4CC8" w:rsidRDefault="00C85971" w:rsidP="00C85971">
      <w:pPr>
        <w:numPr>
          <w:ilvl w:val="0"/>
          <w:numId w:val="2"/>
        </w:numPr>
        <w:spacing w:before="120" w:after="120"/>
        <w:jc w:val="both"/>
        <w:rPr>
          <w:bCs/>
          <w:sz w:val="24"/>
          <w:rFonts w:ascii="Times New Roman" w:hAnsi="Times New Roman" w:cs="Times New Roman"/>
        </w:rPr>
      </w:pPr>
      <w:r>
        <w:rPr>
          <w:sz w:val="24"/>
          <w:rFonts w:ascii="Times New Roman" w:hAnsi="Times New Roman"/>
        </w:rPr>
        <w:t xml:space="preserve">V komentáři připojeném k šabloně instituce popíší všechna omezení uplatněná na výpočet kapitálu v souladu s CRR a nástroje, obezřetnostní filtry a odpočty, na které se tato omezení vztahují.</w:t>
      </w:r>
      <w:r>
        <w:rPr>
          <w:sz w:val="24"/>
          <w:rFonts w:ascii="Times New Roman" w:hAnsi="Times New Roman"/>
        </w:rPr>
        <w:t xml:space="preserve"> </w:t>
      </w:r>
      <w:r>
        <w:rPr>
          <w:sz w:val="24"/>
          <w:rFonts w:ascii="Times New Roman" w:hAnsi="Times New Roman"/>
        </w:rPr>
        <w:t xml:space="preserve">Provádí-li se výpočet kapitálových poměrů pomocí složek kapitálu určených na jiném základě, než který je stanoven v CRR, uvedou rovněž komplexní objasnění základu použitého pro výpočet těchto poměrů kapitálu.</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Odkazy na právní předpisy a pokyny</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b/>
                <w:sz w:val="24"/>
                <w:rFonts w:ascii="Times New Roman" w:hAnsi="Times New Roman" w:cs="Times New Roman"/>
              </w:rPr>
            </w:pPr>
            <w:r>
              <w:rPr>
                <w:b/>
                <w:sz w:val="24"/>
                <w:rFonts w:ascii="Times New Roman" w:hAnsi="Times New Roman"/>
              </w:rPr>
              <w:t xml:space="preserve">Řádek</w:t>
            </w:r>
          </w:p>
        </w:tc>
        <w:tc>
          <w:tcPr>
            <w:tcW w:w="7242" w:type="dxa"/>
            <w:shd w:val="clear" w:color="auto" w:fill="D9D9D9" w:themeFill="background1" w:themeFillShade="D9"/>
          </w:tcPr>
          <w:p w14:paraId="3586AD3A" w14:textId="77777777" w:rsidR="00C85971" w:rsidRPr="007F4CC8" w:rsidRDefault="00C85971" w:rsidP="00D819DE">
            <w:pPr>
              <w:rPr>
                <w:b/>
                <w:sz w:val="24"/>
                <w:rFonts w:ascii="Times New Roman" w:hAnsi="Times New Roman" w:cs="Times New Roman"/>
              </w:rPr>
            </w:pPr>
            <w:r>
              <w:rPr>
                <w:b/>
                <w:sz w:val="24"/>
                <w:rFonts w:ascii="Times New Roman" w:hAnsi="Times New Roman"/>
              </w:rPr>
              <w:t xml:space="preserve">Vysvětlení</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w:t>
            </w:r>
          </w:p>
        </w:tc>
        <w:tc>
          <w:tcPr>
            <w:tcW w:w="7242" w:type="dxa"/>
          </w:tcPr>
          <w:p w14:paraId="6D216B7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Kapitálové nástroje a související emisní ážio</w:t>
            </w:r>
          </w:p>
          <w:p w14:paraId="3624D9E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Kapitálové nástroje a související emisní ážio v souladu s čl. 26 odst. 1 písm. a) a b) a články 27, 28 a 29 CRR a seznamem orgánu EBA podle čl. 26 odst. 3 CRR, a dále jejich členění podle typu nástroje.</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w:t>
            </w:r>
          </w:p>
        </w:tc>
        <w:tc>
          <w:tcPr>
            <w:tcW w:w="7242" w:type="dxa"/>
            <w:vAlign w:val="center"/>
          </w:tcPr>
          <w:p w14:paraId="5CAB890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Nerozdělený zisk</w:t>
            </w:r>
          </w:p>
          <w:p w14:paraId="3BB53B0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Nerozdělený zisk před veškerými normativními úpravami podle čl. 26 odst. 1 písm. c) CRR (před zahrnutím mezitímního čistého zisku nebo ztrát).</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w:t>
            </w:r>
          </w:p>
        </w:tc>
        <w:tc>
          <w:tcPr>
            <w:tcW w:w="7242" w:type="dxa"/>
            <w:vAlign w:val="center"/>
          </w:tcPr>
          <w:p w14:paraId="32D3B93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Kumulovaný ostatní úplný výsledek hospodaření (a jiné rezervy)</w:t>
            </w:r>
          </w:p>
          <w:p w14:paraId="7F75661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Kumulovaný ostatní úplný výsledek hospodaření a jiné rezervy podle čl. 26 odst. 1 písm. d) a e) CRR.</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EU-3a</w:t>
            </w:r>
          </w:p>
        </w:tc>
        <w:tc>
          <w:tcPr>
            <w:tcW w:w="7242" w:type="dxa"/>
            <w:vAlign w:val="center"/>
          </w:tcPr>
          <w:p w14:paraId="780A3FE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Rezervní fondy na všeobecná bankovní rizika</w:t>
            </w:r>
          </w:p>
          <w:p w14:paraId="3C42716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Prostředky na všeobecná bankovní rizika podle čl. 26 odst. 1 písm. f) CRR.</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w:t>
            </w:r>
          </w:p>
        </w:tc>
        <w:tc>
          <w:tcPr>
            <w:tcW w:w="7242" w:type="dxa"/>
            <w:vAlign w:val="center"/>
          </w:tcPr>
          <w:p w14:paraId="1293988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kvalifikovaných položek uvedených v čl. 484 odst. 3 CRR a souvisejícího emisního ážia podléhající postupnému odstranění z kmenového kapitálu tier 1.</w:t>
            </w:r>
          </w:p>
          <w:p w14:paraId="434ED6B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kvalifikovaných položek uvedených v čl. 484 odst. 3 CRR a souvisejícího emisního ážia podléhající postupnému odstranění z kmenového kapitálu tier 1, jak je popsáno v čl. 486 odst. 2 CRR.</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w:t>
            </w:r>
          </w:p>
        </w:tc>
        <w:tc>
          <w:tcPr>
            <w:tcW w:w="7242" w:type="dxa"/>
            <w:vAlign w:val="center"/>
          </w:tcPr>
          <w:p w14:paraId="3FF63C4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Menšinový podíl (hodnota přípustná v konsolidovaném kmenovém kapitálu tier 1)</w:t>
            </w:r>
          </w:p>
          <w:p w14:paraId="64724C4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Menšinové podíly (hodnota přípustná v konsolidovaném kmenovém kapitálu tier 1) podle článku 84 CRR</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EU-5a</w:t>
            </w:r>
          </w:p>
        </w:tc>
        <w:tc>
          <w:tcPr>
            <w:tcW w:w="7242" w:type="dxa"/>
            <w:vAlign w:val="center"/>
          </w:tcPr>
          <w:p w14:paraId="179AFE3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Nezávisle ověřený mezitímní zisk snížený o předvídatelné výplaty nebo dividendy</w:t>
            </w:r>
          </w:p>
          <w:p w14:paraId="3017376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Nezávisle ověřený mezitímní zisk snížený o předvídatelné výplaty nebo dividendy podle čl. 26 odst. 2 CRR</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w:t>
            </w:r>
          </w:p>
        </w:tc>
        <w:tc>
          <w:tcPr>
            <w:tcW w:w="7242" w:type="dxa"/>
            <w:vAlign w:val="center"/>
          </w:tcPr>
          <w:p w14:paraId="181768A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Kmenový kapitál tier 1 (CET1) před normativními úpravami</w:t>
            </w:r>
          </w:p>
          <w:p w14:paraId="5517D0E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Součet hodnot v řádcích 1 až EU-5a této šablony</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w:t>
            </w:r>
          </w:p>
        </w:tc>
        <w:tc>
          <w:tcPr>
            <w:tcW w:w="7242" w:type="dxa"/>
            <w:vAlign w:val="center"/>
          </w:tcPr>
          <w:p w14:paraId="25B1784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Dodatečné úpravy ocenění (záporná hodnota)</w:t>
            </w:r>
          </w:p>
          <w:p w14:paraId="24604E9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Dodatečné úpravy ocenění podle článků 34 a 105 CRR (záporná hodnota)</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w:t>
            </w:r>
          </w:p>
        </w:tc>
        <w:tc>
          <w:tcPr>
            <w:tcW w:w="7242" w:type="dxa"/>
            <w:vAlign w:val="center"/>
          </w:tcPr>
          <w:p w14:paraId="540851D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Nehmotná aktiva (snížená o související daňové závazky) (záporná hodnota)</w:t>
            </w:r>
          </w:p>
          <w:p w14:paraId="5E39866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Nehmotná aktiva (snížená o související daňové závazky) podle čl. 36 odst. 1 písm. b) a článku 37 CRR (záporná hodnota)</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9</w:t>
            </w:r>
            <w:r>
              <w:rPr>
                <w:sz w:val="24"/>
                <w:rFonts w:ascii="Times New Roman" w:hAnsi="Times New Roman"/>
              </w:rPr>
              <w:t xml:space="preserve"> </w:t>
            </w:r>
          </w:p>
        </w:tc>
        <w:tc>
          <w:tcPr>
            <w:tcW w:w="7242" w:type="dxa"/>
            <w:vAlign w:val="center"/>
          </w:tcPr>
          <w:p w14:paraId="16084F4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Nepoužije se</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10</w:t>
            </w:r>
          </w:p>
        </w:tc>
        <w:tc>
          <w:tcPr>
            <w:tcW w:w="7242" w:type="dxa"/>
            <w:vAlign w:val="center"/>
          </w:tcPr>
          <w:p w14:paraId="03352CF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Odložené daňové pohledávky závislé na budoucím zisku kromě pohledávek vyplývajících z přechodných rozdílů (snížené o související daňové závazky, pokud jsou splněny podmínky čl. 38 odst. 3 CRR) (záporná hodnota).</w:t>
            </w:r>
          </w:p>
          <w:p w14:paraId="2A0A42E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Odložené daňové pohledávky závislé na budoucím zisku kromě pohledávek vyplývajících z přechodných rozdílů (snížené o související daňové závazky, pokud jsou splněny podmínky čl. 38 odst. 3 CRR) podle čl. 36 odst. 1 písm. c) a článku 38 CRR (záporná hodnota).</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11</w:t>
            </w:r>
          </w:p>
        </w:tc>
        <w:tc>
          <w:tcPr>
            <w:tcW w:w="7242" w:type="dxa"/>
            <w:vAlign w:val="center"/>
          </w:tcPr>
          <w:p w14:paraId="68ABFBF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Oceňovací rozdíly ze změn reálné hodnoty spojené se zisky nebo ztrátami ze zajištění peněžních toků z finančních nástrojů, které nejsou oceněny reálnou hodnotou.</w:t>
            </w:r>
          </w:p>
          <w:p w14:paraId="28EED64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Oceňovací rozdíly ze změn reálné hodnoty spojené se zisky nebo ztrátami ze zajištění peněžních toků, které nejsou oceněny reálnou hodnotou, podle čl. 33 odst. 1 písm. a) CRR.</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12</w:t>
            </w:r>
          </w:p>
        </w:tc>
        <w:tc>
          <w:tcPr>
            <w:tcW w:w="7242" w:type="dxa"/>
            <w:vAlign w:val="center"/>
          </w:tcPr>
          <w:p w14:paraId="7F76EC5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Záporné hodnoty vyplývající z výpočtu výše očekávaných ztrát</w:t>
            </w:r>
          </w:p>
          <w:p w14:paraId="1056ED1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Záporné hodnoty vyplývající z výpočtu výše očekávaných ztrát podle čl. 36 odst. 1 písm. d) a článku 40 CRR</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13</w:t>
            </w:r>
          </w:p>
        </w:tc>
        <w:tc>
          <w:tcPr>
            <w:tcW w:w="7242" w:type="dxa"/>
            <w:vAlign w:val="center"/>
          </w:tcPr>
          <w:p w14:paraId="2DCF7FE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Zvýšení vlastního kapitálu, které vyplývá ze sekuritizace aktiv (záporná hodnota)</w:t>
            </w:r>
          </w:p>
          <w:p w14:paraId="0C6A56A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Zvýšení vlastního kapitálu, které vyplývá ze sekuritizace aktiv podle čl. 32 odst. 1 CRR (záporná hodnota)</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14</w:t>
            </w:r>
          </w:p>
        </w:tc>
        <w:tc>
          <w:tcPr>
            <w:tcW w:w="7242" w:type="dxa"/>
            <w:vAlign w:val="center"/>
          </w:tcPr>
          <w:p w14:paraId="4D17091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Zisky nebo ztráty ze závazků oceněných reálnou hodnotou, které vyplývají ze změn vlastního úvěrového hodnocení</w:t>
            </w:r>
          </w:p>
          <w:p w14:paraId="07C3FAB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Zisky nebo ztráty ze závazků oceněných reálnou hodnotou, které vyplývají ze změn vlastního úvěrového hodnocení, podle čl. 33 odst. 1 písm. b) CRR</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15</w:t>
            </w:r>
          </w:p>
        </w:tc>
        <w:tc>
          <w:tcPr>
            <w:tcW w:w="7242" w:type="dxa"/>
            <w:vAlign w:val="center"/>
          </w:tcPr>
          <w:p w14:paraId="34140A6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Aktiva penzijního fondu definovaných požitků (záporná hodnota)</w:t>
            </w:r>
          </w:p>
          <w:p w14:paraId="7FE0A99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Aktiva penzijního fondu definovaných požitků podle čl. 36 odst. 1 písm. e) a článku 41 CRR (záporná hodnota)</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16</w:t>
            </w:r>
          </w:p>
        </w:tc>
        <w:tc>
          <w:tcPr>
            <w:tcW w:w="7242" w:type="dxa"/>
            <w:vAlign w:val="center"/>
          </w:tcPr>
          <w:p w14:paraId="7DEFE6A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instituce do vlastních nástrojů zahrnovaných do kmenového kapitálu tier 1 (záporná hodnota)</w:t>
            </w:r>
          </w:p>
          <w:p w14:paraId="77709E9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instituce do vlastních nástrojů zahrnovaných do kmenového kapitálu tier 1, jak je popsáno v čl. 36 odst. 1 písm. f) a článku 42 CRR (záporná hodnota)</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17</w:t>
            </w:r>
          </w:p>
        </w:tc>
        <w:tc>
          <w:tcPr>
            <w:tcW w:w="7242" w:type="dxa"/>
            <w:vAlign w:val="center"/>
          </w:tcPr>
          <w:p w14:paraId="1754CB1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do nástrojů zahrnovaných do kmenového kapitálu tier 1 subjektů finančního sektoru, pokud tyto subjekty mají s institucí vztah vzájemné účasti, jehož účelem je uměle zvýšit kapitál instituce (záporná hodnota)</w:t>
            </w:r>
          </w:p>
          <w:p w14:paraId="2AFFD0C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do nástrojů zahrnovaných do kmenového kapitálu tier 1 subjektů finančního sektoru, pokud tyto subjekty mají s institucí vztah vzájemné účasti, jehož účelem je uměle zvýšit kapitál instituce, jak je popsáno v čl. 36 odst. 1 písm. g) a článku 44 CRR (záporná hodnota)</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18</w:t>
            </w:r>
          </w:p>
        </w:tc>
        <w:tc>
          <w:tcPr>
            <w:tcW w:w="7242" w:type="dxa"/>
            <w:vAlign w:val="center"/>
          </w:tcPr>
          <w:p w14:paraId="3B9E256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instituce do nástrojů zahrnovaných do kmenového kapitálu tier 1 subjektů finančního sektoru, v nichž instituce nemá významnou investici (objem vyšší než 10% prahová hodnota po odečtení způsobilých krátkých pozic) (záporná hodnota)</w:t>
            </w:r>
          </w:p>
          <w:p w14:paraId="3D0E5CB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instituce do nástrojů zahrnovaných do kmenového kapitálu tier 1 subjektů finančního sektoru, v nichž instituce nemá významnou investici (objem vyšší než 10% prahová hodnota po odečtení způsobilých krátkých pozic), jak je popsáno v čl. 36 odst. 1 písm. h), článcích 43, 45 a 46, čl. 49 odst. 2 a 3 a článku 79 CRR (záporná hodnota)</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19</w:t>
            </w:r>
          </w:p>
        </w:tc>
        <w:tc>
          <w:tcPr>
            <w:tcW w:w="7242" w:type="dxa"/>
            <w:vAlign w:val="center"/>
          </w:tcPr>
          <w:p w14:paraId="4BA2A69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instituce do nástrojů zahrnovaných do kmenového kapitálu tier 1 subjektů finančního sektoru, v nichž instituce má významnou investici (objem vyšší než 10% prahová hodnota po odečtení způsobilých krátkých pozic) (záporná hodnota)</w:t>
            </w:r>
          </w:p>
          <w:p w14:paraId="39DCB46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instituce do nástrojů zahrnovaných do kmenového kapitálu tier 1 subjektů finančního sektoru, v nichž má instituce významnou investici (objem vyšší než 10% prahová hodnota po odečtení způsobilých krátkých pozic), jak je popsáno v čl. 36 odst. 1 písm. i), článcích 43, 45 a 47, čl. 48 odst. 1 písm. b) a čl. 49 odst. 1 až 3 CRR (záporná hodnota)</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20</w:t>
            </w:r>
          </w:p>
        </w:tc>
        <w:tc>
          <w:tcPr>
            <w:tcW w:w="7242" w:type="dxa"/>
            <w:vAlign w:val="center"/>
          </w:tcPr>
          <w:p w14:paraId="7EEC1B7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Nepoužije se</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EU-20a</w:t>
            </w:r>
          </w:p>
        </w:tc>
        <w:tc>
          <w:tcPr>
            <w:tcW w:w="7242" w:type="dxa"/>
            <w:vAlign w:val="center"/>
          </w:tcPr>
          <w:p w14:paraId="7BE5743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expozice u následujících položek, kterým se má přiřadit riziková váha 1 250 %, pokud se instituce rozhodne pro odpočet jako alternativní postup</w:t>
            </w:r>
          </w:p>
          <w:p w14:paraId="2CA8C5B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expozice u položek, kterým se má přiřadit riziková váha 1 250 %, pokud se instituce rozhodne pro odpočet jako alternativní postup, jak je popsáno v čl. 36 odst. 1 písm. k) CRR</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EU-20b</w:t>
            </w:r>
          </w:p>
        </w:tc>
        <w:tc>
          <w:tcPr>
            <w:tcW w:w="7242" w:type="dxa"/>
            <w:vAlign w:val="center"/>
          </w:tcPr>
          <w:p w14:paraId="6D0F55A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toho:</w:t>
            </w:r>
            <w:r>
              <w:rPr>
                <w:sz w:val="24"/>
                <w:rFonts w:ascii="Times New Roman" w:hAnsi="Times New Roman"/>
              </w:rPr>
              <w:t xml:space="preserve"> </w:t>
            </w:r>
            <w:r>
              <w:rPr>
                <w:sz w:val="24"/>
                <w:rFonts w:ascii="Times New Roman" w:hAnsi="Times New Roman"/>
              </w:rPr>
              <w:t xml:space="preserve">kvalifikované účasti mimo finanční sektor (záporná hodnota)</w:t>
            </w:r>
          </w:p>
          <w:p w14:paraId="0056EA6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hodnoty v řádku EU-20a hodnota týkající se kvalifikovaných účastí mimo finanční sektor podle čl. 36 odst. 1 písm. k) bodu i) a článků 89 až 91 CRR (záporná hodnota)</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EU-20c</w:t>
            </w:r>
          </w:p>
        </w:tc>
        <w:tc>
          <w:tcPr>
            <w:tcW w:w="7242" w:type="dxa"/>
            <w:vAlign w:val="center"/>
          </w:tcPr>
          <w:p w14:paraId="66854EC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toho:</w:t>
            </w:r>
            <w:r>
              <w:rPr>
                <w:sz w:val="24"/>
                <w:rFonts w:ascii="Times New Roman" w:hAnsi="Times New Roman"/>
              </w:rPr>
              <w:t xml:space="preserve"> </w:t>
            </w:r>
            <w:r>
              <w:rPr>
                <w:sz w:val="24"/>
                <w:rFonts w:ascii="Times New Roman" w:hAnsi="Times New Roman"/>
              </w:rPr>
              <w:t xml:space="preserve">sekuritizované pozice (záporná hodnota)</w:t>
            </w:r>
          </w:p>
          <w:p w14:paraId="232BFB2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hodnoty v řádku EU-20a hodnota týkající se sekuritizovaných pozic podle čl. 36 odst. 1 písm. k) bodu ii), čl. 243 odst. 1 písm. b), čl. 244 odst. 1 písm. b) a článku 258 CRR (záporná hodnota)</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EU-20d</w:t>
            </w:r>
          </w:p>
        </w:tc>
        <w:tc>
          <w:tcPr>
            <w:tcW w:w="7242" w:type="dxa"/>
            <w:vAlign w:val="center"/>
          </w:tcPr>
          <w:p w14:paraId="7715FCA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toho:</w:t>
            </w:r>
            <w:r>
              <w:rPr>
                <w:sz w:val="24"/>
                <w:rFonts w:ascii="Times New Roman" w:hAnsi="Times New Roman"/>
              </w:rPr>
              <w:t xml:space="preserve"> </w:t>
            </w:r>
            <w:r>
              <w:rPr>
                <w:sz w:val="24"/>
                <w:rFonts w:ascii="Times New Roman" w:hAnsi="Times New Roman"/>
              </w:rPr>
              <w:t xml:space="preserve">volné dodávky (záporná hodnota)</w:t>
            </w:r>
          </w:p>
          <w:p w14:paraId="218B6C2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hodnoty v řádku EU-20a této šablony, hodnota týkající se volných dodávek podle čl. 36 odst. 1 písm. k) bodu iii) a čl. 379 odst. 3 CRR (záporná hodnota)</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21</w:t>
            </w:r>
          </w:p>
        </w:tc>
        <w:tc>
          <w:tcPr>
            <w:tcW w:w="7242" w:type="dxa"/>
            <w:vAlign w:val="center"/>
          </w:tcPr>
          <w:p w14:paraId="0D30480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Odložené daňové pohledávky vyplývající z přechodných rozdílů (objem vyšší než 10% prahová hodnota, snížený o související daňové závazky, jsou-li splněny podmínky stanovené v čl. 38 odst. 3 CRR) (záporná hodnota)</w:t>
            </w:r>
          </w:p>
          <w:p w14:paraId="1047B9C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Odložené daňové pohledávky vyplývající z přechodných rozdílů (objem vyšší než 10% prahová hodnota, snížený o související daňové závazky, jsou-li splněny podmínky stanovené v čl. 38 odst. 3), jak je popsáno v čl. 36 odst. 1 písm. c), článku 38 a čl. 48 odst. 1 písm. a) CRR (záporná hodnota)</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22</w:t>
            </w:r>
          </w:p>
        </w:tc>
        <w:tc>
          <w:tcPr>
            <w:tcW w:w="7242" w:type="dxa"/>
            <w:vAlign w:val="center"/>
          </w:tcPr>
          <w:p w14:paraId="5A0A5E9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přesahující 17,65% prahovou hodnotu (záporná hodnota)</w:t>
            </w:r>
          </w:p>
          <w:p w14:paraId="5ADBAB1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přesahující 17,65% prahovou hodnotu podle čl. 48 odst. 1 CRR (záporná hodnota)</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23</w:t>
            </w:r>
          </w:p>
        </w:tc>
        <w:tc>
          <w:tcPr>
            <w:tcW w:w="7242" w:type="dxa"/>
            <w:vAlign w:val="center"/>
          </w:tcPr>
          <w:p w14:paraId="4727FB4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toho:</w:t>
            </w:r>
            <w:r>
              <w:rPr>
                <w:sz w:val="24"/>
                <w:rFonts w:ascii="Times New Roman" w:hAnsi="Times New Roman"/>
              </w:rPr>
              <w:t xml:space="preserve"> </w:t>
            </w:r>
            <w:r>
              <w:rPr>
                <w:sz w:val="24"/>
                <w:rFonts w:ascii="Times New Roman" w:hAnsi="Times New Roman"/>
              </w:rPr>
              <w:t xml:space="preserve">přímé, nepřímé a syntetické kapitálové investice instituce do nástrojů zahrnovaných do kmenového kapitálu tier 1 subjektů finančního sektoru, v nichž instituce má významnou investici</w:t>
            </w:r>
          </w:p>
          <w:p w14:paraId="63DF0E4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hodnoty v řádku 22 této šablony hodnota přímých, nepřímých a syntetických kapitálových investic instituce do nástrojů zahrnovaných do kmenového kapitálu tier 1 subjektů finančního sektoru, v nichž má instituce významnou investici, jak je popsáno v čl. 36 odst. 1 písm. i) a čl. 48 odst. 1 písm. b) CRR</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24</w:t>
            </w:r>
          </w:p>
        </w:tc>
        <w:tc>
          <w:tcPr>
            <w:tcW w:w="7242" w:type="dxa"/>
            <w:vAlign w:val="center"/>
          </w:tcPr>
          <w:p w14:paraId="310E2E5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Nepoužije se</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25</w:t>
            </w:r>
          </w:p>
        </w:tc>
        <w:tc>
          <w:tcPr>
            <w:tcW w:w="7242" w:type="dxa"/>
            <w:vAlign w:val="center"/>
          </w:tcPr>
          <w:p w14:paraId="0AD27DB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toho:</w:t>
            </w:r>
            <w:r>
              <w:rPr>
                <w:sz w:val="24"/>
                <w:rFonts w:ascii="Times New Roman" w:hAnsi="Times New Roman"/>
              </w:rPr>
              <w:t xml:space="preserve"> </w:t>
            </w:r>
            <w:r>
              <w:rPr>
                <w:sz w:val="24"/>
                <w:rFonts w:ascii="Times New Roman" w:hAnsi="Times New Roman"/>
              </w:rPr>
              <w:t xml:space="preserve">odložené daňové pohledávky vyplývající z přechodných rozdílů</w:t>
            </w:r>
          </w:p>
          <w:p w14:paraId="482D0A2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hodnoty v řádku 22 této šablony hodnota odložených daňových pohledávek vyplývajících z přechodných rozdílů, jak je popsáno v čl. 36 odst. 1 písm. c), článku 38 a čl. 48 odst. 1 písm. a) CRR</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EU-25a</w:t>
            </w:r>
          </w:p>
        </w:tc>
        <w:tc>
          <w:tcPr>
            <w:tcW w:w="7242" w:type="dxa"/>
            <w:vAlign w:val="center"/>
          </w:tcPr>
          <w:p w14:paraId="639D394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Ztráty běžného účetního roku (záporná hodnota)</w:t>
            </w:r>
          </w:p>
          <w:p w14:paraId="21AC546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Ztráty za účetní rok podle čl. 36 odst. 1 písm. a) CRR (záporná hodnota)</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EU-25b</w:t>
            </w:r>
          </w:p>
        </w:tc>
        <w:tc>
          <w:tcPr>
            <w:tcW w:w="7242" w:type="dxa"/>
            <w:vAlign w:val="center"/>
          </w:tcPr>
          <w:p w14:paraId="635948D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Předvídatelné daňové platby týkající se položek kmenového kapitálu tier 1, s výjimkou případu, kdy instituce vhodně upraví hodnotu položek kmenového kapitálu tier 1, pokud tyto daňové platby snižují částku, do jejíž výše lze dané položky použít ke krytí rizik nebo ztrát (záporná hodnota)</w:t>
            </w:r>
          </w:p>
          <w:p w14:paraId="734D12D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Hodnota daňových plateb týkajících se položek kmenového kapitálu tier 1 předvídatelných v době výpočtu, s výjimkou případu, kdy instituce vhodně upraví hodnotu položek kmenového kapitálu tier 1, pokud tyto daňové platby snižují hodnotu, do jejíž výše lze dané položky použít ke krytí rizik nebo ztrát, podle čl. 36 odst. 1 písm. l) CRR (záporná hodnota)</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26</w:t>
            </w:r>
          </w:p>
        </w:tc>
        <w:tc>
          <w:tcPr>
            <w:tcW w:w="7242" w:type="dxa"/>
            <w:vAlign w:val="center"/>
          </w:tcPr>
          <w:p w14:paraId="0A67484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Nepoužije se</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27</w:t>
            </w:r>
          </w:p>
        </w:tc>
        <w:tc>
          <w:tcPr>
            <w:tcW w:w="7242" w:type="dxa"/>
            <w:vAlign w:val="center"/>
          </w:tcPr>
          <w:p w14:paraId="39A9779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Hodnota kvalifikovaných položek odečtených od položek vedlejšího kapitálu tier 1, která přesahuje hodnotu položek vedlejšího kapitálu tier 1 instituce (záporná hodnota)</w:t>
            </w:r>
          </w:p>
          <w:p w14:paraId="355E3AE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Hodnota položek odečtených od položek vedlejšího kapitálu tier 1, která přesahuje vedlejší kapitál tier 1 instituce, jak je popsáno v čl. 36 odst. 1 písm. j) CRR (záporná hodnota)</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EU-27a</w:t>
            </w:r>
          </w:p>
        </w:tc>
        <w:tc>
          <w:tcPr>
            <w:tcW w:w="7242" w:type="dxa"/>
            <w:vAlign w:val="center"/>
          </w:tcPr>
          <w:p w14:paraId="18AFE0A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Ostatní normativní úpravy</w:t>
            </w:r>
          </w:p>
          <w:p w14:paraId="2E4AF0F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Instituce v tomto řádku uvedou veškeré příslušné normativní úpravy vykázané v rámci podávání zpráv pro účely dohledu a nezahrnuté v žádném jiném řádku této šablony, případně včetně hodnoty podle přechodných ustanovení IFRS 9, a to až do konce přechodného období.</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28</w:t>
            </w:r>
          </w:p>
        </w:tc>
        <w:tc>
          <w:tcPr>
            <w:tcW w:w="7242" w:type="dxa"/>
            <w:vAlign w:val="center"/>
          </w:tcPr>
          <w:p w14:paraId="5A31DBA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Normativní úpravy kmenového kapitálu tier 1 celkem</w:t>
            </w:r>
          </w:p>
          <w:p w14:paraId="45C480D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Vypočítá se jako součet hodnot v řádcích 7 až EU-20a, 21, 22 a EU-25a až EU-27a této šablony</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29</w:t>
            </w:r>
          </w:p>
        </w:tc>
        <w:tc>
          <w:tcPr>
            <w:tcW w:w="7242" w:type="dxa"/>
            <w:vAlign w:val="center"/>
          </w:tcPr>
          <w:p w14:paraId="242357F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Kmenový kapitál tier 1 (CET1)</w:t>
            </w:r>
          </w:p>
          <w:p w14:paraId="7AF2FC11" w14:textId="77777777" w:rsidR="00C85971" w:rsidRPr="007F4CC8" w:rsidRDefault="00C85971" w:rsidP="00D819DE">
            <w:pPr>
              <w:spacing w:after="200"/>
              <w:jc w:val="both"/>
              <w:rPr>
                <w:sz w:val="24"/>
                <w:rFonts w:ascii="Times New Roman" w:hAnsi="Times New Roman"/>
              </w:rPr>
            </w:pPr>
            <w:r>
              <w:rPr>
                <w:sz w:val="24"/>
                <w:rFonts w:ascii="Times New Roman" w:hAnsi="Times New Roman"/>
              </w:rPr>
              <w:t xml:space="preserve">Vypočítá se jako řádek 6 minus řádek 28 této šablony</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30</w:t>
            </w:r>
          </w:p>
        </w:tc>
        <w:tc>
          <w:tcPr>
            <w:tcW w:w="7242" w:type="dxa"/>
            <w:vAlign w:val="center"/>
          </w:tcPr>
          <w:p w14:paraId="7F9E5A2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Kapitálové nástroje a související emisní ážio</w:t>
            </w:r>
          </w:p>
          <w:p w14:paraId="78F65A5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Kapitálové nástroje a související emisní ážio podle článků 51 a 52 CRR</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31</w:t>
            </w:r>
          </w:p>
        </w:tc>
        <w:tc>
          <w:tcPr>
            <w:tcW w:w="7242" w:type="dxa"/>
            <w:vAlign w:val="center"/>
          </w:tcPr>
          <w:p w14:paraId="392F241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toho:</w:t>
            </w:r>
            <w:r>
              <w:rPr>
                <w:sz w:val="24"/>
                <w:rFonts w:ascii="Times New Roman" w:hAnsi="Times New Roman"/>
              </w:rPr>
              <w:t xml:space="preserve"> </w:t>
            </w:r>
            <w:r>
              <w:rPr>
                <w:sz w:val="24"/>
                <w:rFonts w:ascii="Times New Roman" w:hAnsi="Times New Roman"/>
              </w:rPr>
              <w:t xml:space="preserve">podle použitelných účetních standardů považované za vlastní kapitál</w:t>
            </w:r>
          </w:p>
          <w:p w14:paraId="6088A1D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Hodnota v řádku 30 této šablony podle použitelných účetních standardů považovaná za vlastní kapitál</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32</w:t>
            </w:r>
          </w:p>
        </w:tc>
        <w:tc>
          <w:tcPr>
            <w:tcW w:w="7242" w:type="dxa"/>
            <w:vAlign w:val="center"/>
          </w:tcPr>
          <w:p w14:paraId="2E569E4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toho:</w:t>
            </w:r>
            <w:r>
              <w:rPr>
                <w:sz w:val="24"/>
                <w:rFonts w:ascii="Times New Roman" w:hAnsi="Times New Roman"/>
              </w:rPr>
              <w:t xml:space="preserve"> </w:t>
            </w:r>
            <w:r>
              <w:rPr>
                <w:sz w:val="24"/>
                <w:rFonts w:ascii="Times New Roman" w:hAnsi="Times New Roman"/>
              </w:rPr>
              <w:t xml:space="preserve">podle použitelných účetních standardů považované za závazky</w:t>
            </w:r>
          </w:p>
          <w:p w14:paraId="4C02CCA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Hodnota v řádku 30 této šablony podle použitelných účetních standardů považovaná za závazky</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33</w:t>
            </w:r>
          </w:p>
        </w:tc>
        <w:tc>
          <w:tcPr>
            <w:tcW w:w="7242" w:type="dxa"/>
            <w:vAlign w:val="center"/>
          </w:tcPr>
          <w:p w14:paraId="56140F8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kvalifikovaných položek uvedených v čl. 484 odst. 4 CRR a souvisejícího emisního ážia podléhající postupnému odstranění z vedlejšího kapitálu tier 1</w:t>
            </w:r>
          </w:p>
          <w:p w14:paraId="5AA40DA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kvalifikovaných položek uvedených v čl. 484 odst. 4 CRR a souvisejícího emisního ážia podléhající postupnému odstranění z vedlejšího kapitálu tier 1, jak je popsáno v čl. 486 odst. 3 CRR</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EU-33a</w:t>
            </w:r>
          </w:p>
        </w:tc>
        <w:tc>
          <w:tcPr>
            <w:tcW w:w="7242" w:type="dxa"/>
            <w:vAlign w:val="center"/>
          </w:tcPr>
          <w:p w14:paraId="399F784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kvalifikovaných položek uvedených v čl. 494a odst. 1 CRR podléhající postupnému odstranění z vedlejšího kapitálu tier 1</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EU-33b</w:t>
            </w:r>
          </w:p>
        </w:tc>
        <w:tc>
          <w:tcPr>
            <w:tcW w:w="7242" w:type="dxa"/>
            <w:vAlign w:val="center"/>
          </w:tcPr>
          <w:p w14:paraId="3B81B16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kvalifikovaných položek uvedených v čl. 494b odst. 1 CRR podléhající postupnému odstranění z vedlejšího kapitálu tier 1</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34</w:t>
            </w:r>
          </w:p>
        </w:tc>
        <w:tc>
          <w:tcPr>
            <w:tcW w:w="7242" w:type="dxa"/>
            <w:vAlign w:val="center"/>
          </w:tcPr>
          <w:p w14:paraId="3DFD22A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Kvalifikovaný kapitál tier 1 zahrnutý do konsolidovaného vedlejšího kapitálu tier 1 (včetně menšinových podílů nezahrnutých v řádku 5) vydaný dceřinými podniky a držený třetími stranami</w:t>
            </w:r>
          </w:p>
          <w:p w14:paraId="33267B8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Kvalifikovaný kapitál tier 1 zahrnutý do konsolidovaného vedlejšího kapitálu tier 1 (včetně menšinových podílů nezahrnutých v řádku 5 této šablony) vydaný dceřinými podniky a držený třetími stranami, jak je popsáno v článcích 85 a 86 CRR</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35</w:t>
            </w:r>
          </w:p>
        </w:tc>
        <w:tc>
          <w:tcPr>
            <w:tcW w:w="7242" w:type="dxa"/>
            <w:vAlign w:val="center"/>
          </w:tcPr>
          <w:p w14:paraId="75F25B4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toho:</w:t>
            </w:r>
            <w:r>
              <w:rPr>
                <w:sz w:val="24"/>
                <w:rFonts w:ascii="Times New Roman" w:hAnsi="Times New Roman"/>
              </w:rPr>
              <w:t xml:space="preserve"> </w:t>
            </w:r>
            <w:r>
              <w:rPr>
                <w:sz w:val="24"/>
                <w:rFonts w:ascii="Times New Roman" w:hAnsi="Times New Roman"/>
              </w:rPr>
              <w:t xml:space="preserve">nástroje vydané dceřinými podniky podléhající postupnému odstranění</w:t>
            </w:r>
          </w:p>
          <w:p w14:paraId="6DA4F14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Hodnota v řádku 34 této šablony, která se týká nástrojů vydaných dceřinými podniky podléhajících postupnému odstranění, jak je popsáno v čl. 486 odst. 3 CRR</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36</w:t>
            </w:r>
          </w:p>
        </w:tc>
        <w:tc>
          <w:tcPr>
            <w:tcW w:w="7242" w:type="dxa"/>
            <w:vAlign w:val="center"/>
          </w:tcPr>
          <w:p w14:paraId="33B0FEC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Vedlejší kapitál tier 1 (AT1) před normativními úpravami</w:t>
            </w:r>
          </w:p>
          <w:p w14:paraId="282C0FB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Součet hodnot v řádcích 30, 33, EU-33a, EU-33b a 34 této šablony</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37</w:t>
            </w:r>
          </w:p>
        </w:tc>
        <w:tc>
          <w:tcPr>
            <w:tcW w:w="7242" w:type="dxa"/>
            <w:vAlign w:val="center"/>
          </w:tcPr>
          <w:p w14:paraId="2DB3777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instituce do vlastních nástrojů zahrnovaných do vedlejšího kapitálu tier 1 (záporná hodnota)</w:t>
            </w:r>
          </w:p>
          <w:p w14:paraId="58F9FBF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instituce do vlastních nástrojů zahrnovaných do vedlejšího kapitálu tier 1, jak je popsáno v čl. 52 odst. 1 písm. b), čl. 56 písm. a) a článku 57 CRR (záporná hodnota)</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38</w:t>
            </w:r>
          </w:p>
        </w:tc>
        <w:tc>
          <w:tcPr>
            <w:tcW w:w="7242" w:type="dxa"/>
            <w:vAlign w:val="center"/>
          </w:tcPr>
          <w:p w14:paraId="6D6C398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do nástrojů zahrnovaných do vedlejšího kapitálu tier 1 subjektů finančního sektoru, s nimiž je instituce ve vztahu vzájemné účasti, jehož účelem je uměle zvýšit kapitál instituce (záporná hodnota)</w:t>
            </w:r>
          </w:p>
          <w:p w14:paraId="6BE90AD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do nástrojů zahrnovaných do vedlejšího kapitálu tier 1 subjektů finančního sektoru, pokud tyto subjekty mají s institucí vztah vzájemné účasti, jehož účelem je uměle zvýšit kapitál instituce, jak je popsáno v čl. 56 písm. b) a článku 58 CRR (záporná hodnota)</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39</w:t>
            </w:r>
          </w:p>
        </w:tc>
        <w:tc>
          <w:tcPr>
            <w:tcW w:w="7242" w:type="dxa"/>
            <w:vAlign w:val="center"/>
          </w:tcPr>
          <w:p w14:paraId="240A2B6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do nástrojů zahrnovaných do vedlejšího kapitálu tier 1 subjektů finančního sektoru, v nichž instituce nemá významnou investici (objem vyšší než 10% prahová hodnota po odečtení způsobilých krátkých pozic) (záporná hodnota)</w:t>
            </w:r>
          </w:p>
          <w:p w14:paraId="3530D91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do nástrojů zahrnovaných do vedlejšího kapitálu tier 1 subjektů finančního sektoru, v nichž instituce nemá významnou investici (objem vyšší než 10% prahová hodnota po odečtení způsobilých krátkých pozic), jak je popsáno v čl. 56 písm. c) a článcích 59, 60 a 79 CRR (záporná hodnota)</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40</w:t>
            </w:r>
          </w:p>
        </w:tc>
        <w:tc>
          <w:tcPr>
            <w:tcW w:w="7242" w:type="dxa"/>
            <w:vAlign w:val="center"/>
          </w:tcPr>
          <w:p w14:paraId="3C0D409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instituce do nástrojů zahrnovaných do vedlejšího kapitálu tier 1 subjektů finančního sektoru, v nichž instituce má významnou investici (po odečtení způsobilých krátkých pozic) (záporná hodnota)</w:t>
            </w:r>
          </w:p>
          <w:p w14:paraId="63735E8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instituce do nástrojů zahrnovaných do vedlejšího kapitálu tier 1 subjektů finančního sektoru, v nichž má instituce významnou investici (po odečtení způsobilých krátkých pozic), jak je popsáno v čl. 56 písm. d) a článcích 59 a 79 CRR (záporná hodnota)</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41</w:t>
            </w:r>
          </w:p>
        </w:tc>
        <w:tc>
          <w:tcPr>
            <w:tcW w:w="7242" w:type="dxa"/>
            <w:vAlign w:val="center"/>
          </w:tcPr>
          <w:p w14:paraId="4FC8941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Nepoužije se</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42</w:t>
            </w:r>
          </w:p>
        </w:tc>
        <w:tc>
          <w:tcPr>
            <w:tcW w:w="7242" w:type="dxa"/>
            <w:vAlign w:val="center"/>
          </w:tcPr>
          <w:p w14:paraId="3539E1E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Hodnota kvalifikovaných položek odečtených od položek kapitálu tier 2, která přesahuje hodnotu položek kapitálu tier 2 instituce (záporná hodnota)</w:t>
            </w:r>
          </w:p>
          <w:p w14:paraId="089D040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Hodnota položek odečtených od položek kapitálu tier 2, která převyšuje kapitál tier 2 instituce, jak je popsáno v čl. 56 písm. e) CRR (záporná hodnota)</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EU-42a</w:t>
            </w:r>
          </w:p>
        </w:tc>
        <w:tc>
          <w:tcPr>
            <w:tcW w:w="7242" w:type="dxa"/>
            <w:vAlign w:val="center"/>
          </w:tcPr>
          <w:p w14:paraId="40E2643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Ostatní normativní úpravy vedlejšího kapitálu tier 1</w:t>
            </w:r>
          </w:p>
          <w:p w14:paraId="482C6DB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 tomto řádku instituce uvedou veškeré použitelné normativní úpravy vykázané v rámci podávání zpráv pro účely dohledu a nezahrnuté v žádném jiném řádku této šablony</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43</w:t>
            </w:r>
          </w:p>
        </w:tc>
        <w:tc>
          <w:tcPr>
            <w:tcW w:w="7242" w:type="dxa"/>
            <w:vAlign w:val="center"/>
          </w:tcPr>
          <w:p w14:paraId="3966C0B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Normativní úpravy vedlejšího kapitálu tier 1 (AT1) celkem</w:t>
            </w:r>
          </w:p>
          <w:p w14:paraId="35FB671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Součet hodnot v řádcích 37 až EU-42a této šablony</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44</w:t>
            </w:r>
          </w:p>
        </w:tc>
        <w:tc>
          <w:tcPr>
            <w:tcW w:w="7242" w:type="dxa"/>
            <w:vAlign w:val="center"/>
          </w:tcPr>
          <w:p w14:paraId="7629AC5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Vedlejší kapitál tier 1 (AT1)</w:t>
            </w:r>
          </w:p>
          <w:p w14:paraId="37C4BA87" w14:textId="77777777" w:rsidR="00C85971" w:rsidRPr="007F4CC8" w:rsidRDefault="00C85971" w:rsidP="00D819DE">
            <w:pPr>
              <w:spacing w:after="200"/>
              <w:jc w:val="both"/>
              <w:rPr>
                <w:sz w:val="24"/>
                <w:rFonts w:ascii="Times New Roman" w:hAnsi="Times New Roman"/>
              </w:rPr>
            </w:pPr>
            <w:r>
              <w:rPr>
                <w:sz w:val="24"/>
                <w:rFonts w:ascii="Times New Roman" w:hAnsi="Times New Roman"/>
              </w:rPr>
              <w:t xml:space="preserve">Vedlejší kapitál tier 1 se vypočítá jako řádek 36 minus řádek 43 této šablony</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45</w:t>
            </w:r>
          </w:p>
        </w:tc>
        <w:tc>
          <w:tcPr>
            <w:tcW w:w="7242" w:type="dxa"/>
            <w:vAlign w:val="center"/>
          </w:tcPr>
          <w:p w14:paraId="23FE6E52" w14:textId="77777777" w:rsidR="00C85971" w:rsidRPr="00DD0C4D" w:rsidRDefault="00C85971" w:rsidP="00D819DE">
            <w:pPr>
              <w:spacing w:after="200"/>
              <w:jc w:val="both"/>
              <w:rPr>
                <w:sz w:val="24"/>
                <w:rFonts w:ascii="Times New Roman" w:hAnsi="Times New Roman" w:cs="Times New Roman"/>
              </w:rPr>
            </w:pPr>
            <w:r>
              <w:rPr>
                <w:sz w:val="24"/>
                <w:rFonts w:ascii="Times New Roman" w:hAnsi="Times New Roman"/>
              </w:rPr>
              <w:t xml:space="preserve">Kapitál tier 1 (T1 = CET1 + AT1)</w:t>
            </w:r>
          </w:p>
          <w:p w14:paraId="72DB0E03" w14:textId="77777777" w:rsidR="00C85971" w:rsidRPr="007F4CC8" w:rsidRDefault="00C85971" w:rsidP="00D819DE">
            <w:pPr>
              <w:spacing w:after="200"/>
              <w:jc w:val="both"/>
              <w:rPr>
                <w:sz w:val="24"/>
                <w:rFonts w:ascii="Times New Roman" w:hAnsi="Times New Roman"/>
              </w:rPr>
            </w:pPr>
            <w:r>
              <w:rPr>
                <w:sz w:val="24"/>
                <w:rFonts w:ascii="Times New Roman" w:hAnsi="Times New Roman"/>
              </w:rPr>
              <w:t xml:space="preserve">Kapitál tier 1 se vypočítá jako řádek 29 plus řádek 44 této šablony</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46</w:t>
            </w:r>
          </w:p>
        </w:tc>
        <w:tc>
          <w:tcPr>
            <w:tcW w:w="7242" w:type="dxa"/>
            <w:vAlign w:val="center"/>
          </w:tcPr>
          <w:p w14:paraId="6CFBD42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Kapitálové nástroje a související emisní ážio</w:t>
            </w:r>
          </w:p>
          <w:p w14:paraId="140805D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Kapitálové nástroje a související emisní ážio, jak je popsáno v článcích 62 a 63 CRR</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47</w:t>
            </w:r>
          </w:p>
        </w:tc>
        <w:tc>
          <w:tcPr>
            <w:tcW w:w="7242" w:type="dxa"/>
            <w:vAlign w:val="center"/>
          </w:tcPr>
          <w:p w14:paraId="4080F05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kvalifikovaných položek uvedených v čl. 484 odst. 5 CRR a souvisejícího emisního ážia podléhající postupnému odstranění z kapitálu tier 2, jak je popsáno v čl. 486 odst. 4 CRR</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EU-47a</w:t>
            </w:r>
          </w:p>
        </w:tc>
        <w:tc>
          <w:tcPr>
            <w:tcW w:w="7242" w:type="dxa"/>
            <w:vAlign w:val="center"/>
          </w:tcPr>
          <w:p w14:paraId="6518E59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kvalifikovaných položek uvedených v čl. 494a odst. 2 CRR podléhající postupnému odstranění z kapitálu tier 2</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EU-47b</w:t>
            </w:r>
          </w:p>
        </w:tc>
        <w:tc>
          <w:tcPr>
            <w:tcW w:w="7242" w:type="dxa"/>
            <w:vAlign w:val="center"/>
          </w:tcPr>
          <w:p w14:paraId="1D9B343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kvalifikovaných položek uvedených v čl. 494b odst. 2 CRR podléhající postupnému odstranění z kapitálu tier 2</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48</w:t>
            </w:r>
          </w:p>
        </w:tc>
        <w:tc>
          <w:tcPr>
            <w:tcW w:w="7242" w:type="dxa"/>
            <w:vAlign w:val="center"/>
          </w:tcPr>
          <w:p w14:paraId="10C3720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Kvalifikované kapitálové nástroje zahrnuté do konsolidovaného kapitálu tier 2 (včetně menšinových podílů a nástrojů zahrnovaných do vedlejšího kapitálu tier 1 nezahrnutých v řádku 5 nebo řádku 34) vydané dceřinými podniky a držené třetími stranami</w:t>
            </w:r>
          </w:p>
          <w:p w14:paraId="34FA1FF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Kvalifikované kapitálové nástroje zahrnuté do konsolidovaného kapitálu tier 2 (včetně menšinových podílů a nástrojů zahrnovaných do vedlejšího kapitálu tier 1 nezahrnutých v řádku 5 nebo řádku 34) vydané dceřinými podniky a držené třetími stranami, jak je popsáno v článcích 87 a 88 CRR</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49</w:t>
            </w:r>
          </w:p>
        </w:tc>
        <w:tc>
          <w:tcPr>
            <w:tcW w:w="7242" w:type="dxa"/>
            <w:vAlign w:val="center"/>
          </w:tcPr>
          <w:p w14:paraId="7410FA9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toho:</w:t>
            </w:r>
            <w:r>
              <w:rPr>
                <w:sz w:val="24"/>
                <w:rFonts w:ascii="Times New Roman" w:hAnsi="Times New Roman"/>
              </w:rPr>
              <w:t xml:space="preserve"> </w:t>
            </w:r>
            <w:r>
              <w:rPr>
                <w:sz w:val="24"/>
                <w:rFonts w:ascii="Times New Roman" w:hAnsi="Times New Roman"/>
              </w:rPr>
              <w:t xml:space="preserve">nástroje vydané dceřinými podniky podléhající postupnému odstranění</w:t>
            </w:r>
          </w:p>
          <w:p w14:paraId="4A6AC43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hodnoty v řádku 48 hodnota, která se týká nástrojů vydaných dceřinými podniky podléhajících postupnému odstranění, jak je popsáno v čl. 486 odst. 4 CRR</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50</w:t>
            </w:r>
          </w:p>
        </w:tc>
        <w:tc>
          <w:tcPr>
            <w:tcW w:w="7242" w:type="dxa"/>
            <w:vAlign w:val="center"/>
          </w:tcPr>
          <w:p w14:paraId="4DE6526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Úpravy o úvěrové riziko</w:t>
            </w:r>
          </w:p>
          <w:p w14:paraId="17F4C3B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Úpravy z titulu úvěrového rizika podle čl. 62 písm. c) a d) CRR</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51</w:t>
            </w:r>
          </w:p>
        </w:tc>
        <w:tc>
          <w:tcPr>
            <w:tcW w:w="7242" w:type="dxa"/>
            <w:vAlign w:val="center"/>
          </w:tcPr>
          <w:p w14:paraId="337E42A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Kapitál tier 2 (T2) před normativními úpravami</w:t>
            </w:r>
          </w:p>
          <w:p w14:paraId="0DD0BE98" w14:textId="77777777" w:rsidR="00C85971" w:rsidRPr="007F4CC8" w:rsidRDefault="00C85971" w:rsidP="00D819DE">
            <w:pPr>
              <w:spacing w:after="200"/>
              <w:jc w:val="both"/>
              <w:rPr>
                <w:sz w:val="24"/>
                <w:rFonts w:ascii="Times New Roman" w:hAnsi="Times New Roman"/>
              </w:rPr>
            </w:pPr>
            <w:r>
              <w:rPr>
                <w:sz w:val="24"/>
                <w:rFonts w:ascii="Times New Roman" w:hAnsi="Times New Roman"/>
              </w:rPr>
              <w:t xml:space="preserve">Součet hodnot v řádcích 46 až 48 a řádku 50 této šablony</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52</w:t>
            </w:r>
          </w:p>
        </w:tc>
        <w:tc>
          <w:tcPr>
            <w:tcW w:w="7242" w:type="dxa"/>
            <w:vAlign w:val="center"/>
          </w:tcPr>
          <w:p w14:paraId="6681B95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instituce do vlastních nástrojů zahrnovaných do kapitálu tier 2 a podřízených půjček (záporná hodnota)</w:t>
            </w:r>
          </w:p>
          <w:p w14:paraId="19B0E00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instituce do vlastních nástrojů zahrnovaných do kapitálu tier 2 a podřízených půjček, jak je popsáno v čl. 63 písm. b) bodu i), čl. 66 písm. a) a článku 67 CRR (záporná hodnota)</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53</w:t>
            </w:r>
          </w:p>
        </w:tc>
        <w:tc>
          <w:tcPr>
            <w:tcW w:w="7242" w:type="dxa"/>
            <w:vAlign w:val="center"/>
          </w:tcPr>
          <w:p w14:paraId="39CF61F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do nástrojů zahrnovaných do kapitálu tier 2 a podřízených půjček subjektů finančního sektoru, s nimiž je instituce ve vztahu vzájemné účasti, jehož účelem je uměle zvýšit kapitál instituce (záporná hodnota)</w:t>
            </w:r>
          </w:p>
          <w:p w14:paraId="63EF50C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do nástrojů zahrnovaných do kapitálu tier 2 a podřízených půjček subjektů finančního sektoru, s nimiž je instituce ve vztahu vzájemné účasti, jehož účelem je uměle zvýšit kapitál instituce, jak je popsáno v čl. 66 písm. b) a článku 68 CRR (záporná hodnota)</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54</w:t>
            </w:r>
          </w:p>
        </w:tc>
        <w:tc>
          <w:tcPr>
            <w:tcW w:w="7242" w:type="dxa"/>
            <w:vAlign w:val="center"/>
          </w:tcPr>
          <w:p w14:paraId="630CD7F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do nástrojů zahrnovaných do kapitálu tier 2 a podřízených půjček subjektů finančního sektoru, v nichž instituce nemá významnou investici (objem vyšší než 10% prahová hodnota po odečtení způsobilých krátkých pozic) (záporná hodnota)</w:t>
            </w:r>
          </w:p>
          <w:p w14:paraId="7EC6896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do nástrojů zahrnovaných do kapitálu tier 2 a podřízených půjček subjektů finančního sektoru, v nichž instituce nemá významnou investici (objem vyšší než 10% prahová hodnota po odečtení způsobilých krátkých pozic), jak je popsáno v čl. 66 písm. c) a článcích 69, 70 a 79 CRR (záporná hodnota)</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54a</w:t>
            </w:r>
          </w:p>
        </w:tc>
        <w:tc>
          <w:tcPr>
            <w:tcW w:w="7242" w:type="dxa"/>
            <w:vAlign w:val="center"/>
          </w:tcPr>
          <w:p w14:paraId="19CF9E4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Nepoužije se</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55</w:t>
            </w:r>
          </w:p>
        </w:tc>
        <w:tc>
          <w:tcPr>
            <w:tcW w:w="7242" w:type="dxa"/>
            <w:vAlign w:val="center"/>
          </w:tcPr>
          <w:p w14:paraId="476FDFA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instituce do nástrojů zahrnovaných do kapitálu tier 2 a podřízených půjček subjektů finančního sektoru, v nichž instituce má významnou investici (snížené o způsobilé krátké pozice) (záporná hodnota)</w:t>
            </w:r>
          </w:p>
          <w:p w14:paraId="29E41F2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nepřímé a syntetické kapitálové investice instituce do nástrojů zahrnovaných do kapitálu tier 2 subjektů finančního sektoru, v nichž má instituce významnou investici (po odečtení způsobilých krátkých pozic), podle čl. 66 písm. d) a článků 69 a 79 CRR (záporná hodnota)</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56</w:t>
            </w:r>
          </w:p>
        </w:tc>
        <w:tc>
          <w:tcPr>
            <w:tcW w:w="7242" w:type="dxa"/>
            <w:vAlign w:val="center"/>
          </w:tcPr>
          <w:p w14:paraId="0ECD9E8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Nepoužije se</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color w:val="000000" w:themeColor="text1"/>
                <w:sz w:val="24"/>
                <w:rFonts w:ascii="Times New Roman" w:hAnsi="Times New Roman" w:cs="Times New Roman"/>
              </w:rPr>
            </w:pPr>
            <w:r>
              <w:rPr>
                <w:color w:val="000000" w:themeColor="text1"/>
                <w:sz w:val="24"/>
                <w:rFonts w:ascii="Times New Roman" w:hAnsi="Times New Roman"/>
              </w:rPr>
              <w:t xml:space="preserve">EU-56a</w:t>
            </w:r>
          </w:p>
        </w:tc>
        <w:tc>
          <w:tcPr>
            <w:tcW w:w="7242" w:type="dxa"/>
            <w:vAlign w:val="center"/>
          </w:tcPr>
          <w:p w14:paraId="6AFD5AE3" w14:textId="77777777" w:rsidR="00C85971" w:rsidRPr="007F4CC8" w:rsidRDefault="00C85971" w:rsidP="00D819DE">
            <w:pPr>
              <w:spacing w:after="200"/>
              <w:jc w:val="both"/>
              <w:rPr>
                <w:color w:val="000000" w:themeColor="text1"/>
                <w:sz w:val="24"/>
                <w:rFonts w:ascii="Times New Roman" w:hAnsi="Times New Roman" w:cs="Times New Roman"/>
              </w:rPr>
            </w:pPr>
            <w:r>
              <w:rPr>
                <w:color w:val="000000" w:themeColor="text1"/>
                <w:sz w:val="24"/>
                <w:rFonts w:ascii="Times New Roman" w:hAnsi="Times New Roman"/>
              </w:rPr>
              <w:t xml:space="preserve">Hodnota kvalifikovaných položek odečtených od položek způsobilých závazků, která přesahuje hodnotu položek způsobilých závazků instituce (záporná hodnota)</w:t>
            </w:r>
          </w:p>
          <w:p w14:paraId="1494AF54" w14:textId="77777777" w:rsidR="00C85971" w:rsidRPr="007F4CC8" w:rsidRDefault="00C85971" w:rsidP="00D819DE">
            <w:pPr>
              <w:spacing w:after="200"/>
              <w:jc w:val="both"/>
              <w:rPr>
                <w:color w:val="000000" w:themeColor="text1"/>
                <w:sz w:val="24"/>
                <w:rFonts w:ascii="Times New Roman" w:hAnsi="Times New Roman" w:cs="Times New Roman"/>
              </w:rPr>
            </w:pPr>
            <w:r>
              <w:rPr>
                <w:sz w:val="24"/>
                <w:rFonts w:ascii="Times New Roman" w:hAnsi="Times New Roman"/>
              </w:rPr>
              <w:t xml:space="preserve">Odpočty od položek kvalifikovaných způsobilých závazků, které převyšují položky způsobilých závazků instituce podle čl. 66 písm. e) CRR (záporná hodnota)</w:t>
            </w:r>
            <w:r>
              <w:rPr>
                <w:sz w:val="24"/>
                <w:color w:val="000000" w:themeColor="text1"/>
                <w:rFonts w:ascii="Times New Roman" w:hAnsi="Times New Roman"/>
              </w:rPr>
              <w:t xml:space="preserve">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EU-56b</w:t>
            </w:r>
          </w:p>
        </w:tc>
        <w:tc>
          <w:tcPr>
            <w:tcW w:w="7242" w:type="dxa"/>
            <w:vAlign w:val="center"/>
          </w:tcPr>
          <w:p w14:paraId="29CB1AF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Ostatní normativní úpravy kapitálu tier 2</w:t>
            </w:r>
          </w:p>
          <w:p w14:paraId="6FD61B5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 tomto řádku instituce uvedou veškeré použitelné normativní úpravy vykázané v rámci podávání zpráv pro účely dohledu a nezahrnuté v žádném jiném řádku této šablony.</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57</w:t>
            </w:r>
          </w:p>
        </w:tc>
        <w:tc>
          <w:tcPr>
            <w:tcW w:w="7242" w:type="dxa"/>
            <w:vAlign w:val="center"/>
          </w:tcPr>
          <w:p w14:paraId="66195BF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Normativní úpravy kapitálu tier 2 (T2) celkem</w:t>
            </w:r>
          </w:p>
          <w:p w14:paraId="75EB0C9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Součet hodnot v řádcích 52 až EU-56b této šablony</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58</w:t>
            </w:r>
          </w:p>
        </w:tc>
        <w:tc>
          <w:tcPr>
            <w:tcW w:w="7242" w:type="dxa"/>
            <w:vAlign w:val="center"/>
          </w:tcPr>
          <w:p w14:paraId="3ED0F5A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Kapitál tier 2 (T2)</w:t>
            </w:r>
          </w:p>
          <w:p w14:paraId="716BEA17" w14:textId="77777777" w:rsidR="00C85971" w:rsidRPr="007F4CC8" w:rsidRDefault="00C85971" w:rsidP="00D819DE">
            <w:pPr>
              <w:spacing w:after="200"/>
              <w:jc w:val="both"/>
              <w:rPr>
                <w:sz w:val="24"/>
                <w:rFonts w:ascii="Times New Roman" w:hAnsi="Times New Roman"/>
              </w:rPr>
            </w:pPr>
            <w:r>
              <w:rPr>
                <w:sz w:val="24"/>
                <w:rFonts w:ascii="Times New Roman" w:hAnsi="Times New Roman"/>
              </w:rPr>
              <w:t xml:space="preserve">Kapitál tier 2 se vypočítá jako řádek 51 minus řádek 57 této šablony</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59</w:t>
            </w:r>
          </w:p>
        </w:tc>
        <w:tc>
          <w:tcPr>
            <w:tcW w:w="7242" w:type="dxa"/>
            <w:vAlign w:val="center"/>
          </w:tcPr>
          <w:p w14:paraId="094EB59C" w14:textId="77777777" w:rsidR="00C85971" w:rsidRPr="00DD0C4D" w:rsidRDefault="00C85971" w:rsidP="00D819DE">
            <w:pPr>
              <w:spacing w:after="200"/>
              <w:jc w:val="both"/>
              <w:rPr>
                <w:sz w:val="24"/>
                <w:rFonts w:ascii="Times New Roman" w:hAnsi="Times New Roman" w:cs="Times New Roman"/>
              </w:rPr>
            </w:pPr>
            <w:r>
              <w:rPr>
                <w:sz w:val="24"/>
                <w:rFonts w:ascii="Times New Roman" w:hAnsi="Times New Roman"/>
              </w:rPr>
              <w:t xml:space="preserve">Celkový kapitál (TC = T1 + T2)</w:t>
            </w:r>
          </w:p>
          <w:p w14:paraId="2B99CB6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Celkový kapitál se vypočítá jako řádek 45 plus řádek 58 této šablony</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60</w:t>
            </w:r>
          </w:p>
        </w:tc>
        <w:tc>
          <w:tcPr>
            <w:tcW w:w="7242" w:type="dxa"/>
            <w:vAlign w:val="center"/>
          </w:tcPr>
          <w:p w14:paraId="28455AF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Celkový objem rizikové expozice</w:t>
            </w:r>
          </w:p>
          <w:p w14:paraId="07C03EC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Celkový objem rizikové expozice skupiny</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61</w:t>
            </w:r>
          </w:p>
        </w:tc>
        <w:tc>
          <w:tcPr>
            <w:tcW w:w="7242" w:type="dxa"/>
            <w:vAlign w:val="center"/>
          </w:tcPr>
          <w:p w14:paraId="715F939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Kmenový kapitál tier 1</w:t>
            </w:r>
          </w:p>
          <w:p w14:paraId="7AAE0F8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Kmenový kapitál tier 1 (vyjádřený jako procentní podíl celkového objemu rizikové expozice) se vypočítá se jako řádek 29 vydělený řádkem 60 (vyjádřeno jako procentní podíl) podle čl. 92 odst. 2 písm. a) CRR.</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62</w:t>
            </w:r>
          </w:p>
        </w:tc>
        <w:tc>
          <w:tcPr>
            <w:tcW w:w="7242" w:type="dxa"/>
            <w:vAlign w:val="center"/>
          </w:tcPr>
          <w:p w14:paraId="4254B9E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Kapitál tier 1</w:t>
            </w:r>
          </w:p>
          <w:p w14:paraId="476DDDE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Kapitál tier 1 (vyjádřený jako procentní podíl objemu rizikové expozice) se vypočítá jako řádek 45 vydělený řádkem 60 (vyjádřeno jako procentní podíl) této šablony podle čl. 92 odst. 2 písm. b) CRR.</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63</w:t>
            </w:r>
          </w:p>
        </w:tc>
        <w:tc>
          <w:tcPr>
            <w:tcW w:w="7242" w:type="dxa"/>
            <w:vAlign w:val="center"/>
          </w:tcPr>
          <w:p w14:paraId="1D8E438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Celkový kapitál</w:t>
            </w:r>
          </w:p>
          <w:p w14:paraId="75C13C0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Celkový kapitál (vyjádřený jako procentní podíl celkového objemu rizikové expozice) se vypočítá jako řádek 59 vydělený řádkem 60 (vyjádřeno jako procentní podíl) podle čl. 92 odst. 2 písm. c) CRR.</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64</w:t>
            </w:r>
          </w:p>
        </w:tc>
        <w:tc>
          <w:tcPr>
            <w:tcW w:w="7242" w:type="dxa"/>
            <w:vAlign w:val="center"/>
          </w:tcPr>
          <w:p w14:paraId="0709955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Požadavky na kmenový kapitál tier 1 instituce</w:t>
            </w:r>
            <w:r>
              <w:rPr>
                <w:sz w:val="24"/>
                <w:rFonts w:ascii="Times New Roman" w:hAnsi="Times New Roman"/>
              </w:rPr>
              <w:t xml:space="preserve"> </w:t>
            </w:r>
          </w:p>
          <w:p w14:paraId="15B2255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Celkové kapitálové požadavky na kmenový kapitál tier 1 se vypočítají jako požadavek na kmenový kapitál tier 1 podle čl. 92 odst. 1 písm. a) CRR plus dodatečný požadavek na kmenový kapitál tier 1, který musí instituce držet podle čl. 104 odst. 1 písm. a) směrnice (EU) 2013/36</w:t>
            </w:r>
            <w:r w:rsidRPr="007F4CC8">
              <w:rPr>
                <w:rStyle w:val="FootnoteReference"/>
                <w:rFonts w:cs="Times New Roman"/>
                <w:lang w:eastAsia="ja-JP"/>
              </w:rPr>
              <w:footnoteReference w:id="2"/>
            </w:r>
            <w:r>
              <w:rPr>
                <w:sz w:val="24"/>
                <w:rFonts w:ascii="Times New Roman" w:hAnsi="Times New Roman"/>
              </w:rPr>
              <w:t xml:space="preserve"> (dále jen „CRD“), plus požadavek kombinované kapitálové rezervy podle čl. 128 odst. 6 CRD, vyjádřené jako procento objemu rizikové expozice.</w:t>
            </w:r>
          </w:p>
          <w:p w14:paraId="6E4E1C3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Vypočítá se jako 4,5 % plus dodatečné požadavky pilíře 2, které musí instituce držet podle čl. 104 odst. 1 písm. a) CRD, plus požadavek kombinovaných kapitálových rezerv vypočtený podle článků 128, 129, 130, 131 a 133 CRD.</w:t>
            </w:r>
            <w:r>
              <w:rPr>
                <w:sz w:val="24"/>
                <w:rFonts w:ascii="Times New Roman" w:hAnsi="Times New Roman"/>
              </w:rPr>
              <w:t xml:space="preserve"> </w:t>
            </w:r>
          </w:p>
          <w:p w14:paraId="459D65F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Tento řádek bude uvádět poměr kmenového kapitálu tier 1 relevantní pro posouzení omezení pro rozdělení.</w:t>
            </w:r>
            <w:r>
              <w:rPr>
                <w:sz w:val="24"/>
                <w:rFonts w:ascii="Times New Roman" w:hAnsi="Times New Roman"/>
              </w:rPr>
              <w:t xml:space="preserve">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65</w:t>
            </w:r>
          </w:p>
        </w:tc>
        <w:tc>
          <w:tcPr>
            <w:tcW w:w="7242" w:type="dxa"/>
            <w:vAlign w:val="center"/>
          </w:tcPr>
          <w:p w14:paraId="1B86E50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toho:</w:t>
            </w:r>
            <w:r>
              <w:rPr>
                <w:sz w:val="24"/>
                <w:rFonts w:ascii="Times New Roman" w:hAnsi="Times New Roman"/>
              </w:rPr>
              <w:t xml:space="preserve"> </w:t>
            </w:r>
            <w:r>
              <w:rPr>
                <w:sz w:val="24"/>
                <w:rFonts w:ascii="Times New Roman" w:hAnsi="Times New Roman"/>
              </w:rPr>
              <w:t xml:space="preserve">požadavek na bezpečnostní kapitálovou rezervu</w:t>
            </w:r>
          </w:p>
          <w:p w14:paraId="210E1B9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Hodnota v řádku 64 (vyjádřená jako procentní podíl celkového objemu rizikové expozice) této šablony, která se týká požadavku bezpečnostní kapitálové rezervy podle článku 129 CRD</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66</w:t>
            </w:r>
          </w:p>
        </w:tc>
        <w:tc>
          <w:tcPr>
            <w:tcW w:w="7242" w:type="dxa"/>
            <w:vAlign w:val="center"/>
          </w:tcPr>
          <w:p w14:paraId="51C550B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toho:</w:t>
            </w:r>
            <w:r>
              <w:rPr>
                <w:sz w:val="24"/>
                <w:rFonts w:ascii="Times New Roman" w:hAnsi="Times New Roman"/>
              </w:rPr>
              <w:t xml:space="preserve"> </w:t>
            </w:r>
            <w:r>
              <w:rPr>
                <w:sz w:val="24"/>
                <w:rFonts w:ascii="Times New Roman" w:hAnsi="Times New Roman"/>
              </w:rPr>
              <w:t xml:space="preserve">požadavek na proticyklickou kapitálovou rezervu</w:t>
            </w:r>
          </w:p>
          <w:p w14:paraId="19B69C3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Hodnota v řádku 64 (vyjádřená jako procentní podíl celkového objemu rizikové expozice) této šablony, která se týká požadavku proticyklické kapitálové rezervy podle článku 130 CRD</w:t>
            </w:r>
            <w:r>
              <w:rPr>
                <w:sz w:val="24"/>
                <w:rFonts w:ascii="Times New Roman" w:hAnsi="Times New Roman"/>
              </w:rPr>
              <w:t xml:space="preserve">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67</w:t>
            </w:r>
          </w:p>
        </w:tc>
        <w:tc>
          <w:tcPr>
            <w:tcW w:w="7242" w:type="dxa"/>
            <w:vAlign w:val="center"/>
          </w:tcPr>
          <w:p w14:paraId="4CE3486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toho:</w:t>
            </w:r>
            <w:r>
              <w:rPr>
                <w:sz w:val="24"/>
                <w:rFonts w:ascii="Times New Roman" w:hAnsi="Times New Roman"/>
              </w:rPr>
              <w:t xml:space="preserve"> </w:t>
            </w:r>
            <w:r>
              <w:rPr>
                <w:sz w:val="24"/>
                <w:rFonts w:ascii="Times New Roman" w:hAnsi="Times New Roman"/>
              </w:rPr>
              <w:t xml:space="preserve">požadavek na rezervu pro krytí systémového rizika</w:t>
            </w:r>
          </w:p>
          <w:p w14:paraId="465CB0E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Hodnota v řádku 64 (vyjádřená jako procentní podíl celkového objemu rizikové expozice) této šablony, která se týká požadavku na rezervu pro krytí systémového rizika podle článku 133 CRD</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EU-67a</w:t>
            </w:r>
          </w:p>
        </w:tc>
        <w:tc>
          <w:tcPr>
            <w:tcW w:w="7242" w:type="dxa"/>
            <w:vAlign w:val="center"/>
          </w:tcPr>
          <w:p w14:paraId="15A9C98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toho:</w:t>
            </w:r>
            <w:r>
              <w:rPr>
                <w:sz w:val="24"/>
                <w:rFonts w:ascii="Times New Roman" w:hAnsi="Times New Roman"/>
              </w:rPr>
              <w:t xml:space="preserve"> </w:t>
            </w:r>
            <w:r>
              <w:rPr>
                <w:sz w:val="24"/>
                <w:rFonts w:ascii="Times New Roman" w:hAnsi="Times New Roman"/>
              </w:rPr>
              <w:t xml:space="preserve">požadavek na rezervu pro globální systémově významnou instituci (G-SVI) nebo jinou systémově významnou instituci (J-SVI)</w:t>
            </w:r>
          </w:p>
          <w:p w14:paraId="2DA57F1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Hodnota v řádku 64 (vyjádřená jako procentní podíl celkového objemu rizikové expozice) této šablony, která se týká požadavku na rezervu pro globální systémově významnou instituci nebo jinou systémově významnou instituci podle článku 131 CRD</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EU-67b</w:t>
            </w:r>
          </w:p>
        </w:tc>
        <w:tc>
          <w:tcPr>
            <w:tcW w:w="7242" w:type="dxa"/>
            <w:vAlign w:val="center"/>
          </w:tcPr>
          <w:p w14:paraId="0BA08EF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z toho:</w:t>
            </w:r>
            <w:r>
              <w:rPr>
                <w:sz w:val="24"/>
                <w:rFonts w:ascii="Times New Roman" w:hAnsi="Times New Roman"/>
              </w:rPr>
              <w:t xml:space="preserve"> </w:t>
            </w:r>
            <w:r>
              <w:rPr>
                <w:sz w:val="24"/>
                <w:rFonts w:ascii="Times New Roman" w:hAnsi="Times New Roman"/>
              </w:rPr>
              <w:t xml:space="preserve">dodatečné kapitálové požadavky k řešení rizik jiných, než je riziko nadměrné páky</w:t>
            </w:r>
            <w:r>
              <w:rPr>
                <w:sz w:val="24"/>
                <w:rFonts w:ascii="Times New Roman" w:hAnsi="Times New Roman"/>
              </w:rPr>
              <w:t xml:space="preserve"> </w:t>
            </w:r>
          </w:p>
          <w:p w14:paraId="2998F1B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Hodnota v řádku 64 (vyjádřená jako procentní podíl celkového objemu rizikové expozice) této šablony, která se týká dodatečných kapitálových požadavků vyplývajících z procesu kontroly orgánem dohledu, které je třeba splnit kmenovým kapitálem tier 1 podle čl. 104 odst. 1 písm. a) směrnice 2013/36/EU</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68</w:t>
            </w:r>
          </w:p>
        </w:tc>
        <w:tc>
          <w:tcPr>
            <w:tcW w:w="7242" w:type="dxa"/>
            <w:vAlign w:val="center"/>
          </w:tcPr>
          <w:p w14:paraId="4E319E0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Kmenový kapitál tier 1 (jako procento objemu rizikové expozice) dostupný po splnění minimálních kapitálových požadavků</w:t>
            </w:r>
          </w:p>
          <w:p w14:paraId="6089746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Vypočítá se jako řádek 61 minus 4,5 (procentního bodu) minus EU-67b minus kmenový kapitál tier 1 použitý institucí na splnění kapitálových požadavků týkajících se vedlejšího kapitálu tier 1 a kapitálu tier 2.</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sz w:val="24"/>
                <w:rFonts w:ascii="Times New Roman" w:hAnsi="Times New Roman" w:cs="Times New Roman"/>
              </w:rPr>
            </w:pPr>
            <w:r>
              <w:rPr>
                <w:sz w:val="24"/>
                <w:rFonts w:ascii="Times New Roman" w:hAnsi="Times New Roman"/>
              </w:rPr>
              <w:t xml:space="preserve">69</w:t>
            </w:r>
          </w:p>
        </w:tc>
        <w:tc>
          <w:tcPr>
            <w:tcW w:w="7242" w:type="dxa"/>
            <w:vAlign w:val="center"/>
          </w:tcPr>
          <w:p w14:paraId="28131AA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Nepoužije se</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sz w:val="24"/>
                <w:rFonts w:ascii="Times New Roman" w:hAnsi="Times New Roman" w:cs="Times New Roman"/>
              </w:rPr>
            </w:pPr>
            <w:r>
              <w:rPr>
                <w:sz w:val="24"/>
                <w:rFonts w:ascii="Times New Roman" w:hAnsi="Times New Roman"/>
              </w:rPr>
              <w:t xml:space="preserve">70</w:t>
            </w:r>
          </w:p>
        </w:tc>
        <w:tc>
          <w:tcPr>
            <w:tcW w:w="7242" w:type="dxa"/>
            <w:vAlign w:val="center"/>
          </w:tcPr>
          <w:p w14:paraId="335DC02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Nepoužije se</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sz w:val="24"/>
                <w:rFonts w:ascii="Times New Roman" w:hAnsi="Times New Roman" w:cs="Times New Roman"/>
              </w:rPr>
            </w:pPr>
            <w:r>
              <w:rPr>
                <w:sz w:val="24"/>
                <w:rFonts w:ascii="Times New Roman" w:hAnsi="Times New Roman"/>
              </w:rPr>
              <w:t xml:space="preserve">71</w:t>
            </w:r>
          </w:p>
        </w:tc>
        <w:tc>
          <w:tcPr>
            <w:tcW w:w="7242" w:type="dxa"/>
            <w:vAlign w:val="center"/>
          </w:tcPr>
          <w:p w14:paraId="15C3636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Nepoužije se</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72</w:t>
            </w:r>
          </w:p>
        </w:tc>
        <w:tc>
          <w:tcPr>
            <w:tcW w:w="7242" w:type="dxa"/>
            <w:vAlign w:val="center"/>
          </w:tcPr>
          <w:p w14:paraId="024154B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a nepřímé kapitálové investice instituce do kapitálu a způsobilých závazků subjektů finančního sektoru, v nichž instituce nemá významnou investici (objem nižší než 10% prahová hodnota po odečtení způsobilých krátkých pozic)</w:t>
            </w:r>
          </w:p>
          <w:p w14:paraId="1F5B774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a nepřímé kapitálové investice do kapitálu subjektů finančního sektoru, v nichž instituce nemá významnou investici (objem nižší než 10% prahová hodnota po odečtení způsobilých krátkých pozic) a způsobilé závazky těchto subjektů podle čl. 36 odst. 1 písm. h) a článků 45 a 46, čl. 56 písm. c), článků 59 a 60, čl. 66 písm. c), článků 69, 70 a 72i CRR</w:t>
            </w:r>
            <w:r>
              <w:rPr>
                <w:sz w:val="24"/>
                <w:rFonts w:ascii="Times New Roman" w:hAnsi="Times New Roman"/>
              </w:rPr>
              <w:t xml:space="preserve">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73</w:t>
            </w:r>
          </w:p>
        </w:tc>
        <w:tc>
          <w:tcPr>
            <w:tcW w:w="7242" w:type="dxa"/>
            <w:vAlign w:val="center"/>
          </w:tcPr>
          <w:p w14:paraId="7FC596D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a nepřímé kapitálové investice instituce do nástrojů zahrnovaných do kmenového kapitálu tier 1 subjektů finančního sektoru, v nichž instituce má významnou investici (objem nižší než 17,65% prahová hodnota po odečtení způsobilých krátkých pozic)</w:t>
            </w:r>
          </w:p>
          <w:p w14:paraId="5A38514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Přímé a nepřímé kapitálové investice instituce do nástrojů zahrnovaných do kmenového kapitálu tier 1 subjektů finančního sektoru, v nichž má instituce významnou investici (objem nižší než 17,65% prahová hodnota po odečtení způsobilých krátkých pozic) podle čl. 36 odst. 1 písm. i), článků 43, 45 a 47, čl. 48 odst. 1 písm. b) a čl. 49 odst. 1 až 3 CRR (celková hodnota těchto investic, které nejsou uvedeny v řádku 19 a řádku 23 této šablony)</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74</w:t>
            </w:r>
          </w:p>
        </w:tc>
        <w:tc>
          <w:tcPr>
            <w:tcW w:w="7242" w:type="dxa"/>
            <w:vAlign w:val="center"/>
          </w:tcPr>
          <w:p w14:paraId="6F439BB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Nepoužije se</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75</w:t>
            </w:r>
          </w:p>
        </w:tc>
        <w:tc>
          <w:tcPr>
            <w:tcW w:w="7242" w:type="dxa"/>
            <w:vAlign w:val="center"/>
          </w:tcPr>
          <w:p w14:paraId="57F3C26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Odložené daňové pohledávky vyplývající z přechodných rozdílů (objem nižší než 17,65% prahová hodnota, snížený o související daňové závazky, jsou-li splněny podmínky stanovené v čl. 38 odst. 3 CRR)</w:t>
            </w:r>
          </w:p>
          <w:p w14:paraId="3D7670C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Odložené daňové pohledávky vyplývající z přechodných rozdílů (objem vyšší než 17,65% prahová hodnota podle čl. 48 odst. 2 písm. b) CRR, snížený o související daňové závazky, jsou-li splněny podmínky stanovené v čl. 38 odst. 3 CRR) podle čl. 36 odst. 1 písm. c) a článků 38 a 48 CRR (celková hodnota těchto odložených daňových pohledávek, které nejsou uvedeny v řádku 21 a řádku 25 této šablony)</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76</w:t>
            </w:r>
          </w:p>
        </w:tc>
        <w:tc>
          <w:tcPr>
            <w:tcW w:w="7242" w:type="dxa"/>
            <w:vAlign w:val="center"/>
          </w:tcPr>
          <w:p w14:paraId="67D1317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Úpravy o úvěrové riziko zahrnované do kapitálu tier 2 s ohledem na expozice, na které se vztahuje standardizovaný přístup (před použitím limitu)</w:t>
            </w:r>
          </w:p>
          <w:p w14:paraId="5F64B02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Úpravy o úvěrové riziko zahrnované do kapitálu tier 2 s ohledem na expozice, na které se vztahuje standardizovaný přístup podle čl. 62 písm. c) CRR</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77</w:t>
            </w:r>
          </w:p>
        </w:tc>
        <w:tc>
          <w:tcPr>
            <w:tcW w:w="7242" w:type="dxa"/>
            <w:vAlign w:val="center"/>
          </w:tcPr>
          <w:p w14:paraId="00AAF9B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Limit pro zahrnování úprav o úvěrové riziko do kapitálu tier 2 podle standardizovaného přístupu</w:t>
            </w:r>
          </w:p>
          <w:p w14:paraId="3A3B34B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Limit pro zahrnování úprav o úvěrové riziko do kapitálu tier 2 podle standardizovaného přístupu podle čl. 62 písm. c) CRR</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78</w:t>
            </w:r>
          </w:p>
        </w:tc>
        <w:tc>
          <w:tcPr>
            <w:tcW w:w="7242" w:type="dxa"/>
            <w:vAlign w:val="center"/>
          </w:tcPr>
          <w:p w14:paraId="78E448E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Úpravy o úvěrové riziko zahrnované do kapitálu tier 2 s ohledem na expozice, na které se vztahuje přístup založený na interním ratingu (před použitím limitu)</w:t>
            </w:r>
          </w:p>
          <w:p w14:paraId="68CD65A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Úpravy o úvěrové riziko zahrnované do kapitálu tier 2 s ohledem na expozice, na které se vztahuje přístup založený na interním ratingu podle čl. 62 písm. d) CRR</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79</w:t>
            </w:r>
          </w:p>
        </w:tc>
        <w:tc>
          <w:tcPr>
            <w:tcW w:w="7242" w:type="dxa"/>
            <w:vAlign w:val="center"/>
          </w:tcPr>
          <w:p w14:paraId="4FE01D3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Limit pro zahrnování úprav o úvěrové riziko do kapitálu tier 2 podle přístupu založeného na interním ratingu</w:t>
            </w:r>
          </w:p>
          <w:p w14:paraId="63CECB1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Limit pro zahrnování úprav o úvěrové riziko do kapitálu tier 2 podle přístupu založeného na interním ratingu podle čl. 62 písm. d) CRR</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80</w:t>
            </w:r>
          </w:p>
        </w:tc>
        <w:tc>
          <w:tcPr>
            <w:tcW w:w="7242" w:type="dxa"/>
            <w:vAlign w:val="center"/>
          </w:tcPr>
          <w:p w14:paraId="1DA6A6E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Stávající limit pro nástroje zahrnované do kmenového kapitálu tier 1, na které se vztahují ustanovení o postupném odstranění</w:t>
            </w:r>
          </w:p>
          <w:p w14:paraId="1D5E403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Stávající limit pro nástroje zahrnované do vedlejšího kapitálu tier 1, na které se vztahují ustanovení o postupném odstranění, podle čl. 484 odst. 3 a čl. 486 odst. 2 a 5 CRR</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81</w:t>
            </w:r>
          </w:p>
        </w:tc>
        <w:tc>
          <w:tcPr>
            <w:tcW w:w="7242" w:type="dxa"/>
            <w:vAlign w:val="center"/>
          </w:tcPr>
          <w:p w14:paraId="4F7F93B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vyloučený z kmenového kapitálu tier 1 kvůli limitu (objem přesahující limit snížený o splacené nástroje a nástroje po splatnosti)</w:t>
            </w:r>
          </w:p>
          <w:p w14:paraId="6C52790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vyloučený z kmenového kapitálu tier 1 kvůli limitu (objem přesahující limit snížený o splacené nástroje a nástroje po splatnosti) podle čl. 484 odst. 3 a čl. 486 odst. 2 a 5 CRR</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82</w:t>
            </w:r>
          </w:p>
        </w:tc>
        <w:tc>
          <w:tcPr>
            <w:tcW w:w="7242" w:type="dxa"/>
            <w:vAlign w:val="center"/>
          </w:tcPr>
          <w:p w14:paraId="3FB600A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Stávající limit pro nástroje zahrnované do vedlejšího kapitálu tier 1, na které se vztahují ustanovení o postupném odstranění</w:t>
            </w:r>
          </w:p>
          <w:p w14:paraId="4444951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Stávající limit pro nástroje zahrnované do vedlejšího kapitálu tier 1, na které se vztahují ustanovení o postupném odstranění, podle čl. 484 odst. 4 a čl. 486 odst. 3 a 5 CRR</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83</w:t>
            </w:r>
          </w:p>
        </w:tc>
        <w:tc>
          <w:tcPr>
            <w:tcW w:w="7242" w:type="dxa"/>
            <w:vAlign w:val="center"/>
          </w:tcPr>
          <w:p w14:paraId="627736C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vyloučený z vedlejšího kapitálu tier 1 kvůli limitu (objem přesahující limit snížený o splacené nástroje a nástroje po splatnosti)</w:t>
            </w:r>
          </w:p>
          <w:p w14:paraId="127E661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vyloučený z vedlejšího kapitálu tier 1 kvůli limitu (objem přesahující limit snížený o splacené nástroje a nástroje po splatnosti) podle čl. 484 odst. 4 a čl. 486 odst. 3 a 5 CRR</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84</w:t>
            </w:r>
          </w:p>
        </w:tc>
        <w:tc>
          <w:tcPr>
            <w:tcW w:w="7242" w:type="dxa"/>
            <w:vAlign w:val="center"/>
          </w:tcPr>
          <w:p w14:paraId="1A5B9EC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Stávající limit pro nástroje zahrnované do kapitálu tier 2, na které se vztahují ujednání o postupném odstranění</w:t>
            </w:r>
          </w:p>
          <w:p w14:paraId="47E5FAF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Stávající limit pro nástroje zahrnované do kapitálu tier 2, na které se vztahují ustanovení o postupném odstranění, podle čl. 484 odst. 5 a čl. 486 odst. 4 a 5 CRR</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85</w:t>
            </w:r>
          </w:p>
        </w:tc>
        <w:tc>
          <w:tcPr>
            <w:tcW w:w="7242" w:type="dxa"/>
            <w:vAlign w:val="center"/>
          </w:tcPr>
          <w:p w14:paraId="4D29D2C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vyloučený z kapitálu tier 2 kvůli limitu (objem přesahující limit snížený o splacené nástroje a nástroje po splatnosti)</w:t>
            </w:r>
          </w:p>
          <w:p w14:paraId="5887299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Objem vyloučený z kapitálu tier 2 kvůli limitu (objem přesahující limit snížený o splacené nástroje a nástroje po splatnosti) podle čl. 484 odst. 5 a čl. 486 odst. 4 a 5 CRR</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sz w:val="24"/>
          <w:rFonts w:ascii="Times New Roman" w:hAnsi="Times New Roman" w:cs="Times New Roman"/>
        </w:rPr>
      </w:pPr>
      <w:r>
        <w:br w:type="page"/>
      </w:r>
    </w:p>
    <w:p w14:paraId="06924BE7" w14:textId="77777777" w:rsidR="00C85971" w:rsidRPr="007F4CC8" w:rsidRDefault="00C85971" w:rsidP="00C85971">
      <w:pPr>
        <w:rPr>
          <w:b/>
          <w:bCs/>
          <w:sz w:val="24"/>
          <w:rFonts w:ascii="Times New Roman" w:hAnsi="Times New Roman" w:cs="Times New Roman"/>
        </w:rPr>
      </w:pPr>
      <w:r>
        <w:rPr>
          <w:b/>
          <w:sz w:val="24"/>
          <w:rFonts w:ascii="Times New Roman" w:hAnsi="Times New Roman"/>
        </w:rPr>
        <w:t xml:space="preserve">Šablona EU CC2 – Sesouhlasení regulatorního kapitálu s rozvahou v auditované účetní závěrce</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Informace uvedené v čl. 437 písm. a) CRR zpřístupňují instituce podle následujících pokynů k vyplnění šablony EU CC2, obsažené v příloze VII tohoto prováděcího nařízení.</w:t>
      </w:r>
    </w:p>
    <w:p w14:paraId="3460ABBC"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Instituce zpřístupňují rozvahu obsaženou v jejich zveřejněné účetní závěrce.</w:t>
      </w:r>
      <w:r>
        <w:rPr>
          <w:sz w:val="24"/>
          <w:rFonts w:ascii="Times New Roman" w:hAnsi="Times New Roman"/>
        </w:rPr>
        <w:t xml:space="preserve"> </w:t>
      </w:r>
      <w:r>
        <w:rPr>
          <w:sz w:val="24"/>
          <w:rFonts w:ascii="Times New Roman" w:hAnsi="Times New Roman"/>
        </w:rPr>
        <w:t xml:space="preserve">Účetní závěrkou musí být auditovaná účetní závěrka uvádějící údaje ke konci roku.</w:t>
      </w:r>
    </w:p>
    <w:p w14:paraId="7BA92967"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Řádky šablony jsou flexibilní a instituce je vyplní v souladu se svou účetní závěrkou.</w:t>
      </w:r>
      <w:r>
        <w:rPr>
          <w:sz w:val="24"/>
          <w:rFonts w:ascii="Times New Roman" w:hAnsi="Times New Roman"/>
        </w:rPr>
        <w:t xml:space="preserve"> </w:t>
      </w:r>
      <w:r>
        <w:rPr>
          <w:sz w:val="24"/>
          <w:rFonts w:ascii="Times New Roman" w:hAnsi="Times New Roman"/>
        </w:rPr>
        <w:t xml:space="preserve">Položky kapitálu v auditované účetní závěrce zahrnují veškeré položky, které jsou složkami regulatorního kapitálu nebo které jsou odečteny od tohoto kapitálu, včetně vlastního kapitálu, závazků, jako jsou dluhy, nebo jiných rozvahových položek, které ovlivňují regulatorní kapitál, jako jsou nehmotná aktiva, goodwill a odložené daňové pohledávky.</w:t>
      </w:r>
      <w:r>
        <w:rPr>
          <w:sz w:val="24"/>
          <w:rFonts w:ascii="Times New Roman" w:hAnsi="Times New Roman"/>
        </w:rPr>
        <w:t xml:space="preserve"> </w:t>
      </w:r>
      <w:r>
        <w:rPr>
          <w:sz w:val="24"/>
          <w:rFonts w:ascii="Times New Roman" w:hAnsi="Times New Roman"/>
        </w:rPr>
        <w:t xml:space="preserve">Instituce podle potřeby rozšíří položky kapitálu v rozvaze, aby zajistily, že všechny složky obsažené v šabloně pro zpřístupňování informací o složení kapitálu (šablona EU CC1) budou uvedeny zvlášť.</w:t>
      </w:r>
      <w:r>
        <w:rPr>
          <w:sz w:val="24"/>
          <w:rFonts w:ascii="Times New Roman" w:hAnsi="Times New Roman"/>
        </w:rPr>
        <w:t xml:space="preserve"> </w:t>
      </w:r>
      <w:r>
        <w:rPr>
          <w:sz w:val="24"/>
          <w:rFonts w:ascii="Times New Roman" w:hAnsi="Times New Roman"/>
        </w:rPr>
        <w:t xml:space="preserve">Instituce rozšíří prvky rozvahy pouze na takovou úroveň členění, která je nezbytná k odvození složek požadovaných šablonou EU CC1.</w:t>
      </w:r>
      <w:r>
        <w:rPr>
          <w:sz w:val="24"/>
          <w:rFonts w:ascii="Times New Roman" w:hAnsi="Times New Roman"/>
        </w:rPr>
        <w:t xml:space="preserve"> </w:t>
      </w:r>
      <w:r>
        <w:rPr>
          <w:sz w:val="24"/>
          <w:rFonts w:ascii="Times New Roman" w:hAnsi="Times New Roman"/>
        </w:rPr>
        <w:t xml:space="preserve">Zpřístupnění informací musí být přiměřené složitosti rozvahy instituce.</w:t>
      </w:r>
    </w:p>
    <w:p w14:paraId="23A65A04"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Sloupce jsou pevně dané a informace v nich se uvedou takto:</w:t>
      </w:r>
    </w:p>
    <w:p w14:paraId="3FD82033" w14:textId="77777777" w:rsidR="00C85971" w:rsidRPr="007F4CC8" w:rsidRDefault="00C85971" w:rsidP="00C85971">
      <w:pPr>
        <w:pStyle w:val="numberedparagraph"/>
        <w:numPr>
          <w:ilvl w:val="1"/>
          <w:numId w:val="3"/>
        </w:numPr>
        <w:tabs>
          <w:tab w:val="clear" w:pos="-180"/>
        </w:tabs>
        <w:spacing w:line="240" w:lineRule="auto"/>
        <w:ind w:left="709"/>
        <w:rPr>
          <w:sz w:val="24"/>
          <w:rFonts w:ascii="Times New Roman" w:hAnsi="Times New Roman" w:cs="Times New Roman"/>
        </w:rPr>
      </w:pPr>
      <w:r>
        <w:rPr>
          <w:sz w:val="24"/>
          <w:rFonts w:ascii="Times New Roman" w:hAnsi="Times New Roman"/>
        </w:rPr>
        <w:t xml:space="preserve">Sloupec „a“:</w:t>
      </w:r>
      <w:r>
        <w:rPr>
          <w:sz w:val="24"/>
          <w:rFonts w:ascii="Times New Roman" w:hAnsi="Times New Roman"/>
        </w:rPr>
        <w:t xml:space="preserve"> </w:t>
      </w:r>
      <w:r>
        <w:rPr>
          <w:sz w:val="24"/>
          <w:rFonts w:ascii="Times New Roman" w:hAnsi="Times New Roman"/>
        </w:rPr>
        <w:t xml:space="preserve">Instituce uvedou číselné údaje vykázané v rozvaze obsažené v jejich zveřejněných účetních závěrkách v souladu s účetním rozsahem konsolidace.</w:t>
      </w:r>
    </w:p>
    <w:p w14:paraId="615808B6" w14:textId="77777777" w:rsidR="00C85971" w:rsidRPr="007F4CC8" w:rsidRDefault="00C85971" w:rsidP="00C85971">
      <w:pPr>
        <w:pStyle w:val="numberedparagraph"/>
        <w:numPr>
          <w:ilvl w:val="1"/>
          <w:numId w:val="3"/>
        </w:numPr>
        <w:tabs>
          <w:tab w:val="clear" w:pos="-180"/>
        </w:tabs>
        <w:spacing w:line="240" w:lineRule="auto"/>
        <w:ind w:left="709"/>
        <w:rPr>
          <w:sz w:val="24"/>
          <w:rFonts w:ascii="Times New Roman" w:hAnsi="Times New Roman" w:cs="Times New Roman"/>
        </w:rPr>
      </w:pPr>
      <w:r>
        <w:rPr>
          <w:sz w:val="24"/>
          <w:rFonts w:ascii="Times New Roman" w:hAnsi="Times New Roman"/>
        </w:rPr>
        <w:t xml:space="preserve">Sloupec „b“:</w:t>
      </w:r>
      <w:r>
        <w:rPr>
          <w:sz w:val="24"/>
          <w:rFonts w:ascii="Times New Roman" w:hAnsi="Times New Roman"/>
        </w:rPr>
        <w:t xml:space="preserve"> </w:t>
      </w:r>
      <w:r>
        <w:rPr>
          <w:sz w:val="24"/>
          <w:rFonts w:ascii="Times New Roman" w:hAnsi="Times New Roman"/>
        </w:rPr>
        <w:t xml:space="preserve">Instituce uvedou číselné údaje odpovídající obezřetnostní konsolidaci.</w:t>
      </w:r>
    </w:p>
    <w:p w14:paraId="09531333" w14:textId="77777777" w:rsidR="00C85971" w:rsidRPr="007F4CC8" w:rsidRDefault="00C85971" w:rsidP="00C85971">
      <w:pPr>
        <w:pStyle w:val="numberedparagraph"/>
        <w:numPr>
          <w:ilvl w:val="1"/>
          <w:numId w:val="3"/>
        </w:numPr>
        <w:tabs>
          <w:tab w:val="clear" w:pos="-180"/>
        </w:tabs>
        <w:spacing w:line="240" w:lineRule="auto"/>
        <w:ind w:left="709"/>
        <w:rPr>
          <w:sz w:val="24"/>
          <w:rFonts w:ascii="Times New Roman" w:hAnsi="Times New Roman" w:cs="Times New Roman"/>
        </w:rPr>
      </w:pPr>
      <w:r>
        <w:rPr>
          <w:sz w:val="24"/>
          <w:rFonts w:ascii="Times New Roman" w:hAnsi="Times New Roman"/>
        </w:rPr>
        <w:t xml:space="preserve">Sloupec „c“:</w:t>
      </w:r>
      <w:r>
        <w:rPr>
          <w:sz w:val="24"/>
          <w:rFonts w:ascii="Times New Roman" w:hAnsi="Times New Roman"/>
        </w:rPr>
        <w:t xml:space="preserve"> </w:t>
      </w:r>
      <w:r>
        <w:rPr>
          <w:sz w:val="24"/>
          <w:rFonts w:ascii="Times New Roman" w:hAnsi="Times New Roman"/>
        </w:rPr>
        <w:t xml:space="preserve">Instituce uvedou křížové odkazy mezi položkou kapitálu v šabloně EU CC2 a příslušnými položkami šablony pro zpřístupňování informací o kapitálu EU CC1.</w:t>
      </w:r>
      <w:r>
        <w:rPr>
          <w:sz w:val="24"/>
          <w:rFonts w:ascii="Times New Roman" w:hAnsi="Times New Roman"/>
        </w:rPr>
        <w:t xml:space="preserve"> </w:t>
      </w:r>
      <w:r>
        <w:rPr>
          <w:sz w:val="24"/>
          <w:rFonts w:ascii="Times New Roman" w:hAnsi="Times New Roman"/>
        </w:rPr>
        <w:t xml:space="preserve">Odkaz ve sloupci „c“ šablony EU CC2 bude propojen s odkazem uvedeným ve sloupci „b“ šablony EU CC1.</w:t>
      </w:r>
    </w:p>
    <w:p w14:paraId="53144047"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V následujících případech, kdy je rozsah účetní konsolidace institucí zcela shodný s rozsahem obezřetnostní konsolidace, sloupce „a“ a „b“ této přílohy se sloučí a tato skutečnost bude jasně uvedena.</w:t>
      </w:r>
    </w:p>
    <w:p w14:paraId="4AF2B8D6" w14:textId="77777777" w:rsidR="00C85971" w:rsidRPr="007F4CC8" w:rsidRDefault="00C85971" w:rsidP="00C85971">
      <w:pPr>
        <w:pStyle w:val="numberedparagraph"/>
        <w:numPr>
          <w:ilvl w:val="1"/>
          <w:numId w:val="3"/>
        </w:numPr>
        <w:spacing w:line="240" w:lineRule="auto"/>
        <w:ind w:left="709"/>
        <w:rPr>
          <w:bCs/>
          <w:sz w:val="24"/>
          <w:rFonts w:ascii="Times New Roman" w:hAnsi="Times New Roman" w:cs="Times New Roman"/>
        </w:rPr>
      </w:pPr>
      <w:r>
        <w:rPr>
          <w:sz w:val="24"/>
          <w:rFonts w:ascii="Times New Roman" w:hAnsi="Times New Roman"/>
        </w:rPr>
        <w:t xml:space="preserve">Pokud instituce plní požadavky stanovené v části osmé CRR na konsolidovaném nebo subkonsolidovaném základě, rozsah a metoda konsolidace použité pro rozvahu v rámci účetní závěrky jsou však totožné s rozsahem a metodou konsolidace stanovenými podle části první hlavy II kapitoly 2 CRR, a instituce jednoznačně uvedou, že mezi příslušnými rozsahy a metodami konsolidace neexistují rozdíly.</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bCs/>
          <w:sz w:val="24"/>
          <w:rFonts w:ascii="Times New Roman" w:hAnsi="Times New Roman" w:cs="Times New Roman"/>
        </w:rPr>
      </w:pPr>
      <w:r>
        <w:rPr>
          <w:sz w:val="24"/>
          <w:rFonts w:ascii="Times New Roman" w:hAnsi="Times New Roman"/>
        </w:rPr>
        <w:t xml:space="preserve">Pokud instituce plní požadavky stanovené v části osmé CRR na individuálním základě.</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b/>
          <w:bCs/>
          <w:sz w:val="24"/>
          <w:rFonts w:ascii="Times New Roman" w:hAnsi="Times New Roman" w:cs="Times New Roman"/>
        </w:rPr>
      </w:pPr>
      <w:r>
        <w:rPr>
          <w:b/>
          <w:sz w:val="24"/>
          <w:rFonts w:ascii="Times New Roman" w:hAnsi="Times New Roman"/>
        </w:rPr>
        <w:t xml:space="preserve">Tabulka EU CCA – Základní vlastnosti nástrojů regulatorního kapitálu a nástrojů způsobilých závazků</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Informace uvedené v čl. 437 písm. b) a c) CRR zpřístupňují instituce podle následujících pokynů k vyplnění tabulky EU CCA, obsažené v příloze VII tohoto prováděcího nařízení.</w:t>
      </w:r>
    </w:p>
    <w:p w14:paraId="6AE59B0D"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Instituce vyplní tabulku EU CCA pro tyto kategorie:</w:t>
      </w:r>
      <w:r>
        <w:rPr>
          <w:sz w:val="24"/>
          <w:rFonts w:ascii="Times New Roman" w:hAnsi="Times New Roman"/>
        </w:rPr>
        <w:t xml:space="preserve"> </w:t>
      </w:r>
      <w:r>
        <w:rPr>
          <w:sz w:val="24"/>
          <w:rFonts w:ascii="Times New Roman" w:hAnsi="Times New Roman"/>
        </w:rPr>
        <w:t xml:space="preserve">nástroje zahrnované do kmenového kapitálu tier 1, nástroje zahrnované do vedlejšího kapitálu tier 1, nástroje zahrnované do kapitálu tier 2 a ve smyslu článku 72b CRR nástroje způsobilých závazků.</w:t>
      </w:r>
    </w:p>
    <w:p w14:paraId="057A1F3D"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Tabulky obsahují samostatné sloupce s vlastnostmi jednotlivých nástrojů regulatorního kapitálu a nástrojů způsobilých závazků.</w:t>
      </w:r>
      <w:r>
        <w:rPr>
          <w:sz w:val="24"/>
          <w:rFonts w:ascii="Times New Roman" w:hAnsi="Times New Roman"/>
        </w:rPr>
        <w:t xml:space="preserve"> </w:t>
      </w:r>
      <w:r>
        <w:rPr>
          <w:sz w:val="24"/>
          <w:rFonts w:ascii="Times New Roman" w:hAnsi="Times New Roman"/>
        </w:rPr>
        <w:t xml:space="preserve">Mají-li různé nástroje téže kategorie totožné vlastnosti, mohou instituce vyplnit pouze jeden sloupec uvádějící tyto totožné vlastnosti a určit emise, jichž se totožné vlastnosti týkají.</w:t>
      </w:r>
      <w:r>
        <w:rPr>
          <w:sz w:val="24"/>
          <w:rFonts w:ascii="Times New Roman" w:hAnsi="Times New Roman"/>
        </w:rPr>
        <w:t xml:space="preserve"> </w:t>
      </w:r>
      <w:r>
        <w:rPr>
          <w:sz w:val="24"/>
          <w:rFonts w:ascii="Times New Roman" w:hAnsi="Times New Roman"/>
        </w:rPr>
        <w:t xml:space="preserve">Při zpřístupňování informací ve sloupcích pro tyto nástroje je instituce seskupí do tří oddílů (vodorovně v tabulce), aby znázornily, zda jsou nástroje určeny ke splnění i) požadavků týkajících se pouze kapitálu (nikoli však způsobilých závazků);</w:t>
      </w:r>
      <w:r>
        <w:rPr>
          <w:sz w:val="24"/>
          <w:rFonts w:ascii="Times New Roman" w:hAnsi="Times New Roman"/>
        </w:rPr>
        <w:t xml:space="preserve"> </w:t>
      </w:r>
      <w:r>
        <w:rPr>
          <w:sz w:val="24"/>
          <w:rFonts w:ascii="Times New Roman" w:hAnsi="Times New Roman"/>
        </w:rPr>
        <w:t xml:space="preserve">ii) jak kapitálu, tak způsobilých závazků,</w:t>
      </w:r>
      <w:r>
        <w:rPr>
          <w:sz w:val="24"/>
          <w:rFonts w:ascii="Times New Roman" w:hAnsi="Times New Roman"/>
        </w:rPr>
        <w:t xml:space="preserve"> </w:t>
      </w:r>
      <w:r>
        <w:rPr>
          <w:sz w:val="24"/>
          <w:rFonts w:ascii="Times New Roman" w:hAnsi="Times New Roman"/>
        </w:rPr>
        <w:t xml:space="preserve">nebo iii) pouze požadavků týkajících se způsobilých závazků (nikoli však na kapitálu).</w:t>
      </w:r>
      <w:r>
        <w:rPr>
          <w:sz w:val="24"/>
          <w:rFonts w:ascii="Times New Roman" w:hAnsi="Times New Roman"/>
        </w:rPr>
        <w:tab/>
      </w:r>
    </w:p>
    <w:p w14:paraId="390D0EA6"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Ve vztahu k nástrojům způsobilých závazků, které nejsou podřízeny vyloučeným závazkům, instituce zpřístupňují informace týkající se pouze cenných papírů, které jsou zastupitelnými, obchodovatelnými finančními nástroji, s vyloučením úvěrů a vkladů.</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b/>
                <w:bCs/>
                <w:color w:val="000000"/>
                <w:sz w:val="24"/>
                <w:rFonts w:ascii="Times New Roman" w:eastAsia="Times New Roman" w:hAnsi="Times New Roman" w:cs="Times New Roman"/>
              </w:rPr>
            </w:pPr>
            <w:r>
              <w:rPr>
                <w:b/>
                <w:color w:val="000000"/>
                <w:sz w:val="24"/>
                <w:rFonts w:ascii="Times New Roman" w:hAnsi="Times New Roman"/>
              </w:rPr>
              <w:t xml:space="preserve">Pokyny k vyplnění tabulky základních vlastností nástrojů regulatorního kapitálu a způsobilých závazků</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b/>
                <w:bCs/>
                <w:color w:val="000000"/>
                <w:sz w:val="24"/>
                <w:rFonts w:ascii="Times New Roman" w:eastAsia="Times New Roman" w:hAnsi="Times New Roman" w:cs="Times New Roman"/>
              </w:rPr>
            </w:pPr>
            <w:r>
              <w:rPr>
                <w:b/>
                <w:color w:val="000000"/>
                <w:sz w:val="24"/>
                <w:rFonts w:ascii="Times New Roman" w:hAnsi="Times New Roman"/>
              </w:rPr>
              <w:t xml:space="preserve">Řádek</w:t>
            </w:r>
          </w:p>
        </w:tc>
        <w:tc>
          <w:tcPr>
            <w:tcW w:w="7661" w:type="dxa"/>
            <w:shd w:val="clear" w:color="auto" w:fill="D9D9D9" w:themeFill="background1" w:themeFillShade="D9"/>
            <w:noWrap/>
            <w:vAlign w:val="bottom"/>
          </w:tcPr>
          <w:p w14:paraId="0BED80E1" w14:textId="77777777" w:rsidR="00C85971" w:rsidRPr="007F4CC8" w:rsidRDefault="00C85971" w:rsidP="00D819DE">
            <w:pPr>
              <w:rPr>
                <w:b/>
                <w:bCs/>
                <w:color w:val="000000"/>
                <w:sz w:val="24"/>
                <w:rFonts w:ascii="Times New Roman" w:eastAsia="Times New Roman" w:hAnsi="Times New Roman" w:cs="Times New Roman"/>
              </w:rPr>
            </w:pPr>
            <w:r>
              <w:rPr>
                <w:b/>
                <w:color w:val="000000"/>
                <w:sz w:val="24"/>
                <w:rFonts w:ascii="Times New Roman" w:hAnsi="Times New Roman"/>
              </w:rPr>
              <w:t xml:space="preserve">Vysvětlení</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w:t>
            </w:r>
          </w:p>
        </w:tc>
        <w:tc>
          <w:tcPr>
            <w:tcW w:w="7661" w:type="dxa"/>
            <w:shd w:val="clear" w:color="auto" w:fill="auto"/>
            <w:noWrap/>
            <w:vAlign w:val="bottom"/>
          </w:tcPr>
          <w:p w14:paraId="235D6D49"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Emitent</w:t>
            </w:r>
          </w:p>
          <w:p w14:paraId="5236523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uvedou oficiální název emitenta.</w:t>
            </w:r>
          </w:p>
          <w:p w14:paraId="08FC4FB7"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Volný text</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w:t>
            </w:r>
          </w:p>
        </w:tc>
        <w:tc>
          <w:tcPr>
            <w:tcW w:w="7661" w:type="dxa"/>
            <w:shd w:val="clear" w:color="auto" w:fill="auto"/>
            <w:noWrap/>
            <w:vAlign w:val="bottom"/>
          </w:tcPr>
          <w:p w14:paraId="6C54C94E"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Specifický identifikační kód (např. CUSIP, ISIN nebo Bloomberg v případě soukromé investice)</w:t>
            </w:r>
          </w:p>
          <w:p w14:paraId="0BBBA79B"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Volný text</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EU-2a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Veřejná nebo soukromá investice</w:t>
            </w:r>
          </w:p>
          <w:p w14:paraId="534DDFEE"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Instituce upřesní, zda byl nástroj předmětem veřejné, nebo soukromé investice.</w:t>
            </w:r>
          </w:p>
          <w:p w14:paraId="6D949888"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[Veřejná] [ Soukromá]</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Právní předpisy, jimiž se nástroj řídí</w:t>
            </w:r>
          </w:p>
          <w:p w14:paraId="15AB1E4E"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Instituce upřesní právní předpisy, jimiž se nástroj řídí.</w:t>
            </w:r>
            <w:r>
              <w:rPr>
                <w:sz w:val="24"/>
                <w:rFonts w:ascii="Times New Roman" w:hAnsi="Times New Roman"/>
              </w:rPr>
              <w:t xml:space="preserve"> </w:t>
            </w:r>
          </w:p>
          <w:p w14:paraId="60B649A9"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Volný text</w:t>
            </w:r>
            <w:r>
              <w:rPr>
                <w:i/>
                <w:sz w:val="24"/>
                <w:rFonts w:ascii="Times New Roman" w:hAnsi="Times New Roman"/>
              </w:rPr>
              <w:t xml:space="preserve">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Smluvní uznání pravomocí příslušného orgánu k odpisu a konverzi</w:t>
            </w:r>
          </w:p>
          <w:p w14:paraId="019792C7"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Instituce upřesní, zda nástroj obsahuje doložku, podle níž má být na základě rozhodnutí orgánu příslušného k řešení krize nebo relevantního orgánu třetí země trvale odepsána jistina nástroje, nebo má být nástroj konvertován na nástroj zahrnovaný do kmenového kapitálu tier 1 ve smyslu těchto ustanovení:</w:t>
            </w:r>
          </w:p>
          <w:p w14:paraId="2EE684C1"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 pokud jde o nástroje zahrnované do vedlejšího kapitálu tier 1, čl. 52 odst. 1 písm. p) CRR,</w:t>
            </w:r>
          </w:p>
          <w:p w14:paraId="5C7FBD40"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 pokud jde o nástroje zahrnované do kapitálu tier 2, čl. 63 písm. n) nebo o) CRR,</w:t>
            </w:r>
          </w:p>
          <w:p w14:paraId="2B8C1D20"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 pokud jde o způsobilé závazky, čl. 72b odst. 2 písm. n) CRR,</w:t>
            </w:r>
          </w:p>
          <w:p w14:paraId="394620C1"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 pokud jde o kterýkoli výše uvedený nástroj, který se řídí právem třetí země, článek 55 směrnice (EU) 2019/879</w:t>
            </w:r>
            <w:r w:rsidRPr="007F4CC8">
              <w:rPr>
                <w:rStyle w:val="FootnoteReference"/>
                <w:rFonts w:ascii="Times New Roman" w:eastAsia="Times New Roman" w:hAnsi="Times New Roman" w:cs="Times New Roman"/>
                <w:sz w:val="24"/>
                <w:lang w:eastAsia="en-GB"/>
              </w:rPr>
              <w:footnoteReference w:id="3"/>
            </w:r>
            <w:r>
              <w:rPr>
                <w:sz w:val="24"/>
                <w:rFonts w:ascii="Times New Roman" w:hAnsi="Times New Roman"/>
              </w:rPr>
              <w:t xml:space="preserve"> (dále jen „BRRD“).</w:t>
            </w:r>
          </w:p>
          <w:p w14:paraId="52635491"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Odpis a konverze mohou být v souladu s článkem 55 BRRD a současně s kteroukoli z prvních tří odrážek.</w:t>
            </w:r>
          </w:p>
          <w:p w14:paraId="47B03151"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[ANO] [NE]</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4</w:t>
            </w:r>
          </w:p>
        </w:tc>
        <w:tc>
          <w:tcPr>
            <w:tcW w:w="7661" w:type="dxa"/>
            <w:shd w:val="clear" w:color="auto" w:fill="auto"/>
            <w:noWrap/>
            <w:vAlign w:val="bottom"/>
          </w:tcPr>
          <w:p w14:paraId="783C894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Současné zacházení zohledňující dle potřeby pravidla CRR platná v přechodném období</w:t>
            </w:r>
          </w:p>
          <w:p w14:paraId="456BE59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přechodné zacházení s regulatorním kapitálem podle CRR.</w:t>
            </w:r>
            <w:r>
              <w:rPr>
                <w:sz w:val="24"/>
                <w:rFonts w:ascii="Times New Roman" w:hAnsi="Times New Roman"/>
              </w:rPr>
              <w:t xml:space="preserve"> </w:t>
            </w:r>
            <w:r>
              <w:rPr>
                <w:sz w:val="24"/>
                <w:rFonts w:ascii="Times New Roman" w:hAnsi="Times New Roman"/>
              </w:rPr>
              <w:t xml:space="preserve">Rozhodující je původní klasifikace nástroje bez ohledu na případnou reklasifikaci na kapitál nižší třídy.</w:t>
            </w:r>
          </w:p>
          <w:p w14:paraId="57541963"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[Kmenový kapitál tier 1] [Vedlejší kapitál tier 1] [Kapitál tier 2] [Nezpůsobilé] [Nepoužije se]</w:t>
            </w:r>
          </w:p>
          <w:p w14:paraId="505EE001"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Volný text – upřesněte, zda byla část emise reklasifikována na kapitál nižší třídy.</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5</w:t>
            </w:r>
          </w:p>
        </w:tc>
        <w:tc>
          <w:tcPr>
            <w:tcW w:w="7661" w:type="dxa"/>
            <w:shd w:val="clear" w:color="auto" w:fill="auto"/>
            <w:noWrap/>
            <w:vAlign w:val="bottom"/>
          </w:tcPr>
          <w:p w14:paraId="7CC7BD39"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Pravidla CRR platná po uplynutí přechodného období</w:t>
            </w:r>
          </w:p>
          <w:p w14:paraId="15B33FD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zacházení s regulatorním kapitálem podle CRR, aniž by se přihlíželo k přechodnému zacházení.</w:t>
            </w:r>
            <w:r>
              <w:rPr>
                <w:sz w:val="24"/>
                <w:rFonts w:ascii="Times New Roman" w:hAnsi="Times New Roman"/>
              </w:rPr>
              <w:t xml:space="preserve"> </w:t>
            </w:r>
          </w:p>
          <w:p w14:paraId="18A44EE8"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[Kmenový kapitál tier 1] [Vedlejší kapitál tier 1] [Kapitál tier 2] [Způsobilé závazky] [Nezpůsobilé]</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6</w:t>
            </w:r>
          </w:p>
        </w:tc>
        <w:tc>
          <w:tcPr>
            <w:tcW w:w="7661" w:type="dxa"/>
            <w:shd w:val="clear" w:color="auto" w:fill="auto"/>
            <w:noWrap/>
            <w:vAlign w:val="bottom"/>
          </w:tcPr>
          <w:p w14:paraId="5FA2D31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Způsobilý na individuálním/(sub-)konsolidovaném základě / individuálním a (sub-)konsolidovaném základě</w:t>
            </w:r>
          </w:p>
          <w:p w14:paraId="04883C7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úroveň nebo úrovně v rámci skupiny, na nichž je nástroj zahrnován do kapitálu / způsobilých závazků.</w:t>
            </w:r>
          </w:p>
          <w:p w14:paraId="7983B242"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[Individuální] [(Sub-)konsolidovaný] [Individuální a (sub-)konsolidovaný]</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7</w:t>
            </w:r>
          </w:p>
        </w:tc>
        <w:tc>
          <w:tcPr>
            <w:tcW w:w="7661" w:type="dxa"/>
            <w:shd w:val="clear" w:color="auto" w:fill="auto"/>
            <w:noWrap/>
            <w:vAlign w:val="bottom"/>
          </w:tcPr>
          <w:p w14:paraId="76DDD347"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Typ nástroje (typy upřesní každá jurisdikce)</w:t>
            </w:r>
          </w:p>
          <w:p w14:paraId="36FF354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typ nástroje v závislosti na jurisdikci.</w:t>
            </w:r>
            <w:r>
              <w:rPr>
                <w:sz w:val="24"/>
                <w:rFonts w:ascii="Times New Roman" w:hAnsi="Times New Roman"/>
              </w:rPr>
              <w:t xml:space="preserve"> </w:t>
            </w:r>
          </w:p>
          <w:p w14:paraId="77AB4FE3"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 případě nástrojů zahrnovaných do kmenového kapitálu tier 1 vyberte název nástroje ze seznamu pro CET1, který zveřejňuje EBA podle čl. 26 odst. 3 CRR.</w:t>
            </w:r>
          </w:p>
          <w:p w14:paraId="02249DAC"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 případě ostatních nástrojů vyberte z:</w:t>
            </w:r>
            <w:r>
              <w:rPr>
                <w:i/>
                <w:sz w:val="24"/>
                <w:rFonts w:ascii="Times New Roman" w:hAnsi="Times New Roman"/>
              </w:rPr>
              <w:t xml:space="preserve"> </w:t>
            </w:r>
            <w:r>
              <w:rPr>
                <w:i/>
                <w:sz w:val="24"/>
                <w:rFonts w:ascii="Times New Roman" w:hAnsi="Times New Roman"/>
              </w:rPr>
              <w:t xml:space="preserve">možností v nabídce, kterou institucím poskytnou jednotlivé jurisdikce – u každého typu nástroje se vloží právní odkazy na články CRR.</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8</w:t>
            </w:r>
          </w:p>
        </w:tc>
        <w:tc>
          <w:tcPr>
            <w:tcW w:w="7661" w:type="dxa"/>
            <w:shd w:val="clear" w:color="auto" w:fill="auto"/>
            <w:noWrap/>
            <w:vAlign w:val="bottom"/>
          </w:tcPr>
          <w:p w14:paraId="7DE2CA9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Objem uznaný v regulatorním kapitálu nebo způsobilých závazcích (měna v milionech, k poslednímu datu pro vykazování)</w:t>
            </w:r>
          </w:p>
          <w:p w14:paraId="00829990"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objem uznaný v regulatorním kapitálu nebo způsobilých závazcích.</w:t>
            </w:r>
          </w:p>
          <w:p w14:paraId="2D49DE4A"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Volný text – zejména upřesněte, zda jsou určité části nástrojů vykazovány v různých třídách regulatorního kapitálu a zda se objem uznaný v regulatorním kapitálu liší od emitovaného objemu.</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9</w:t>
            </w:r>
          </w:p>
        </w:tc>
        <w:tc>
          <w:tcPr>
            <w:tcW w:w="7661" w:type="dxa"/>
            <w:shd w:val="clear" w:color="auto" w:fill="auto"/>
            <w:noWrap/>
            <w:vAlign w:val="bottom"/>
          </w:tcPr>
          <w:p w14:paraId="2349DBC0"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Nominální hodnota nástroje</w:t>
            </w:r>
            <w:r>
              <w:rPr>
                <w:sz w:val="24"/>
                <w:rFonts w:ascii="Times New Roman" w:hAnsi="Times New Roman"/>
              </w:rPr>
              <w:t xml:space="preserve"> </w:t>
            </w:r>
          </w:p>
          <w:p w14:paraId="6380272B"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Nominální hodnota nástroje v měně emise a měně použité pro oznamovací povinnosti.</w:t>
            </w:r>
          </w:p>
          <w:p w14:paraId="466B9555"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Volný text</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EU-9a</w:t>
            </w:r>
          </w:p>
        </w:tc>
        <w:tc>
          <w:tcPr>
            <w:tcW w:w="7661" w:type="dxa"/>
            <w:shd w:val="clear" w:color="auto" w:fill="auto"/>
            <w:noWrap/>
            <w:vAlign w:val="bottom"/>
          </w:tcPr>
          <w:p w14:paraId="24E5CF7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Emisní cena</w:t>
            </w:r>
          </w:p>
          <w:p w14:paraId="1F541B10"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Emisní cena nástroje</w:t>
            </w:r>
          </w:p>
          <w:p w14:paraId="789EF5B3"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Volný text</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EU-9b</w:t>
            </w:r>
          </w:p>
        </w:tc>
        <w:tc>
          <w:tcPr>
            <w:tcW w:w="7661" w:type="dxa"/>
            <w:shd w:val="clear" w:color="auto" w:fill="auto"/>
            <w:noWrap/>
            <w:vAlign w:val="bottom"/>
          </w:tcPr>
          <w:p w14:paraId="121E8937"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Cena při splacení</w:t>
            </w:r>
          </w:p>
          <w:p w14:paraId="3882BA0E"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Cena při splacení nástroje</w:t>
            </w:r>
          </w:p>
          <w:p w14:paraId="0A2871F9"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Volný text</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10</w:t>
            </w:r>
          </w:p>
        </w:tc>
        <w:tc>
          <w:tcPr>
            <w:tcW w:w="7661" w:type="dxa"/>
            <w:shd w:val="clear" w:color="auto" w:fill="auto"/>
            <w:noWrap/>
            <w:vAlign w:val="bottom"/>
          </w:tcPr>
          <w:p w14:paraId="19BCB8EF"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Účetní klasifikace</w:t>
            </w:r>
          </w:p>
          <w:p w14:paraId="780F56D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účetní klasifikaci.</w:t>
            </w:r>
          </w:p>
          <w:p w14:paraId="7F82F115"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[Vlastní kapitál akcionářů] [Závazek – zůstatková hodnota] [Závazek – reálná hodnota] [Menšinový podíl v dceřiném podniku zahrnutém do konsolidace]</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11</w:t>
            </w:r>
          </w:p>
        </w:tc>
        <w:tc>
          <w:tcPr>
            <w:tcW w:w="7661" w:type="dxa"/>
            <w:shd w:val="clear" w:color="auto" w:fill="auto"/>
            <w:noWrap/>
            <w:vAlign w:val="bottom"/>
          </w:tcPr>
          <w:p w14:paraId="458D846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Původní datum emise</w:t>
            </w:r>
          </w:p>
          <w:p w14:paraId="611C9A3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datum vydání.</w:t>
            </w:r>
          </w:p>
          <w:p w14:paraId="2154F810"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Volný text</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12</w:t>
            </w:r>
          </w:p>
        </w:tc>
        <w:tc>
          <w:tcPr>
            <w:tcW w:w="7661" w:type="dxa"/>
            <w:shd w:val="clear" w:color="auto" w:fill="auto"/>
            <w:noWrap/>
            <w:vAlign w:val="bottom"/>
          </w:tcPr>
          <w:p w14:paraId="4EF23CA5"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Věčný nebo datovaný</w:t>
            </w:r>
            <w:r>
              <w:rPr>
                <w:sz w:val="24"/>
                <w:rFonts w:ascii="Times New Roman" w:hAnsi="Times New Roman"/>
              </w:rPr>
              <w:t xml:space="preserve"> </w:t>
            </w:r>
          </w:p>
          <w:p w14:paraId="3E0D6EB1"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zda se jedná o datovaný, nebo věčný nástroj.</w:t>
            </w:r>
          </w:p>
          <w:p w14:paraId="245C5398"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[Věčný] [Datovaný]</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13</w:t>
            </w:r>
          </w:p>
        </w:tc>
        <w:tc>
          <w:tcPr>
            <w:tcW w:w="7661" w:type="dxa"/>
            <w:shd w:val="clear" w:color="auto" w:fill="auto"/>
            <w:noWrap/>
            <w:vAlign w:val="bottom"/>
          </w:tcPr>
          <w:p w14:paraId="6ED06368"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Původní datum splatnosti</w:t>
            </w:r>
          </w:p>
          <w:p w14:paraId="4B82838B"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U datovaného nástroje instituce upřesní původní datum splatnosti (den, měsíc a rok).</w:t>
            </w:r>
            <w:r>
              <w:rPr>
                <w:sz w:val="24"/>
                <w:rFonts w:ascii="Times New Roman" w:hAnsi="Times New Roman"/>
              </w:rPr>
              <w:t xml:space="preserve"> </w:t>
            </w:r>
            <w:r>
              <w:rPr>
                <w:sz w:val="24"/>
                <w:rFonts w:ascii="Times New Roman" w:hAnsi="Times New Roman"/>
              </w:rPr>
              <w:t xml:space="preserve">V případě věčného nástroje uveďte „bez splatnosti“.</w:t>
            </w:r>
            <w:r>
              <w:rPr>
                <w:sz w:val="24"/>
                <w:rFonts w:ascii="Times New Roman" w:hAnsi="Times New Roman"/>
              </w:rPr>
              <w:t xml:space="preserve"> </w:t>
            </w:r>
          </w:p>
          <w:p w14:paraId="68FD4196"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Volný text</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14</w:t>
            </w:r>
          </w:p>
        </w:tc>
        <w:tc>
          <w:tcPr>
            <w:tcW w:w="7661" w:type="dxa"/>
            <w:shd w:val="clear" w:color="auto" w:fill="auto"/>
            <w:noWrap/>
            <w:vAlign w:val="bottom"/>
          </w:tcPr>
          <w:p w14:paraId="4A451C2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Vypovězení emitentem s výhradou předchozího schválení orgány dohledu</w:t>
            </w:r>
            <w:r>
              <w:rPr>
                <w:sz w:val="24"/>
                <w:rFonts w:ascii="Times New Roman" w:hAnsi="Times New Roman"/>
              </w:rPr>
              <w:t xml:space="preserve"> </w:t>
            </w:r>
          </w:p>
          <w:p w14:paraId="58557375"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zda existuje možnost vypovězení emitentem (všechny typy kupních opcí).</w:t>
            </w:r>
          </w:p>
          <w:p w14:paraId="613B3C4C"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[Ano] [Ne]</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15</w:t>
            </w:r>
          </w:p>
        </w:tc>
        <w:tc>
          <w:tcPr>
            <w:tcW w:w="7661" w:type="dxa"/>
            <w:shd w:val="clear" w:color="auto" w:fill="auto"/>
            <w:noWrap/>
            <w:vAlign w:val="bottom"/>
          </w:tcPr>
          <w:p w14:paraId="6A950D9E"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Datum možného vypovězení, data případného vypovězení a hodnota při splacení</w:t>
            </w:r>
          </w:p>
          <w:p w14:paraId="73384FE5"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V případě nástroje s možností vypovězení emitentem instituce upřesní první datum vypovězení, existuje-li u nástroje možnost vypovězení k určitému dni (den, měsíc a rok), a mimoto uvede, zda u nástroje existuje možnost vypovězení v případě daňové a/nebo regulativní rozhodné události.</w:t>
            </w:r>
            <w:r>
              <w:rPr>
                <w:sz w:val="24"/>
                <w:rFonts w:ascii="Times New Roman" w:hAnsi="Times New Roman"/>
              </w:rPr>
              <w:t xml:space="preserve"> </w:t>
            </w:r>
            <w:r>
              <w:rPr>
                <w:sz w:val="24"/>
                <w:rFonts w:ascii="Times New Roman" w:hAnsi="Times New Roman"/>
              </w:rPr>
              <w:t xml:space="preserve">Instituce rovněž uvedou cenu při splacení, která pomáhá posoudit trvalost.</w:t>
            </w:r>
          </w:p>
          <w:p w14:paraId="525DFACD"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Volný text</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16</w:t>
            </w:r>
          </w:p>
        </w:tc>
        <w:tc>
          <w:tcPr>
            <w:tcW w:w="7661" w:type="dxa"/>
            <w:shd w:val="clear" w:color="auto" w:fill="auto"/>
            <w:noWrap/>
            <w:vAlign w:val="bottom"/>
          </w:tcPr>
          <w:p w14:paraId="08CF89A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Data následného vypovězení, je-li to relevantní</w:t>
            </w:r>
          </w:p>
          <w:p w14:paraId="1CE0E8DF"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existenci a četnost dat následného vypovězení, je-li to relevantní, což pomáhá posoudit trvalost.</w:t>
            </w:r>
          </w:p>
          <w:p w14:paraId="7B5269A2"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Volný text</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Pevná nebo pohyblivá dividenda/kupon</w:t>
            </w:r>
          </w:p>
          <w:p w14:paraId="52599B65"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Instituce upřesní, zda jsou kupon/dividenda během existence nástroje pevně stanovené, nebo během existence nástroje pohyblivé, nebo v současnosti pevné, v budoucnu se však sazba změní na pohyblivou, nebo v současnosti pohyblivé, v budoucnu se však sazba změní na pevnou.</w:t>
            </w:r>
            <w:r>
              <w:rPr>
                <w:sz w:val="24"/>
                <w:rFonts w:ascii="Times New Roman" w:hAnsi="Times New Roman"/>
              </w:rPr>
              <w:t xml:space="preserve"> </w:t>
            </w:r>
          </w:p>
          <w:p w14:paraId="52AB5C9D"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[Pevné] [Pohyblivé] [Změna z pevných sazeb na pohyblivé] [Změna z pohyblivých sazeb na pevné]</w:t>
            </w:r>
            <w:r>
              <w:rPr>
                <w:i/>
                <w:sz w:val="24"/>
                <w:rFonts w:ascii="Times New Roman" w:hAnsi="Times New Roman"/>
              </w:rPr>
              <w:t xml:space="preserve">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Kuponová sazba a případný související index</w:t>
            </w:r>
            <w:r>
              <w:rPr>
                <w:sz w:val="24"/>
                <w:rFonts w:ascii="Times New Roman" w:hAnsi="Times New Roman"/>
              </w:rPr>
              <w:t xml:space="preserve"> </w:t>
            </w:r>
          </w:p>
          <w:p w14:paraId="65D080DC"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Instituce upřesní kuponovou sazbu nástroje a případný související index, k němuž se kuponová/dividendová sazba vztahuje.</w:t>
            </w:r>
            <w:r>
              <w:rPr>
                <w:sz w:val="24"/>
                <w:rFonts w:ascii="Times New Roman" w:hAnsi="Times New Roman"/>
              </w:rPr>
              <w:t xml:space="preserve"> </w:t>
            </w:r>
          </w:p>
          <w:p w14:paraId="0AEC5895"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Volný text</w:t>
            </w:r>
            <w:r>
              <w:rPr>
                <w:i/>
                <w:sz w:val="24"/>
                <w:rFonts w:ascii="Times New Roman" w:hAnsi="Times New Roman"/>
              </w:rPr>
              <w:t xml:space="preserve">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Existence systému pozastavení výplaty dividend</w:t>
            </w:r>
            <w:r>
              <w:rPr>
                <w:sz w:val="24"/>
                <w:rFonts w:ascii="Times New Roman" w:hAnsi="Times New Roman"/>
              </w:rPr>
              <w:t xml:space="preserve"> </w:t>
            </w:r>
          </w:p>
          <w:p w14:paraId="5D351279"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Instituce upřesní, zda nevyplacení kuponu nebo dividendy z nástroje zakazuje výplatu dividend z kmenových akcií (tj. zda existuje systém pozastavení výplaty dividend).</w:t>
            </w:r>
            <w:r>
              <w:rPr>
                <w:sz w:val="24"/>
                <w:rFonts w:ascii="Times New Roman" w:hAnsi="Times New Roman"/>
              </w:rPr>
              <w:t xml:space="preserve"> </w:t>
            </w:r>
          </w:p>
          <w:p w14:paraId="5812A304"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[ano] [ne]</w:t>
            </w:r>
            <w:r>
              <w:rPr>
                <w:i/>
                <w:sz w:val="24"/>
                <w:rFonts w:ascii="Times New Roman" w:hAnsi="Times New Roman"/>
              </w:rPr>
              <w:t xml:space="preserve">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EU-20a</w:t>
            </w:r>
          </w:p>
        </w:tc>
        <w:tc>
          <w:tcPr>
            <w:tcW w:w="7661" w:type="dxa"/>
            <w:shd w:val="clear" w:color="auto" w:fill="auto"/>
            <w:noWrap/>
            <w:vAlign w:val="bottom"/>
          </w:tcPr>
          <w:p w14:paraId="647767A9"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Zcela podle uvážení, částečně podle uvážení nebo povinné (pokud jde o časový harmonogram)</w:t>
            </w:r>
            <w:r>
              <w:rPr>
                <w:sz w:val="24"/>
                <w:rFonts w:ascii="Times New Roman" w:hAnsi="Times New Roman"/>
              </w:rPr>
              <w:t xml:space="preserve"> </w:t>
            </w:r>
          </w:p>
          <w:p w14:paraId="53D0B84D"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zda emitent rozhoduje o vyplacení kuponů/dividend zcela podle svého uvážení, částečně podle svého uvážení, nebo zda nemá v tomto ohledu žádnou rozhodovací pravomoc.</w:t>
            </w:r>
            <w:r>
              <w:rPr>
                <w:sz w:val="24"/>
                <w:rFonts w:ascii="Times New Roman" w:hAnsi="Times New Roman"/>
              </w:rPr>
              <w:t xml:space="preserve"> </w:t>
            </w:r>
            <w:r>
              <w:rPr>
                <w:sz w:val="24"/>
                <w:rFonts w:ascii="Times New Roman" w:hAnsi="Times New Roman"/>
              </w:rPr>
              <w:t xml:space="preserve">Rozhoduje-li instituce o zrušení výplat kuponů/dividend za všech okolností podle svého uvážení, musí zvolit možnost „zcela podle uvážení“ (včetně v případech, kdy existuje systém pozastavení výplaty dividend, který instituci nebrání zrušit výplaty u nástroje).</w:t>
            </w:r>
            <w:r>
              <w:rPr>
                <w:sz w:val="24"/>
                <w:rFonts w:ascii="Times New Roman" w:hAnsi="Times New Roman"/>
              </w:rPr>
              <w:t xml:space="preserve"> </w:t>
            </w:r>
            <w:r>
              <w:rPr>
                <w:sz w:val="24"/>
                <w:rFonts w:ascii="Times New Roman" w:hAnsi="Times New Roman"/>
              </w:rPr>
              <w:t xml:space="preserve">Existují-li určité podmínky, které musí být splněny, než je možné výplatu zrušit (např. kapitál pod určitou prahovou hodnotou), musí instituce zvolit možnost „částečně podle uvážení“.</w:t>
            </w:r>
            <w:r>
              <w:rPr>
                <w:sz w:val="24"/>
                <w:rFonts w:ascii="Times New Roman" w:hAnsi="Times New Roman"/>
              </w:rPr>
              <w:t xml:space="preserve"> </w:t>
            </w:r>
            <w:r>
              <w:rPr>
                <w:sz w:val="24"/>
                <w:rFonts w:ascii="Times New Roman" w:hAnsi="Times New Roman"/>
              </w:rPr>
              <w:t xml:space="preserve">Nemůže-li instituce zrušit vyplacení mimo platební neschopnost instituce, musí vybrat možnost „povinné“.</w:t>
            </w:r>
          </w:p>
          <w:p w14:paraId="093B501F"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[Zcela podle uvážení] [Částečně podle uvážení] [Povinné]</w:t>
            </w:r>
          </w:p>
          <w:p w14:paraId="437D6930"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Volný text (uveďte důvody rozhodnutí, existenci systémů povinné výplaty dividend, systémů pozastavení výplaty dividend, alternativního mechanismu výplaty kuponu).</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EU-20b</w:t>
            </w:r>
          </w:p>
        </w:tc>
        <w:tc>
          <w:tcPr>
            <w:tcW w:w="7661" w:type="dxa"/>
            <w:shd w:val="clear" w:color="auto" w:fill="auto"/>
            <w:noWrap/>
            <w:vAlign w:val="bottom"/>
          </w:tcPr>
          <w:p w14:paraId="6504D08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Zcela podle uvážení, částečně podle uvážení nebo povinné (pokud jde o objem)</w:t>
            </w:r>
            <w:r>
              <w:rPr>
                <w:sz w:val="24"/>
                <w:rFonts w:ascii="Times New Roman" w:hAnsi="Times New Roman"/>
              </w:rPr>
              <w:t xml:space="preserve"> </w:t>
            </w:r>
          </w:p>
          <w:p w14:paraId="04BFE837"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zda emitent rozhoduje o výši kuponu/dividendy zcela podle svého uvážení, částečně podle svého uvážení, nebo zda nemá v tomto ohledu žádnou rozhodovací pravomoc.</w:t>
            </w:r>
          </w:p>
          <w:p w14:paraId="513C496A"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[Zcela podle uvážení] [Částečně podle uvážení] [Povinné]</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21</w:t>
            </w:r>
          </w:p>
        </w:tc>
        <w:tc>
          <w:tcPr>
            <w:tcW w:w="7661" w:type="dxa"/>
            <w:shd w:val="clear" w:color="auto" w:fill="auto"/>
            <w:noWrap/>
            <w:vAlign w:val="bottom"/>
          </w:tcPr>
          <w:p w14:paraId="0F2B7E1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Existence navýšení či jiné pobídky ke splacení nástroje</w:t>
            </w:r>
          </w:p>
          <w:p w14:paraId="12907BE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zda existuje navýšení či jiná pobídka ke splacení nástroje.</w:t>
            </w:r>
          </w:p>
          <w:p w14:paraId="4BED9D43"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[Ano] [Ne]</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22</w:t>
            </w:r>
          </w:p>
        </w:tc>
        <w:tc>
          <w:tcPr>
            <w:tcW w:w="7661" w:type="dxa"/>
            <w:shd w:val="clear" w:color="auto" w:fill="auto"/>
            <w:noWrap/>
            <w:vAlign w:val="bottom"/>
          </w:tcPr>
          <w:p w14:paraId="45FEA97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Nekumulativní nebo kumulativní</w:t>
            </w:r>
          </w:p>
          <w:p w14:paraId="55B7FEB7"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zda jsou dividendy/kupony kumulativní nebo nekumulativní.</w:t>
            </w:r>
          </w:p>
          <w:p w14:paraId="0EB38D12"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[Nekumulativní] [Kumulativní] [Alternativní mechanismus výplaty kuponu]</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23</w:t>
            </w:r>
          </w:p>
        </w:tc>
        <w:tc>
          <w:tcPr>
            <w:tcW w:w="7661" w:type="dxa"/>
            <w:shd w:val="clear" w:color="auto" w:fill="auto"/>
            <w:noWrap/>
            <w:vAlign w:val="bottom"/>
          </w:tcPr>
          <w:p w14:paraId="05E02B3C"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Konvertibilní nebo nekonvertibilní</w:t>
            </w:r>
          </w:p>
          <w:p w14:paraId="03E7455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zda je nástroj konvertibilní, či nikoli.</w:t>
            </w:r>
          </w:p>
          <w:p w14:paraId="5A5BB1FB"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[Konvertibilní] [Nekonvertibilní]</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24</w:t>
            </w:r>
          </w:p>
        </w:tc>
        <w:tc>
          <w:tcPr>
            <w:tcW w:w="7661" w:type="dxa"/>
            <w:shd w:val="clear" w:color="auto" w:fill="auto"/>
            <w:noWrap/>
            <w:vAlign w:val="bottom"/>
          </w:tcPr>
          <w:p w14:paraId="557E2DF9"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V případě konvertibilního nástroje, rozhodná událost pro konverzi</w:t>
            </w:r>
          </w:p>
          <w:p w14:paraId="64B68578"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podmínky konverze nástroje, včetně okamžiku neživotaschopnosti.</w:t>
            </w:r>
            <w:r>
              <w:rPr>
                <w:sz w:val="24"/>
                <w:rFonts w:ascii="Times New Roman" w:hAnsi="Times New Roman"/>
              </w:rPr>
              <w:t xml:space="preserve"> </w:t>
            </w:r>
            <w:r>
              <w:rPr>
                <w:sz w:val="24"/>
                <w:rFonts w:ascii="Times New Roman" w:hAnsi="Times New Roman"/>
              </w:rPr>
              <w:t xml:space="preserve">Pokud může konverzi provést jeden či více orgánů, uvedou se tyto orgány.</w:t>
            </w:r>
            <w:r>
              <w:rPr>
                <w:sz w:val="24"/>
                <w:rFonts w:ascii="Times New Roman" w:hAnsi="Times New Roman"/>
              </w:rPr>
              <w:t xml:space="preserve"> </w:t>
            </w:r>
            <w:r>
              <w:rPr>
                <w:sz w:val="24"/>
                <w:rFonts w:ascii="Times New Roman" w:hAnsi="Times New Roman"/>
              </w:rPr>
              <w:t xml:space="preserve">U každého orgánu se uvádí, zda právní základ pro provedení konverze orgánem stanoví podmínky smlouvy týkající se nástroje (smluvní přístup), nebo zda je právní základ stanoven zákonným způsobem (zákonný přístup).</w:t>
            </w:r>
          </w:p>
          <w:p w14:paraId="492B2888"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Volný text</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25</w:t>
            </w:r>
          </w:p>
        </w:tc>
        <w:tc>
          <w:tcPr>
            <w:tcW w:w="7661" w:type="dxa"/>
            <w:shd w:val="clear" w:color="auto" w:fill="auto"/>
            <w:noWrap/>
            <w:vAlign w:val="bottom"/>
          </w:tcPr>
          <w:p w14:paraId="37E1797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V případě konvertibilního nástroje, konvertibilní zcela nebo částečně</w:t>
            </w:r>
          </w:p>
          <w:p w14:paraId="5FFCE6A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zda bude nástroj vždy převeden zcela, zda může být převeden zcela nebo částečně, nebo zda bude vždy převeden částečně.</w:t>
            </w:r>
          </w:p>
          <w:p w14:paraId="04295F27"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[Vždy zcela] [Částečně nebo zcela] [Vždy částečně]</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26</w:t>
            </w:r>
          </w:p>
        </w:tc>
        <w:tc>
          <w:tcPr>
            <w:tcW w:w="7661" w:type="dxa"/>
            <w:shd w:val="clear" w:color="auto" w:fill="auto"/>
            <w:noWrap/>
            <w:vAlign w:val="bottom"/>
          </w:tcPr>
          <w:p w14:paraId="525BBA9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V případě konvertibilního nástroje, konverzní faktor</w:t>
            </w:r>
          </w:p>
          <w:p w14:paraId="24115E30"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konverzní faktor při převedení na nástroj více absorbující ztráty.</w:t>
            </w:r>
            <w:r>
              <w:rPr>
                <w:sz w:val="24"/>
                <w:rFonts w:ascii="Times New Roman" w:hAnsi="Times New Roman"/>
              </w:rPr>
              <w:t xml:space="preserve"> </w:t>
            </w:r>
          </w:p>
          <w:p w14:paraId="49572789"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Volný text</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27</w:t>
            </w:r>
          </w:p>
        </w:tc>
        <w:tc>
          <w:tcPr>
            <w:tcW w:w="7661" w:type="dxa"/>
            <w:shd w:val="clear" w:color="auto" w:fill="auto"/>
            <w:noWrap/>
            <w:vAlign w:val="bottom"/>
          </w:tcPr>
          <w:p w14:paraId="2824EFA1"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V případě konvertibilního nástroje, povinná nebo nepovinná konverze</w:t>
            </w:r>
          </w:p>
          <w:p w14:paraId="2C09BCD8"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U konvertibilních nástrojů instituce upřesní, zda je konverze povinná, nebo nepovinná.</w:t>
            </w:r>
            <w:r>
              <w:rPr>
                <w:sz w:val="24"/>
                <w:rFonts w:ascii="Times New Roman" w:hAnsi="Times New Roman"/>
              </w:rPr>
              <w:t xml:space="preserve"> </w:t>
            </w:r>
          </w:p>
          <w:p w14:paraId="0C9E7DA5"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[Povinná] [Nepovinná] [Nepoužitelné] a [Dle uvážení držitelů] [Dle uvážení emitenta] [Dle uvážení držitelů i emitenta]</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28</w:t>
            </w:r>
          </w:p>
        </w:tc>
        <w:tc>
          <w:tcPr>
            <w:tcW w:w="7661" w:type="dxa"/>
            <w:shd w:val="clear" w:color="auto" w:fill="auto"/>
            <w:noWrap/>
            <w:vAlign w:val="bottom"/>
          </w:tcPr>
          <w:p w14:paraId="0838A71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V případě konvertibilního nástroje upřesněte, na jaký typ nástroje lze dotyčný nástroj převést</w:t>
            </w:r>
          </w:p>
          <w:p w14:paraId="006F3C5C"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U konvertibilních nástrojů instituce upřesní, na jaký typ nástroje lze dotyčný nástroj převést.</w:t>
            </w:r>
            <w:r>
              <w:rPr>
                <w:sz w:val="24"/>
                <w:rFonts w:ascii="Times New Roman" w:hAnsi="Times New Roman"/>
              </w:rPr>
              <w:t xml:space="preserve"> </w:t>
            </w:r>
            <w:r>
              <w:rPr>
                <w:sz w:val="24"/>
                <w:rFonts w:ascii="Times New Roman" w:hAnsi="Times New Roman"/>
              </w:rPr>
              <w:t xml:space="preserve">Pomáhá posoudit schopnost absorbovat ztráty.</w:t>
            </w:r>
          </w:p>
          <w:p w14:paraId="466B3378"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[Kmenový kapitál tier 1] [Vedlejší kapitál tier 1] [Kapitál tier 2] [Jiné]</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29</w:t>
            </w:r>
          </w:p>
        </w:tc>
        <w:tc>
          <w:tcPr>
            <w:tcW w:w="7661" w:type="dxa"/>
            <w:shd w:val="clear" w:color="auto" w:fill="auto"/>
            <w:noWrap/>
            <w:vAlign w:val="bottom"/>
          </w:tcPr>
          <w:p w14:paraId="37418A51"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V případě konvertibilního nástroje uveďte emitenta nástroje, na nějž je dotyčný nástroj převeden</w:t>
            </w:r>
          </w:p>
          <w:p w14:paraId="68640A35"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Volný text</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30</w:t>
            </w:r>
          </w:p>
        </w:tc>
        <w:tc>
          <w:tcPr>
            <w:tcW w:w="7661" w:type="dxa"/>
            <w:shd w:val="clear" w:color="auto" w:fill="auto"/>
            <w:noWrap/>
            <w:vAlign w:val="bottom"/>
          </w:tcPr>
          <w:p w14:paraId="6ED6EEF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Možnost snížení účetní hodnoty</w:t>
            </w:r>
          </w:p>
          <w:p w14:paraId="4699CA87"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zda existuje možnost snížení účetní hodnoty.</w:t>
            </w:r>
            <w:r>
              <w:rPr>
                <w:sz w:val="24"/>
                <w:rFonts w:ascii="Times New Roman" w:hAnsi="Times New Roman"/>
              </w:rPr>
              <w:t xml:space="preserve"> </w:t>
            </w:r>
          </w:p>
          <w:p w14:paraId="14FB6667"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[Ano] [Ne]</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V případě snížení účetní hodnoty, rozhodná událost pro snížení účetní hodnoty</w:t>
            </w:r>
          </w:p>
          <w:p w14:paraId="397C3607"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Instituce upřesní rozhodné události, které vedou k snížení účetní hodnoty, včetně okamžiku neživotaschopnosti.</w:t>
            </w:r>
            <w:r>
              <w:rPr>
                <w:sz w:val="24"/>
                <w:rFonts w:ascii="Times New Roman" w:hAnsi="Times New Roman"/>
              </w:rPr>
              <w:t xml:space="preserve"> </w:t>
            </w:r>
            <w:r>
              <w:rPr>
                <w:sz w:val="24"/>
                <w:rFonts w:ascii="Times New Roman" w:hAnsi="Times New Roman"/>
              </w:rPr>
              <w:t xml:space="preserve">Může-li snížení hodnoty provést jeden nebo více orgánů, uvedou se tyto orgány.</w:t>
            </w:r>
            <w:r>
              <w:rPr>
                <w:sz w:val="24"/>
                <w:rFonts w:ascii="Times New Roman" w:hAnsi="Times New Roman"/>
              </w:rPr>
              <w:t xml:space="preserve"> </w:t>
            </w:r>
            <w:r>
              <w:rPr>
                <w:sz w:val="24"/>
                <w:rFonts w:ascii="Times New Roman" w:hAnsi="Times New Roman"/>
              </w:rPr>
              <w:t xml:space="preserve">U každého orgánu se uvede, zda právní základ pro snížení účetní hodnoty orgánem stanoví podmínky smlouvy týkající se nástroje (smluvní přístup), nebo zda je právní základ stanoven zákonným způsobem (zákonný přístup).</w:t>
            </w:r>
            <w:r>
              <w:rPr>
                <w:sz w:val="24"/>
                <w:rFonts w:ascii="Times New Roman" w:hAnsi="Times New Roman"/>
              </w:rPr>
              <w:t xml:space="preserve"> </w:t>
            </w:r>
          </w:p>
          <w:p w14:paraId="6D317CE3"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Volný text</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32</w:t>
            </w:r>
          </w:p>
        </w:tc>
        <w:tc>
          <w:tcPr>
            <w:tcW w:w="7661" w:type="dxa"/>
            <w:shd w:val="clear" w:color="auto" w:fill="auto"/>
            <w:noWrap/>
            <w:vAlign w:val="bottom"/>
          </w:tcPr>
          <w:p w14:paraId="128DCCFB"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V případě snížení účetní hodnoty, snížení v celém rozsahu nebo částečné</w:t>
            </w:r>
          </w:p>
          <w:p w14:paraId="64FD839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zda bude nástroj vždy odepsán zcela, nebo zda může být odepsán částečně, nebo zda bude vždy odepsán částečně.</w:t>
            </w:r>
            <w:r>
              <w:rPr>
                <w:sz w:val="24"/>
                <w:rFonts w:ascii="Times New Roman" w:hAnsi="Times New Roman"/>
              </w:rPr>
              <w:t xml:space="preserve"> </w:t>
            </w:r>
            <w:r>
              <w:rPr>
                <w:sz w:val="24"/>
                <w:rFonts w:ascii="Times New Roman" w:hAnsi="Times New Roman"/>
              </w:rPr>
              <w:t xml:space="preserve">Pomáhá posoudit úroveň schopnosti absorbovat ztráty při snížení účetní hodnoty.</w:t>
            </w:r>
          </w:p>
          <w:p w14:paraId="6CADF97E"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[Vždy zcela] [Zcela nebo částečně] [Vždy částečně]</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33</w:t>
            </w:r>
          </w:p>
        </w:tc>
        <w:tc>
          <w:tcPr>
            <w:tcW w:w="7661" w:type="dxa"/>
            <w:shd w:val="clear" w:color="auto" w:fill="auto"/>
            <w:noWrap/>
            <w:vAlign w:val="bottom"/>
          </w:tcPr>
          <w:p w14:paraId="37D6527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V případě snížení účetní hodnoty, trvalé nebo dočasné snížení</w:t>
            </w:r>
          </w:p>
          <w:p w14:paraId="34260CB9"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V případě snížení účetní hodnoty nástroje instituce upřesní, zda je toto snížení trvalé nebo dočasné.</w:t>
            </w:r>
            <w:r>
              <w:rPr>
                <w:sz w:val="24"/>
                <w:rFonts w:ascii="Times New Roman" w:hAnsi="Times New Roman"/>
              </w:rPr>
              <w:t xml:space="preserve"> </w:t>
            </w:r>
          </w:p>
          <w:p w14:paraId="32C2F438"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[Trvalé] [Dočasné] [Nepoužije se]</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34</w:t>
            </w:r>
          </w:p>
        </w:tc>
        <w:tc>
          <w:tcPr>
            <w:tcW w:w="7661" w:type="dxa"/>
            <w:shd w:val="clear" w:color="auto" w:fill="auto"/>
            <w:noWrap/>
            <w:vAlign w:val="bottom"/>
          </w:tcPr>
          <w:p w14:paraId="1932E4F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V případě dočasného snížení účetní hodnoty, popis mechanismu zvýšení účetní hodnoty</w:t>
            </w:r>
            <w:r>
              <w:rPr>
                <w:sz w:val="24"/>
                <w:rFonts w:ascii="Times New Roman" w:hAnsi="Times New Roman"/>
              </w:rPr>
              <w:t xml:space="preserve"> </w:t>
            </w:r>
          </w:p>
          <w:p w14:paraId="508717B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popíší mechanismus zvýšení účetní hodnoty.</w:t>
            </w:r>
          </w:p>
          <w:p w14:paraId="69A4EF70"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Volný text</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34a</w:t>
            </w:r>
          </w:p>
        </w:tc>
        <w:tc>
          <w:tcPr>
            <w:tcW w:w="7661" w:type="dxa"/>
            <w:shd w:val="clear" w:color="auto" w:fill="auto"/>
            <w:noWrap/>
            <w:vAlign w:val="bottom"/>
          </w:tcPr>
          <w:p w14:paraId="0557B0E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Druh podřízenosti (pouze u způsobilých závazků)</w:t>
            </w:r>
          </w:p>
          <w:p w14:paraId="102AAA85"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zda nástroj splňuje některý z typů podřízenosti popsaných v čl. 72b odst. 2 písm. d) bodech i), ii) a iii) CRR.</w:t>
            </w:r>
            <w:r>
              <w:rPr>
                <w:sz w:val="24"/>
                <w:rFonts w:ascii="Times New Roman" w:hAnsi="Times New Roman"/>
              </w:rPr>
              <w:t xml:space="preserve"> </w:t>
            </w:r>
          </w:p>
          <w:p w14:paraId="4FDC7BEB"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p>
          <w:p w14:paraId="588ACAC6"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 </w:t>
            </w:r>
            <w:r>
              <w:rPr>
                <w:i/>
                <w:sz w:val="24"/>
                <w:rFonts w:ascii="Times New Roman" w:hAnsi="Times New Roman"/>
              </w:rPr>
              <w:t xml:space="preserve">[Smluvní], pokud nástroj splňuje požadavky stanovené v čl. 72b odst. 2 písm. d) bodě i) CRR;</w:t>
            </w:r>
          </w:p>
          <w:p w14:paraId="5F91F70D"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 </w:t>
            </w:r>
            <w:r>
              <w:rPr>
                <w:i/>
                <w:sz w:val="24"/>
                <w:rFonts w:ascii="Times New Roman" w:hAnsi="Times New Roman"/>
              </w:rPr>
              <w:t xml:space="preserve">[Stanovená právními předpisy], pokud nástroj splňuje požadavky stanovené v čl. 72b odst. 2 písm. d) bodě ii) CRR;</w:t>
            </w:r>
          </w:p>
          <w:p w14:paraId="7DBFA7DA"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[Strukturální], pokud nástroj splňuje požadavky stanovené v čl. 72b odst. 2 písm. d) bodě iii) CRR;</w:t>
            </w:r>
            <w:r>
              <w:rPr>
                <w:i/>
                <w:sz w:val="24"/>
                <w:rFonts w:ascii="Times New Roman" w:hAnsi="Times New Roman"/>
              </w:rPr>
              <w:t xml:space="preserve"> </w:t>
            </w:r>
          </w:p>
          <w:p w14:paraId="3C97593F"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[Výjimka z podřízenosti], pokud nástroj nesplňuje žádnou z výše uvedených forem podřízenosti a instituci je povoleno podle čl. 72b odst. 4 CRR zahrnout nepodřízené závazky do položek způsobilých závazků.</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EU-34b</w:t>
            </w:r>
          </w:p>
        </w:tc>
        <w:tc>
          <w:tcPr>
            <w:tcW w:w="7661" w:type="dxa"/>
            <w:shd w:val="clear" w:color="auto" w:fill="auto"/>
            <w:noWrap/>
            <w:vAlign w:val="bottom"/>
          </w:tcPr>
          <w:p w14:paraId="2A4DED31"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Pořadí nástroje v případě běžného úpadkového řízení</w:t>
            </w:r>
          </w:p>
          <w:p w14:paraId="0A912A4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úroveň nástroje v běžném úpadkovém řízení.</w:t>
            </w:r>
          </w:p>
          <w:p w14:paraId="7E0F7F1E"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Jak je vymezeno v [prováděcí technické normě pro vykazování minimálního požadavku na kapitál a způsobilé závazky].</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35</w:t>
            </w:r>
          </w:p>
        </w:tc>
        <w:tc>
          <w:tcPr>
            <w:tcW w:w="7661" w:type="dxa"/>
            <w:shd w:val="clear" w:color="auto" w:fill="auto"/>
            <w:noWrap/>
            <w:vAlign w:val="bottom"/>
          </w:tcPr>
          <w:p w14:paraId="0D11AB0E"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Pozice v hierarchii podřízenosti v případě likvidace (uveďte typ nástroje bezprostředně nadřazeného dotyčnému nástroji)</w:t>
            </w:r>
          </w:p>
          <w:p w14:paraId="79DC012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nástroj, jemuž je dotyčný nástroj nejvíce podřízen.</w:t>
            </w:r>
            <w:r>
              <w:rPr>
                <w:sz w:val="24"/>
                <w:rFonts w:ascii="Times New Roman" w:hAnsi="Times New Roman"/>
              </w:rPr>
              <w:t xml:space="preserve"> </w:t>
            </w:r>
            <w:r>
              <w:rPr>
                <w:sz w:val="24"/>
                <w:rFonts w:ascii="Times New Roman" w:hAnsi="Times New Roman"/>
              </w:rPr>
              <w:t xml:space="preserve">Banky ve vyplněné tabulce pro zpřístupňování informací o hlavních rysech případně uvedou čísla sloupců nástrojů, jimž je nástroj nejvíce podřízen.</w:t>
            </w:r>
          </w:p>
          <w:p w14:paraId="08249FBE"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Volný text</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36</w:t>
            </w:r>
          </w:p>
        </w:tc>
        <w:tc>
          <w:tcPr>
            <w:tcW w:w="7661" w:type="dxa"/>
            <w:shd w:val="clear" w:color="auto" w:fill="auto"/>
            <w:noWrap/>
            <w:vAlign w:val="bottom"/>
          </w:tcPr>
          <w:p w14:paraId="2425AD51"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Rysy nesplňující požadavky</w:t>
            </w:r>
          </w:p>
          <w:p w14:paraId="5476BC6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upřesní, zda existují rysy nesplňující požadavky.</w:t>
            </w:r>
          </w:p>
          <w:p w14:paraId="6A270CFD"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Výběr z nabídky:</w:t>
            </w:r>
            <w:r>
              <w:rPr>
                <w:i/>
                <w:sz w:val="24"/>
                <w:rFonts w:ascii="Times New Roman" w:hAnsi="Times New Roman"/>
              </w:rPr>
              <w:t xml:space="preserve"> </w:t>
            </w:r>
            <w:r>
              <w:rPr>
                <w:i/>
                <w:sz w:val="24"/>
                <w:rFonts w:ascii="Times New Roman" w:hAnsi="Times New Roman"/>
              </w:rPr>
              <w:t xml:space="preserve">[Ano] [Ne]</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37</w:t>
            </w:r>
          </w:p>
        </w:tc>
        <w:tc>
          <w:tcPr>
            <w:tcW w:w="7661" w:type="dxa"/>
            <w:shd w:val="clear" w:color="auto" w:fill="auto"/>
            <w:noWrap/>
            <w:vAlign w:val="bottom"/>
          </w:tcPr>
          <w:p w14:paraId="414C59FC"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Pokud ano, uveďte rysy nesplňující požadavky</w:t>
            </w:r>
          </w:p>
          <w:p w14:paraId="2924F71C"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Pokud existují rysy nesplňující požadavky, instituce upřesní jaké.</w:t>
            </w:r>
            <w:r>
              <w:rPr>
                <w:sz w:val="24"/>
                <w:rFonts w:ascii="Times New Roman" w:hAnsi="Times New Roman"/>
              </w:rPr>
              <w:t xml:space="preserve"> </w:t>
            </w:r>
          </w:p>
          <w:p w14:paraId="0A28A97E"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Volný text</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EU-37a</w:t>
            </w:r>
          </w:p>
        </w:tc>
        <w:tc>
          <w:tcPr>
            <w:tcW w:w="7661" w:type="dxa"/>
            <w:shd w:val="clear" w:color="auto" w:fill="auto"/>
            <w:noWrap/>
            <w:vAlign w:val="bottom"/>
          </w:tcPr>
          <w:p w14:paraId="7C7906C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Odkaz na úplné znění podmínek nástroje (odkaz)</w:t>
            </w:r>
          </w:p>
          <w:p w14:paraId="4A0585C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Instituce uvedou hypertextový odkaz s přístupem k prospektu emise včetně veškerých podmínek nástroje.</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21FBEC66" w:rsidR="00E05386" w:rsidRPr="00E05386" w:rsidRDefault="00C85971" w:rsidP="00E05386">
      <w:pPr>
        <w:jc w:val="both"/>
        <w:rPr>
          <w:sz w:val="18"/>
          <w:szCs w:val="18"/>
          <w:rFonts w:ascii="Times New Roman" w:eastAsiaTheme="minorHAnsi" w:hAnsi="Times New Roman" w:cs="Times New Roman"/>
        </w:rPr>
      </w:pPr>
      <w:r>
        <w:rPr>
          <w:rStyle w:val="FootnoteReference"/>
          <w:rFonts w:cstheme="minorHAnsi"/>
          <w:sz w:val="18"/>
        </w:rPr>
        <w:footnoteRef/>
      </w:r>
      <w:r>
        <w:rPr>
          <w:sz w:val="18"/>
        </w:rPr>
        <w:t xml:space="preserve"> </w:t>
      </w:r>
      <w:r>
        <w:rPr>
          <w:sz w:val="18"/>
        </w:rPr>
        <w:tab/>
      </w:r>
      <w:r>
        <w:t xml:space="preserve">Nařízení Evropského parlamentu a Rady (EU) č. 575/2013 ze dne 26. června 2013 o obezřetnostních požadavcích na úvěrové instituce a o změně nařízení (EU) č. 648/2012 ve znění nařízení (EU) 2024/1623 (</w:t>
      </w:r>
      <w:hyperlink r:id="rId1" w:history="1">
        <w:r>
          <w:rPr>
            <w:color w:val="800080"/>
            <w:sz w:val="18"/>
            <w:u w:val="single"/>
          </w:rPr>
          <w:t xml:space="preserve">Úř. věst. L 176, 27.6.2013, s. 1</w:t>
        </w:r>
      </w:hyperlink>
      <w:r>
        <w:t xml:space="preserve">;</w:t>
      </w:r>
      <w:r>
        <w:rPr>
          <w:color w:val="800080"/>
          <w:sz w:val="18"/>
          <w:u w:val="single"/>
        </w:rPr>
        <w:t xml:space="preserve"> </w:t>
      </w:r>
      <w:hyperlink r:id="rId2" w:history="1">
        <w:r>
          <w:rPr>
            <w:rStyle w:val="Hyperlink"/>
            <w:sz w:val="18"/>
          </w:rPr>
          <w:t xml:space="preserve">nařízení – EU – 2024/1623 – CS – EUR-Lex (europa.eu)</w:t>
        </w:r>
      </w:hyperlink>
      <w:r>
        <w:rPr>
          <w:color w:val="444444"/>
        </w:rPr>
        <w:t xml:space="preserve">).</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 xml:space="preserve"> </w:t>
      </w:r>
      <w:r>
        <w:tab/>
      </w:r>
      <w:r>
        <w:t xml:space="preserve">SMĚRNICE EVROPSKÉHO PARLAMENTU A RADY (EU) 2019/879 ze dne 20. května 2019, kterou se mění směrnice 2014/59/EU, pokud jde o schopnost úvěrových institucí a investičních podniků absorbovat ztráty a schopnost rekapitalizace, a směrnice 98/26/ES (Úř. věst. L 150, 7.6.2019, s.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618692" id="_x0000_t202" coordsize="21600,21600" o:spt="202" path="m,l,21600r21600,l21600,xe">
              <v:stroke joinstyle="miter"/>
              <v:path gradientshapeok="t" o:connecttype="rect"/>
            </v:shapetype>
            <v:shape id="Text Box 2" o:spid="_x0000_s1026" type="#_x0000_t202" alt="Title:  - Description: EBA – pravidelné používání"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 pravidelné používání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BF4F239" id="_x0000_t202" coordsize="21600,21600" o:spt="202" path="m,l,21600r21600,l21600,xe">
              <v:stroke joinstyle="miter"/>
              <v:path gradientshapeok="t" o:connecttype="rect"/>
            </v:shapetype>
            <v:shape id="Text Box 3" o:spid="_x0000_s1027" type="#_x0000_t202" alt="Title:  - Description: EBA – pravidelné používání"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4960CC8F" w14:textId="21946EF4"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 pravidelné používání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26F87F5" id="_x0000_t202" coordsize="21600,21600" o:spt="202" path="m,l,21600r21600,l21600,xe">
              <v:stroke joinstyle="miter"/>
              <v:path gradientshapeok="t" o:connecttype="rect"/>
            </v:shapetype>
            <v:shape id="Text Box 1" o:spid="_x0000_s1028" type="#_x0000_t202" alt="Title:  - Description: EBA – pravidelné používání"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 pravidelné používání</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23015D"/>
    <w:rsid w:val="004E3F4D"/>
    <w:rsid w:val="0085507F"/>
    <w:rsid w:val="00992165"/>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lang w:val="cs-CZ"/>
    </w:rPr>
  </w:style>
  <w:style w:type="character" w:customStyle="1" w:styleId="FootnoteTextChar">
    <w:name w:val="Footnote Text Char"/>
    <w:basedOn w:val="DefaultParagraphFont"/>
    <w:link w:val="FootnoteText"/>
    <w:rsid w:val="00C85971"/>
    <w:rPr>
      <w:rFonts w:eastAsiaTheme="minorEastAsia"/>
      <w:sz w:val="18"/>
      <w:szCs w:val="18"/>
      <w:lang w:val="cs-CZ"/>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rPr>
      <w:lang w:val="cs-CZ"/>
    </w:r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CS/TXT/?uri=OJ%3AL_202401623" TargetMode="External"/><Relationship Id="rId1" Type="http://schemas.openxmlformats.org/officeDocument/2006/relationships/hyperlink" Target="https://eur-lex.europa.eu/legal-content/CS/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3EC7DA-9E4A-4CDB-8F04-8C5A0D63A82B}"/>
</file>

<file path=customXml/itemProps2.xml><?xml version="1.0" encoding="utf-8"?>
<ds:datastoreItem xmlns:ds="http://schemas.openxmlformats.org/officeDocument/2006/customXml" ds:itemID="{26B9F225-6D7A-4396-BB05-5FC002555280}"/>
</file>

<file path=customXml/itemProps3.xml><?xml version="1.0" encoding="utf-8"?>
<ds:datastoreItem xmlns:ds="http://schemas.openxmlformats.org/officeDocument/2006/customXml" ds:itemID="{98E99BCA-3AAD-4050-844F-D35163E71096}"/>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12</TotalTime>
  <Pages>24</Pages>
  <Words>7002</Words>
  <Characters>37815</Characters>
  <Application>Microsoft Office Word</Application>
  <DocSecurity>0</DocSecurity>
  <Lines>945</Lines>
  <Paragraphs>605</Paragraphs>
  <ScaleCrop>false</ScaleCrop>
  <Company>European Banking Authority</Company>
  <LinksUpToDate>false</LinksUpToDate>
  <CharactersWithSpaces>44212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5</cp:revision>
  <dcterms:created xsi:type="dcterms:W3CDTF">2021-03-11T11:52:00Z</dcterms:created>
  <dcterms:modified xsi:type="dcterms:W3CDTF">2024-09-26T14:23:00Z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