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C7FB24" w14:textId="0CE5A89A" w:rsidR="0074740A" w:rsidRPr="00232C88" w:rsidRDefault="00C31378" w:rsidP="001F0077">
      <w:pPr>
        <w:pStyle w:val="Annexetitre"/>
        <w:ind w:left="2880" w:firstLine="720"/>
        <w:jc w:val="left"/>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t>ANNEXE II</w:t>
      </w:r>
    </w:p>
    <w:p w14:paraId="2C20FD69" w14:textId="77777777" w:rsidR="00B13F6E" w:rsidRPr="00232C88" w:rsidRDefault="00B13F6E" w:rsidP="00B13F6E">
      <w:pPr>
        <w:rPr>
          <w:rFonts w:ascii="Times New Roman" w:hAnsi="Times New Roman" w:cs="Times New Roman"/>
        </w:rPr>
      </w:pPr>
    </w:p>
    <w:p w14:paraId="03FA508D" w14:textId="43AA388F" w:rsidR="00C31378" w:rsidRPr="00232C88" w:rsidRDefault="00C31378" w:rsidP="004077B1">
      <w:pPr>
        <w:pStyle w:val="Annexetitre"/>
        <w:ind w:firstLine="720"/>
      </w:pPr>
      <w:r>
        <w:t>Instructions concernant les modèles de publication des synthèses.</w:t>
      </w:r>
    </w:p>
    <w:p w14:paraId="161E3440" w14:textId="7BE8C9A0" w:rsidR="00662487" w:rsidRPr="00232C88" w:rsidRDefault="007F5865" w:rsidP="00662487">
      <w:pPr>
        <w:pStyle w:val="Titlelevel2"/>
        <w:spacing w:before="120" w:after="120"/>
        <w:rPr>
          <w:rFonts w:ascii="Times New Roman" w:hAnsi="Times New Roman" w:cs="Times New Roman"/>
          <w:color w:val="auto"/>
          <w:sz w:val="24"/>
        </w:rPr>
      </w:pPr>
      <w:r>
        <w:rPr>
          <w:rFonts w:ascii="Times New Roman" w:hAnsi="Times New Roman"/>
          <w:b/>
          <w:color w:val="auto"/>
          <w:sz w:val="24"/>
        </w:rPr>
        <w:t xml:space="preserve">Modèle EU OV1 — Vue d’ensemble des montants totaux d’exposition au risque. </w:t>
      </w:r>
      <w:r>
        <w:rPr>
          <w:rFonts w:ascii="Times New Roman" w:hAnsi="Times New Roman"/>
          <w:color w:val="auto"/>
          <w:sz w:val="24"/>
        </w:rPr>
        <w:t>Format fixe</w:t>
      </w:r>
    </w:p>
    <w:p w14:paraId="1FC729B5" w14:textId="03A9CF72" w:rsidR="007E14C6" w:rsidRPr="00232C88" w:rsidRDefault="00501BEB" w:rsidP="00F96224">
      <w:pPr>
        <w:pStyle w:val="Titlelevel2"/>
        <w:numPr>
          <w:ilvl w:val="0"/>
          <w:numId w:val="14"/>
        </w:numPr>
        <w:spacing w:before="120" w:after="120"/>
        <w:ind w:left="426"/>
        <w:jc w:val="both"/>
        <w:rPr>
          <w:rFonts w:ascii="Times New Roman" w:eastAsiaTheme="minorEastAsia" w:hAnsi="Times New Roman" w:cs="Times New Roman"/>
          <w:bCs w:val="0"/>
          <w:color w:val="auto"/>
          <w:sz w:val="24"/>
        </w:rPr>
      </w:pPr>
      <w:r>
        <w:rPr>
          <w:rFonts w:ascii="Times New Roman" w:hAnsi="Times New Roman"/>
          <w:color w:val="auto"/>
          <w:sz w:val="24"/>
        </w:rPr>
        <w:t>Les établissements appliquent les instructions ci-dessous pour compléter le modèle EU OV1, tel que présenté à l’annexe I des solutions informatiques de l</w:t>
      </w:r>
      <w:r w:rsidR="0057717F">
        <w:rPr>
          <w:rFonts w:ascii="Times New Roman" w:hAnsi="Times New Roman"/>
          <w:color w:val="auto"/>
          <w:sz w:val="24"/>
        </w:rPr>
        <w:t>’</w:t>
      </w:r>
      <w:r>
        <w:rPr>
          <w:rFonts w:ascii="Times New Roman" w:hAnsi="Times New Roman"/>
          <w:color w:val="auto"/>
          <w:sz w:val="24"/>
        </w:rPr>
        <w:t>ABE, en application de l’article 438, point d), du règlement (UE) nº 575/2013 («CRR»)</w:t>
      </w:r>
      <w:r w:rsidR="006C0184" w:rsidRPr="00232C88">
        <w:rPr>
          <w:rStyle w:val="FootnoteReference"/>
          <w:rFonts w:ascii="Times New Roman" w:eastAsiaTheme="minorEastAsia" w:hAnsi="Times New Roman" w:cs="Times New Roman"/>
          <w:bCs w:val="0"/>
          <w:color w:val="auto"/>
          <w:lang w:val="en-GB"/>
        </w:rPr>
        <w:footnoteReference w:id="2"/>
      </w:r>
      <w:r>
        <w:rPr>
          <w:rFonts w:ascii="Times New Roman" w:hAnsi="Times New Roman"/>
          <w:color w:val="auto"/>
          <w:sz w:val="24"/>
        </w:rPr>
        <w:t>.</w:t>
      </w:r>
    </w:p>
    <w:p w14:paraId="790FD83C" w14:textId="118EF7B7" w:rsidR="00C31378" w:rsidRPr="00232C88" w:rsidRDefault="00720050" w:rsidP="00AD7048">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Le cas échéant, les établissements expliquent, dans la note descriptive jointe au modèle, les effets de l</w:t>
      </w:r>
      <w:r w:rsidR="0057717F">
        <w:rPr>
          <w:rFonts w:ascii="Times New Roman" w:hAnsi="Times New Roman"/>
          <w:color w:val="auto"/>
          <w:sz w:val="24"/>
        </w:rPr>
        <w:t>’</w:t>
      </w:r>
      <w:r>
        <w:rPr>
          <w:rFonts w:ascii="Times New Roman" w:hAnsi="Times New Roman"/>
          <w:color w:val="auto"/>
          <w:sz w:val="24"/>
        </w:rPr>
        <w:t>application de planchers de fonds propres et de la non-déduction de certains éléments des fonds propres sur le calcul des fonds propres et des montants d’exposition au risque.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384"/>
        <w:gridCol w:w="7655"/>
      </w:tblGrid>
      <w:tr w:rsidR="00232C88" w:rsidRPr="00232C88" w14:paraId="1DE5ECE7"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E777A5" w14:textId="77777777" w:rsidR="007F5865" w:rsidRPr="00232C88" w:rsidRDefault="007F5865" w:rsidP="00F3523C">
            <w:pPr>
              <w:rPr>
                <w:rFonts w:ascii="Times New Roman" w:hAnsi="Times New Roman" w:cs="Times New Roman"/>
                <w:b/>
                <w:sz w:val="24"/>
              </w:rPr>
            </w:pPr>
            <w:r>
              <w:rPr>
                <w:rFonts w:ascii="Times New Roman" w:hAnsi="Times New Roman"/>
                <w:b/>
                <w:sz w:val="24"/>
              </w:rPr>
              <w:t>Références juridiques et instructions</w:t>
            </w:r>
          </w:p>
        </w:tc>
      </w:tr>
      <w:tr w:rsidR="00232C88" w:rsidRPr="00232C88" w14:paraId="602AE0E8" w14:textId="77777777" w:rsidTr="4D769726">
        <w:trPr>
          <w:trHeight w:val="238"/>
        </w:trPr>
        <w:tc>
          <w:tcPr>
            <w:tcW w:w="1384" w:type="dxa"/>
            <w:shd w:val="clear" w:color="auto" w:fill="D9D9D9" w:themeFill="background1" w:themeFillShade="D9"/>
          </w:tcPr>
          <w:p w14:paraId="18BE2C6B" w14:textId="77777777" w:rsidR="007F5865" w:rsidRPr="00232C88" w:rsidRDefault="007F5865" w:rsidP="00F3523C">
            <w:pPr>
              <w:autoSpaceDE w:val="0"/>
              <w:autoSpaceDN w:val="0"/>
              <w:adjustRightInd w:val="0"/>
              <w:rPr>
                <w:rFonts w:ascii="Times New Roman" w:hAnsi="Times New Roman" w:cs="Times New Roman"/>
                <w:b/>
                <w:sz w:val="24"/>
              </w:rPr>
            </w:pPr>
            <w:r>
              <w:rPr>
                <w:rFonts w:ascii="Times New Roman" w:hAnsi="Times New Roman"/>
                <w:b/>
                <w:sz w:val="24"/>
              </w:rPr>
              <w:t>Numéro de la colonne</w:t>
            </w:r>
          </w:p>
        </w:tc>
        <w:tc>
          <w:tcPr>
            <w:tcW w:w="7655" w:type="dxa"/>
            <w:shd w:val="clear" w:color="auto" w:fill="D9D9D9" w:themeFill="background1" w:themeFillShade="D9"/>
          </w:tcPr>
          <w:p w14:paraId="52BAB7D2" w14:textId="77777777" w:rsidR="007F5865" w:rsidRPr="00232C88" w:rsidRDefault="007F5865" w:rsidP="00F3523C">
            <w:pPr>
              <w:autoSpaceDE w:val="0"/>
              <w:autoSpaceDN w:val="0"/>
              <w:adjustRightInd w:val="0"/>
              <w:rPr>
                <w:rFonts w:ascii="Times New Roman" w:hAnsi="Times New Roman" w:cs="Times New Roman"/>
                <w:sz w:val="24"/>
              </w:rPr>
            </w:pPr>
            <w:r>
              <w:rPr>
                <w:rFonts w:ascii="Times New Roman" w:hAnsi="Times New Roman"/>
                <w:b/>
                <w:sz w:val="24"/>
              </w:rPr>
              <w:t>Explication</w:t>
            </w:r>
          </w:p>
        </w:tc>
      </w:tr>
      <w:tr w:rsidR="00232C88" w:rsidRPr="00232C88" w14:paraId="7E4C270D" w14:textId="77777777" w:rsidTr="4D769726">
        <w:trPr>
          <w:trHeight w:val="680"/>
        </w:trPr>
        <w:tc>
          <w:tcPr>
            <w:tcW w:w="1384" w:type="dxa"/>
          </w:tcPr>
          <w:p w14:paraId="68031A84" w14:textId="77777777" w:rsidR="007F5865" w:rsidRPr="00232C88" w:rsidRDefault="007F5865" w:rsidP="007F5865">
            <w:pPr>
              <w:pStyle w:val="Applicationdirecte"/>
              <w:spacing w:before="60"/>
              <w:jc w:val="center"/>
            </w:pPr>
            <w:r>
              <w:t>a</w:t>
            </w:r>
          </w:p>
        </w:tc>
        <w:tc>
          <w:tcPr>
            <w:tcW w:w="7655" w:type="dxa"/>
            <w:vAlign w:val="center"/>
          </w:tcPr>
          <w:p w14:paraId="5A1D2BEB" w14:textId="501B155B" w:rsidR="00677CC7" w:rsidRPr="00232C88" w:rsidRDefault="00476E72" w:rsidP="00785478">
            <w:pPr>
              <w:spacing w:before="60" w:after="120"/>
              <w:jc w:val="both"/>
              <w:rPr>
                <w:rFonts w:ascii="Times New Roman" w:hAnsi="Times New Roman" w:cs="Times New Roman"/>
                <w:b/>
                <w:sz w:val="24"/>
              </w:rPr>
            </w:pPr>
            <w:r>
              <w:rPr>
                <w:rFonts w:ascii="Times New Roman" w:hAnsi="Times New Roman"/>
                <w:b/>
                <w:sz w:val="24"/>
              </w:rPr>
              <w:t xml:space="preserve">Montant total d’exposition au risque (TREA) </w:t>
            </w:r>
          </w:p>
          <w:p w14:paraId="2C2ABAC7" w14:textId="6A5193C4" w:rsidR="007F5865" w:rsidRPr="00232C88" w:rsidRDefault="00476E72" w:rsidP="00476E72">
            <w:pPr>
              <w:spacing w:before="60" w:after="120"/>
              <w:jc w:val="both"/>
              <w:rPr>
                <w:rFonts w:ascii="Times New Roman" w:hAnsi="Times New Roman" w:cs="Times New Roman"/>
                <w:sz w:val="24"/>
              </w:rPr>
            </w:pPr>
            <w:r>
              <w:rPr>
                <w:rFonts w:ascii="Times New Roman" w:hAnsi="Times New Roman"/>
                <w:sz w:val="24"/>
              </w:rPr>
              <w:t>Montant total d</w:t>
            </w:r>
            <w:r w:rsidR="0057717F">
              <w:rPr>
                <w:rFonts w:ascii="Times New Roman" w:hAnsi="Times New Roman"/>
                <w:sz w:val="24"/>
              </w:rPr>
              <w:t>’</w:t>
            </w:r>
            <w:r>
              <w:rPr>
                <w:rFonts w:ascii="Times New Roman" w:hAnsi="Times New Roman"/>
                <w:sz w:val="24"/>
              </w:rPr>
              <w:t>exposition au risque calculé conformément à l’article 92, paragraphe 4, du règlement (UE) nº 575/2013 pour les lignes 1 à 28 et à l</w:t>
            </w:r>
            <w:r w:rsidR="0057717F">
              <w:rPr>
                <w:rFonts w:ascii="Times New Roman" w:hAnsi="Times New Roman"/>
                <w:sz w:val="24"/>
              </w:rPr>
              <w:t>’</w:t>
            </w:r>
            <w:r>
              <w:rPr>
                <w:rFonts w:ascii="Times New Roman" w:hAnsi="Times New Roman"/>
                <w:sz w:val="24"/>
              </w:rPr>
              <w:t>article 92, paragraphe 3, dudit règlement pour la ligne 29, et aux articles 95, 96 et 98 du règlement (UE) nº 575/2013.</w:t>
            </w:r>
          </w:p>
        </w:tc>
      </w:tr>
      <w:tr w:rsidR="00232C88" w:rsidRPr="00232C88" w14:paraId="51DC6C96" w14:textId="77777777" w:rsidTr="4D769726">
        <w:trPr>
          <w:trHeight w:val="323"/>
        </w:trPr>
        <w:tc>
          <w:tcPr>
            <w:tcW w:w="1384" w:type="dxa"/>
          </w:tcPr>
          <w:p w14:paraId="4A8317DB" w14:textId="77777777" w:rsidR="00720050" w:rsidRPr="00232C88" w:rsidRDefault="00720050" w:rsidP="00B2180A">
            <w:pPr>
              <w:pStyle w:val="Applicationdirecte"/>
              <w:spacing w:before="60"/>
              <w:jc w:val="center"/>
            </w:pPr>
            <w:r>
              <w:t>b</w:t>
            </w:r>
          </w:p>
        </w:tc>
        <w:tc>
          <w:tcPr>
            <w:tcW w:w="7655" w:type="dxa"/>
          </w:tcPr>
          <w:p w14:paraId="22370966" w14:textId="4C946B1E" w:rsidR="00677CC7" w:rsidRPr="00232C88" w:rsidRDefault="00476E72" w:rsidP="00B2180A">
            <w:pPr>
              <w:spacing w:before="60" w:after="120"/>
              <w:jc w:val="both"/>
              <w:rPr>
                <w:rFonts w:ascii="Times New Roman" w:hAnsi="Times New Roman" w:cs="Times New Roman"/>
                <w:b/>
                <w:sz w:val="24"/>
              </w:rPr>
            </w:pPr>
            <w:r>
              <w:rPr>
                <w:rFonts w:ascii="Times New Roman" w:hAnsi="Times New Roman"/>
                <w:b/>
                <w:sz w:val="24"/>
              </w:rPr>
              <w:t xml:space="preserve">TREA (T-1) </w:t>
            </w:r>
          </w:p>
          <w:p w14:paraId="3470438E" w14:textId="65A77898" w:rsidR="00720050" w:rsidRPr="00232C88" w:rsidRDefault="00476E72" w:rsidP="00B74E92">
            <w:pPr>
              <w:spacing w:before="60" w:after="120"/>
              <w:jc w:val="both"/>
              <w:rPr>
                <w:rFonts w:ascii="Times New Roman" w:eastAsia="Times New Roman" w:hAnsi="Times New Roman" w:cs="Times New Roman"/>
                <w:sz w:val="24"/>
              </w:rPr>
            </w:pPr>
            <w:r>
              <w:rPr>
                <w:rFonts w:ascii="Times New Roman" w:hAnsi="Times New Roman"/>
                <w:sz w:val="24"/>
              </w:rPr>
              <w:t>TREA déclaré pour la période de publication précédente</w:t>
            </w:r>
          </w:p>
        </w:tc>
      </w:tr>
      <w:tr w:rsidR="00232C88" w:rsidRPr="00232C88" w14:paraId="0EA18E63" w14:textId="77777777" w:rsidTr="4D769726">
        <w:trPr>
          <w:trHeight w:val="323"/>
        </w:trPr>
        <w:tc>
          <w:tcPr>
            <w:tcW w:w="1384" w:type="dxa"/>
          </w:tcPr>
          <w:p w14:paraId="103E93B5" w14:textId="77777777" w:rsidR="007F5865" w:rsidRPr="00232C88" w:rsidRDefault="00720050" w:rsidP="00720050">
            <w:pPr>
              <w:pStyle w:val="Applicationdirecte"/>
              <w:spacing w:before="60"/>
              <w:jc w:val="center"/>
            </w:pPr>
            <w:r>
              <w:t>c</w:t>
            </w:r>
          </w:p>
        </w:tc>
        <w:tc>
          <w:tcPr>
            <w:tcW w:w="7655" w:type="dxa"/>
          </w:tcPr>
          <w:p w14:paraId="4BB538BB" w14:textId="77777777" w:rsidR="007F5865" w:rsidRPr="00232C88" w:rsidRDefault="00720050" w:rsidP="004606A7">
            <w:pPr>
              <w:spacing w:before="60" w:after="120"/>
              <w:jc w:val="both"/>
              <w:rPr>
                <w:rFonts w:ascii="Times New Roman" w:hAnsi="Times New Roman" w:cs="Times New Roman"/>
                <w:b/>
                <w:sz w:val="24"/>
              </w:rPr>
            </w:pPr>
            <w:r>
              <w:rPr>
                <w:rFonts w:ascii="Times New Roman" w:hAnsi="Times New Roman"/>
                <w:b/>
                <w:sz w:val="24"/>
              </w:rPr>
              <w:t>Total des exigences de fonds propres</w:t>
            </w:r>
          </w:p>
          <w:p w14:paraId="024E3DB2" w14:textId="6D4564E6" w:rsidR="00720050" w:rsidRPr="00232C88" w:rsidRDefault="00720050" w:rsidP="004606A7">
            <w:pPr>
              <w:spacing w:before="60" w:after="120"/>
              <w:jc w:val="both"/>
              <w:rPr>
                <w:rFonts w:ascii="Times New Roman" w:eastAsia="Times New Roman" w:hAnsi="Times New Roman" w:cs="Times New Roman"/>
                <w:sz w:val="24"/>
              </w:rPr>
            </w:pPr>
            <w:r>
              <w:rPr>
                <w:rFonts w:ascii="Times New Roman" w:hAnsi="Times New Roman"/>
                <w:sz w:val="24"/>
              </w:rPr>
              <w:t>Exigences de fonds propres correspondant aux TREA pour les différentes catégories de risque.</w:t>
            </w:r>
          </w:p>
        </w:tc>
      </w:tr>
      <w:tr w:rsidR="00232C88" w:rsidRPr="00232C88" w14:paraId="4205D97D"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E032B3" w14:textId="77777777" w:rsidR="001A0C8D" w:rsidRPr="00232C88" w:rsidRDefault="001A0C8D" w:rsidP="00810F8E">
            <w:pPr>
              <w:rPr>
                <w:rFonts w:ascii="Times New Roman" w:hAnsi="Times New Roman" w:cs="Times New Roman"/>
                <w:b/>
                <w:sz w:val="24"/>
              </w:rPr>
            </w:pPr>
            <w:r>
              <w:rPr>
                <w:rFonts w:ascii="Times New Roman" w:hAnsi="Times New Roman"/>
                <w:b/>
                <w:sz w:val="24"/>
              </w:rPr>
              <w:t>Références juridiques et instructions</w:t>
            </w:r>
          </w:p>
        </w:tc>
      </w:tr>
      <w:tr w:rsidR="00232C88" w:rsidRPr="00232C88" w14:paraId="2490D509" w14:textId="77777777" w:rsidTr="4D769726">
        <w:trPr>
          <w:trHeight w:val="238"/>
        </w:trPr>
        <w:tc>
          <w:tcPr>
            <w:tcW w:w="1384" w:type="dxa"/>
            <w:shd w:val="clear" w:color="auto" w:fill="D9D9D9" w:themeFill="background1" w:themeFillShade="D9"/>
          </w:tcPr>
          <w:p w14:paraId="75756FCA" w14:textId="77777777" w:rsidR="001A0C8D" w:rsidRPr="00232C88" w:rsidRDefault="001A0C8D" w:rsidP="00810F8E">
            <w:pPr>
              <w:autoSpaceDE w:val="0"/>
              <w:autoSpaceDN w:val="0"/>
              <w:adjustRightInd w:val="0"/>
              <w:rPr>
                <w:rFonts w:ascii="Times New Roman" w:hAnsi="Times New Roman" w:cs="Times New Roman"/>
                <w:b/>
                <w:sz w:val="24"/>
              </w:rPr>
            </w:pPr>
            <w:r>
              <w:rPr>
                <w:rFonts w:ascii="Times New Roman" w:hAnsi="Times New Roman"/>
                <w:b/>
                <w:sz w:val="24"/>
              </w:rPr>
              <w:t>Numéro de la ligne</w:t>
            </w:r>
          </w:p>
        </w:tc>
        <w:tc>
          <w:tcPr>
            <w:tcW w:w="7655" w:type="dxa"/>
            <w:shd w:val="clear" w:color="auto" w:fill="D9D9D9" w:themeFill="background1" w:themeFillShade="D9"/>
          </w:tcPr>
          <w:p w14:paraId="354EA15A" w14:textId="77777777" w:rsidR="001A0C8D" w:rsidRPr="00232C88" w:rsidRDefault="001A0C8D" w:rsidP="00810F8E">
            <w:pPr>
              <w:autoSpaceDE w:val="0"/>
              <w:autoSpaceDN w:val="0"/>
              <w:adjustRightInd w:val="0"/>
              <w:rPr>
                <w:rFonts w:ascii="Times New Roman" w:hAnsi="Times New Roman" w:cs="Times New Roman"/>
                <w:sz w:val="24"/>
              </w:rPr>
            </w:pPr>
            <w:r>
              <w:rPr>
                <w:rFonts w:ascii="Times New Roman" w:hAnsi="Times New Roman"/>
                <w:b/>
                <w:sz w:val="24"/>
              </w:rPr>
              <w:t>Explication</w:t>
            </w:r>
          </w:p>
        </w:tc>
      </w:tr>
      <w:tr w:rsidR="00232C88" w:rsidRPr="00232C88" w14:paraId="51DDF3ED" w14:textId="77777777" w:rsidTr="4D769726">
        <w:trPr>
          <w:trHeight w:val="680"/>
        </w:trPr>
        <w:tc>
          <w:tcPr>
            <w:tcW w:w="1384" w:type="dxa"/>
          </w:tcPr>
          <w:p w14:paraId="63497DDA" w14:textId="77777777" w:rsidR="001A0C8D" w:rsidRPr="00232C88" w:rsidRDefault="001A0C8D" w:rsidP="00260404">
            <w:pPr>
              <w:pStyle w:val="Applicationdirecte"/>
              <w:spacing w:before="60"/>
              <w:jc w:val="center"/>
            </w:pPr>
            <w:r>
              <w:t>1</w:t>
            </w:r>
          </w:p>
        </w:tc>
        <w:tc>
          <w:tcPr>
            <w:tcW w:w="7655" w:type="dxa"/>
            <w:vAlign w:val="center"/>
          </w:tcPr>
          <w:p w14:paraId="156E0E42" w14:textId="77777777" w:rsidR="004606A7" w:rsidRPr="00232C88" w:rsidRDefault="004606A7" w:rsidP="00260404">
            <w:pPr>
              <w:spacing w:before="60" w:after="120"/>
              <w:jc w:val="both"/>
              <w:rPr>
                <w:rFonts w:ascii="Times New Roman" w:hAnsi="Times New Roman" w:cs="Times New Roman"/>
                <w:b/>
                <w:sz w:val="24"/>
              </w:rPr>
            </w:pPr>
            <w:r>
              <w:rPr>
                <w:rFonts w:ascii="Times New Roman" w:hAnsi="Times New Roman"/>
                <w:b/>
                <w:sz w:val="24"/>
              </w:rPr>
              <w:t>Risque de crédit (hors CCR)</w:t>
            </w:r>
          </w:p>
          <w:p w14:paraId="3A25A955" w14:textId="22346C37" w:rsidR="001A0C8D" w:rsidRPr="00232C88" w:rsidRDefault="000A4A93" w:rsidP="00A25707">
            <w:pPr>
              <w:spacing w:before="60" w:after="120"/>
              <w:jc w:val="both"/>
              <w:rPr>
                <w:rFonts w:ascii="Times New Roman" w:hAnsi="Times New Roman" w:cs="Times New Roman"/>
                <w:sz w:val="24"/>
              </w:rPr>
            </w:pPr>
            <w:r>
              <w:rPr>
                <w:rFonts w:ascii="Times New Roman" w:hAnsi="Times New Roman"/>
                <w:sz w:val="24"/>
              </w:rPr>
              <w:t>Montants d</w:t>
            </w:r>
            <w:r w:rsidR="0057717F">
              <w:rPr>
                <w:rFonts w:ascii="Times New Roman" w:hAnsi="Times New Roman"/>
                <w:sz w:val="24"/>
              </w:rPr>
              <w:t>’</w:t>
            </w:r>
            <w:r>
              <w:rPr>
                <w:rFonts w:ascii="Times New Roman" w:hAnsi="Times New Roman"/>
                <w:sz w:val="24"/>
              </w:rPr>
              <w:t xml:space="preserve">exposition pondérés (RWEA, pour «Risk weighted exposure amounts») et exigences de fonds propres calculés conformément à la troisième partie, titre II, chapitres 1 à 4, du règlement (UE) nº 575/2013 et à l’article 379 du règlement (UE) nº 575/2013. Les RWEA relatifs au risque de crédit de contrepartie (règlement (UE) nº 575/2013) et aux expositions de titrisation du portefeuille hors négociation sont exclus et sont déclarés aux lignes 6 et 16 du présent modèle. En ce qui concerne le montant déclaré à cette ligne, chaque établissement tient compte des RWEA et des exigences de fonds propres </w:t>
            </w:r>
            <w:r>
              <w:rPr>
                <w:rFonts w:ascii="Times New Roman" w:hAnsi="Times New Roman"/>
                <w:sz w:val="24"/>
              </w:rPr>
              <w:lastRenderedPageBreak/>
              <w:t>relatifs aux positions de négociation non dénouées, calculés conformément à l’article 379 du règlement (UE) nº 575/2013.</w:t>
            </w:r>
          </w:p>
        </w:tc>
      </w:tr>
      <w:tr w:rsidR="00232C88" w:rsidRPr="00232C88" w14:paraId="287E598B" w14:textId="77777777" w:rsidTr="4D769726">
        <w:trPr>
          <w:trHeight w:val="680"/>
        </w:trPr>
        <w:tc>
          <w:tcPr>
            <w:tcW w:w="1384" w:type="dxa"/>
          </w:tcPr>
          <w:p w14:paraId="4AE3A0F7" w14:textId="77777777" w:rsidR="004A5BCD" w:rsidRPr="00232C88" w:rsidRDefault="004A5BCD" w:rsidP="00260404">
            <w:pPr>
              <w:pStyle w:val="Applicationdirecte"/>
              <w:spacing w:before="60"/>
              <w:jc w:val="center"/>
            </w:pPr>
            <w:r>
              <w:lastRenderedPageBreak/>
              <w:t>2</w:t>
            </w:r>
          </w:p>
        </w:tc>
        <w:tc>
          <w:tcPr>
            <w:tcW w:w="7655" w:type="dxa"/>
          </w:tcPr>
          <w:p w14:paraId="19A303B7" w14:textId="358937F2" w:rsidR="008B269B" w:rsidRPr="00232C88" w:rsidRDefault="008B269B" w:rsidP="008B269B">
            <w:pPr>
              <w:spacing w:before="60" w:after="120"/>
              <w:jc w:val="both"/>
              <w:rPr>
                <w:rFonts w:ascii="Times New Roman" w:hAnsi="Times New Roman" w:cs="Times New Roman"/>
                <w:b/>
                <w:sz w:val="24"/>
              </w:rPr>
            </w:pPr>
            <w:r>
              <w:rPr>
                <w:rFonts w:ascii="Times New Roman" w:hAnsi="Times New Roman"/>
                <w:b/>
                <w:sz w:val="24"/>
              </w:rPr>
              <w:t xml:space="preserve">Risque de crédit (hors CCR) </w:t>
            </w:r>
            <w:r w:rsidR="0057717F">
              <w:rPr>
                <w:rFonts w:ascii="Times New Roman" w:hAnsi="Times New Roman"/>
                <w:b/>
                <w:sz w:val="24"/>
              </w:rPr>
              <w:t>—</w:t>
            </w:r>
            <w:r>
              <w:rPr>
                <w:rFonts w:ascii="Times New Roman" w:hAnsi="Times New Roman"/>
                <w:b/>
                <w:sz w:val="24"/>
              </w:rPr>
              <w:t xml:space="preserve"> Dont approche standard</w:t>
            </w:r>
          </w:p>
          <w:p w14:paraId="1DD2511C" w14:textId="7328A2B3" w:rsidR="004A5BCD" w:rsidRPr="00232C88" w:rsidRDefault="009A4635" w:rsidP="0097538A">
            <w:pPr>
              <w:spacing w:before="60" w:after="120"/>
              <w:jc w:val="both"/>
              <w:rPr>
                <w:rFonts w:ascii="Times New Roman" w:eastAsia="Times New Roman" w:hAnsi="Times New Roman" w:cs="Times New Roman"/>
                <w:sz w:val="24"/>
              </w:rPr>
            </w:pPr>
            <w:r>
              <w:rPr>
                <w:rFonts w:ascii="Times New Roman" w:hAnsi="Times New Roman"/>
                <w:sz w:val="24"/>
              </w:rPr>
              <w:t>RWEA et exigences de fonds propres calculés conformément à l’approche standard du risque de crédit (troisième partie, titre II, chapitre 2, du règlement (UE) nº 575/2013 et article 379 du règlement (UE) nº 575/2013).</w:t>
            </w:r>
          </w:p>
        </w:tc>
      </w:tr>
      <w:tr w:rsidR="00232C88" w:rsidRPr="00232C88" w14:paraId="1C43F82C" w14:textId="77777777" w:rsidTr="4D769726">
        <w:trPr>
          <w:trHeight w:val="436"/>
        </w:trPr>
        <w:tc>
          <w:tcPr>
            <w:tcW w:w="1384" w:type="dxa"/>
          </w:tcPr>
          <w:p w14:paraId="123DF015" w14:textId="77777777" w:rsidR="008B269B" w:rsidRPr="00232C88" w:rsidRDefault="008B269B" w:rsidP="008B269B">
            <w:pPr>
              <w:pStyle w:val="Applicationdirecte"/>
              <w:spacing w:before="60"/>
              <w:jc w:val="center"/>
            </w:pPr>
            <w:r>
              <w:t>3</w:t>
            </w:r>
          </w:p>
        </w:tc>
        <w:tc>
          <w:tcPr>
            <w:tcW w:w="7655" w:type="dxa"/>
          </w:tcPr>
          <w:p w14:paraId="6D300D26" w14:textId="247003C1" w:rsidR="008B269B" w:rsidRPr="00232C88" w:rsidRDefault="008B269B" w:rsidP="008B269B">
            <w:pPr>
              <w:spacing w:before="60" w:after="120"/>
              <w:jc w:val="both"/>
              <w:rPr>
                <w:rFonts w:ascii="Times New Roman" w:hAnsi="Times New Roman" w:cs="Times New Roman"/>
                <w:b/>
                <w:sz w:val="24"/>
              </w:rPr>
            </w:pPr>
            <w:r>
              <w:rPr>
                <w:rFonts w:ascii="Times New Roman" w:hAnsi="Times New Roman"/>
                <w:b/>
                <w:sz w:val="24"/>
              </w:rPr>
              <w:t xml:space="preserve">Risque de crédit (hors CCR) </w:t>
            </w:r>
            <w:r w:rsidR="0057717F">
              <w:rPr>
                <w:rFonts w:ascii="Times New Roman" w:hAnsi="Times New Roman"/>
                <w:b/>
                <w:sz w:val="24"/>
              </w:rPr>
              <w:t>—</w:t>
            </w:r>
            <w:r>
              <w:rPr>
                <w:rFonts w:ascii="Times New Roman" w:hAnsi="Times New Roman"/>
                <w:b/>
                <w:sz w:val="24"/>
              </w:rPr>
              <w:t xml:space="preserve"> Dont approche NI simple (F-IRB) </w:t>
            </w:r>
          </w:p>
          <w:p w14:paraId="67755B7F" w14:textId="6B3A98C3" w:rsidR="008B269B" w:rsidRPr="00232C88" w:rsidRDefault="009A4635" w:rsidP="4D769726">
            <w:pPr>
              <w:spacing w:before="60" w:after="120"/>
              <w:jc w:val="both"/>
              <w:rPr>
                <w:rFonts w:ascii="Times New Roman" w:eastAsia="Times New Roman" w:hAnsi="Times New Roman" w:cs="Times New Roman"/>
                <w:sz w:val="24"/>
              </w:rPr>
            </w:pPr>
            <w:r>
              <w:rPr>
                <w:rFonts w:ascii="Times New Roman" w:hAnsi="Times New Roman"/>
                <w:sz w:val="24"/>
              </w:rPr>
              <w:t>RWEA et exigences de fonds propres calculés conformément à l’approche simple du risque de crédit fondée sur les notations internes (troisième partie, titre II, chapitre 3, du règlement (UE) nº 575/2013), excluant les RWEA publiés à la ligne 4 pour les expositions de financement spécialisé soumises à l’approche par référencement et à la ligne EU 4a pour les actions soumises à la méthode de pondération simple, et incluant les RWEA et les exigences de fonds propres calculés conformément à l’article 379 du règlement (UE) nº 575/2013.</w:t>
            </w:r>
          </w:p>
        </w:tc>
      </w:tr>
      <w:tr w:rsidR="00232C88" w:rsidRPr="00232C88" w14:paraId="12544419" w14:textId="77777777" w:rsidTr="4D769726">
        <w:trPr>
          <w:trHeight w:val="557"/>
        </w:trPr>
        <w:tc>
          <w:tcPr>
            <w:tcW w:w="1384" w:type="dxa"/>
            <w:vAlign w:val="center"/>
          </w:tcPr>
          <w:p w14:paraId="76946C13" w14:textId="77777777" w:rsidR="00FA1376" w:rsidRPr="00232C88" w:rsidRDefault="00460FF6" w:rsidP="00FA1376">
            <w:pPr>
              <w:pStyle w:val="Applicationdirecte"/>
              <w:spacing w:before="60"/>
              <w:jc w:val="center"/>
            </w:pPr>
            <w:r>
              <w:t>4</w:t>
            </w:r>
          </w:p>
        </w:tc>
        <w:tc>
          <w:tcPr>
            <w:tcW w:w="7655" w:type="dxa"/>
          </w:tcPr>
          <w:p w14:paraId="370308AB" w14:textId="356F6937"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Risque de crédit (hors CCR) </w:t>
            </w:r>
            <w:r w:rsidR="0057717F">
              <w:rPr>
                <w:rFonts w:ascii="Times New Roman" w:hAnsi="Times New Roman"/>
                <w:b/>
                <w:sz w:val="24"/>
              </w:rPr>
              <w:t>—</w:t>
            </w:r>
            <w:r>
              <w:rPr>
                <w:rFonts w:ascii="Times New Roman" w:hAnsi="Times New Roman"/>
                <w:b/>
                <w:sz w:val="24"/>
              </w:rPr>
              <w:t xml:space="preserve"> Dont approche par référencement</w:t>
            </w:r>
          </w:p>
          <w:p w14:paraId="0A705407" w14:textId="42036DAC" w:rsidR="00FA1376" w:rsidRPr="00232C88" w:rsidRDefault="009A4635" w:rsidP="0077689B">
            <w:pPr>
              <w:spacing w:before="60" w:after="120"/>
              <w:jc w:val="both"/>
              <w:rPr>
                <w:rFonts w:ascii="Times New Roman" w:hAnsi="Times New Roman" w:cs="Times New Roman"/>
                <w:sz w:val="24"/>
              </w:rPr>
            </w:pPr>
            <w:r>
              <w:rPr>
                <w:rFonts w:ascii="Times New Roman" w:hAnsi="Times New Roman"/>
                <w:sz w:val="24"/>
              </w:rPr>
              <w:t>RWEA et exigences de fonds propres pour les expositions de financement spécialisé soumises à l’approche par référencement conformément à l’article 153, paragraphe 5, du règlement (UE) nº 575/2013.</w:t>
            </w:r>
          </w:p>
        </w:tc>
      </w:tr>
      <w:tr w:rsidR="00232C88" w:rsidRPr="00232C88" w14:paraId="003EB127" w14:textId="77777777" w:rsidTr="4D769726">
        <w:trPr>
          <w:trHeight w:val="557"/>
        </w:trPr>
        <w:tc>
          <w:tcPr>
            <w:tcW w:w="1384" w:type="dxa"/>
            <w:vAlign w:val="center"/>
          </w:tcPr>
          <w:p w14:paraId="45C5255C" w14:textId="77777777" w:rsidR="00FA1376" w:rsidRPr="00232C88" w:rsidRDefault="00FA1376" w:rsidP="00FA1376">
            <w:pPr>
              <w:pStyle w:val="Applicationdirecte"/>
              <w:spacing w:before="60"/>
              <w:jc w:val="center"/>
            </w:pPr>
            <w:r>
              <w:t>EU 4a</w:t>
            </w:r>
          </w:p>
        </w:tc>
        <w:tc>
          <w:tcPr>
            <w:tcW w:w="7655" w:type="dxa"/>
          </w:tcPr>
          <w:p w14:paraId="37370FB1" w14:textId="0421F6C4"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Risque de crédit (hors CCR) </w:t>
            </w:r>
            <w:r w:rsidR="0057717F">
              <w:rPr>
                <w:rFonts w:ascii="Times New Roman" w:hAnsi="Times New Roman"/>
                <w:b/>
                <w:sz w:val="24"/>
              </w:rPr>
              <w:t>—</w:t>
            </w:r>
            <w:r>
              <w:rPr>
                <w:rFonts w:ascii="Times New Roman" w:hAnsi="Times New Roman"/>
                <w:b/>
                <w:sz w:val="24"/>
              </w:rPr>
              <w:t xml:space="preserve"> Dont actions faisant l</w:t>
            </w:r>
            <w:r w:rsidR="0057717F">
              <w:rPr>
                <w:rFonts w:ascii="Times New Roman" w:hAnsi="Times New Roman"/>
                <w:b/>
                <w:sz w:val="24"/>
              </w:rPr>
              <w:t>’</w:t>
            </w:r>
            <w:r>
              <w:rPr>
                <w:rFonts w:ascii="Times New Roman" w:hAnsi="Times New Roman"/>
                <w:b/>
                <w:sz w:val="24"/>
              </w:rPr>
              <w:t>objet de la méthode de pondération simple</w:t>
            </w:r>
          </w:p>
          <w:p w14:paraId="5661C7E6" w14:textId="0BDC4EC8" w:rsidR="00FA1376" w:rsidRPr="00232C88" w:rsidRDefault="009A4635" w:rsidP="0077689B">
            <w:pPr>
              <w:spacing w:before="60" w:after="120"/>
              <w:jc w:val="both"/>
              <w:rPr>
                <w:rFonts w:ascii="Times New Roman" w:eastAsia="Times New Roman" w:hAnsi="Times New Roman" w:cs="Times New Roman"/>
                <w:sz w:val="24"/>
              </w:rPr>
            </w:pPr>
            <w:r>
              <w:rPr>
                <w:rFonts w:ascii="Times New Roman" w:hAnsi="Times New Roman"/>
                <w:sz w:val="24"/>
              </w:rPr>
              <w:t>RWEA et exigences de fonds propres pour les expositions sur actions lorsque les dispositions transitoires de l</w:t>
            </w:r>
            <w:r w:rsidR="0057717F">
              <w:rPr>
                <w:rFonts w:ascii="Times New Roman" w:hAnsi="Times New Roman"/>
                <w:sz w:val="24"/>
              </w:rPr>
              <w:t>’</w:t>
            </w:r>
            <w:r>
              <w:rPr>
                <w:rFonts w:ascii="Times New Roman" w:hAnsi="Times New Roman"/>
                <w:sz w:val="24"/>
              </w:rPr>
              <w:t>article 495, paragraphe 1, point b), du règlement (UE) nº 575/2013 s</w:t>
            </w:r>
            <w:r w:rsidR="0057717F">
              <w:rPr>
                <w:rFonts w:ascii="Times New Roman" w:hAnsi="Times New Roman"/>
                <w:sz w:val="24"/>
              </w:rPr>
              <w:t>’</w:t>
            </w:r>
            <w:r>
              <w:rPr>
                <w:rFonts w:ascii="Times New Roman" w:hAnsi="Times New Roman"/>
                <w:sz w:val="24"/>
              </w:rPr>
              <w:t>appliquent.</w:t>
            </w:r>
          </w:p>
        </w:tc>
      </w:tr>
      <w:tr w:rsidR="00232C88" w:rsidRPr="00232C88" w14:paraId="69AF17D3" w14:textId="77777777" w:rsidTr="4D769726">
        <w:trPr>
          <w:trHeight w:val="557"/>
        </w:trPr>
        <w:tc>
          <w:tcPr>
            <w:tcW w:w="1384" w:type="dxa"/>
            <w:vAlign w:val="center"/>
          </w:tcPr>
          <w:p w14:paraId="001EDC8B" w14:textId="77777777" w:rsidR="00460FF6" w:rsidRPr="00232C88" w:rsidRDefault="00460FF6" w:rsidP="00B2180A">
            <w:pPr>
              <w:pStyle w:val="Applicationdirecte"/>
              <w:spacing w:before="60"/>
              <w:jc w:val="center"/>
            </w:pPr>
            <w:r>
              <w:t>5</w:t>
            </w:r>
          </w:p>
        </w:tc>
        <w:tc>
          <w:tcPr>
            <w:tcW w:w="7655" w:type="dxa"/>
          </w:tcPr>
          <w:p w14:paraId="3AFF7CE4" w14:textId="76872593" w:rsidR="00460FF6" w:rsidRPr="00232C88" w:rsidRDefault="00460FF6" w:rsidP="00B2180A">
            <w:pPr>
              <w:spacing w:before="60" w:after="120"/>
              <w:jc w:val="both"/>
              <w:rPr>
                <w:rFonts w:ascii="Times New Roman" w:hAnsi="Times New Roman" w:cs="Times New Roman"/>
                <w:b/>
                <w:sz w:val="24"/>
              </w:rPr>
            </w:pPr>
            <w:r>
              <w:rPr>
                <w:rFonts w:ascii="Times New Roman" w:hAnsi="Times New Roman"/>
                <w:b/>
                <w:sz w:val="24"/>
              </w:rPr>
              <w:t xml:space="preserve">Risque de crédit (hors CCR) </w:t>
            </w:r>
            <w:r w:rsidR="0057717F">
              <w:rPr>
                <w:rFonts w:ascii="Times New Roman" w:hAnsi="Times New Roman"/>
                <w:b/>
                <w:sz w:val="24"/>
              </w:rPr>
              <w:t>—</w:t>
            </w:r>
            <w:r>
              <w:rPr>
                <w:rFonts w:ascii="Times New Roman" w:hAnsi="Times New Roman"/>
                <w:b/>
                <w:sz w:val="24"/>
              </w:rPr>
              <w:t xml:space="preserve"> Dont approche NI avancée (A-IRB)</w:t>
            </w:r>
          </w:p>
          <w:p w14:paraId="7667081C" w14:textId="5A6E8BF3" w:rsidR="00460FF6" w:rsidRPr="00232C88" w:rsidRDefault="00460FF6" w:rsidP="4D769726">
            <w:pPr>
              <w:spacing w:before="60" w:after="120"/>
              <w:jc w:val="both"/>
              <w:rPr>
                <w:rFonts w:ascii="Times New Roman" w:eastAsia="Times New Roman" w:hAnsi="Times New Roman" w:cs="Times New Roman"/>
                <w:sz w:val="24"/>
              </w:rPr>
            </w:pPr>
            <w:r>
              <w:rPr>
                <w:rFonts w:ascii="Times New Roman" w:hAnsi="Times New Roman"/>
                <w:sz w:val="24"/>
              </w:rPr>
              <w:t>RWEA et exigences de fonds propres calculés conformément à l’approche avancée du risque de crédit fondée sur les notations internes (troisième partie, titre II, chapitre 3, du règlement (UE) nº 575/2013), excluant les RWEA publiés à la ligne 4 pour les expositions de financement spécialisé soumises à l’approche par référencement et à la ligne EU 4a pour les actions soumises à la méthode de pondération simple, et incluant les RWEA et les exigences de fonds propres calculés conformément à l’article 379 du règlement (UE) nº 575/2013.</w:t>
            </w:r>
          </w:p>
        </w:tc>
      </w:tr>
      <w:tr w:rsidR="00232C88" w:rsidRPr="00232C88" w14:paraId="79D52CCD" w14:textId="77777777" w:rsidTr="4D769726">
        <w:trPr>
          <w:trHeight w:val="557"/>
        </w:trPr>
        <w:tc>
          <w:tcPr>
            <w:tcW w:w="1384" w:type="dxa"/>
            <w:vAlign w:val="center"/>
          </w:tcPr>
          <w:p w14:paraId="7D31EB04" w14:textId="77777777" w:rsidR="00FA1376" w:rsidRPr="00232C88" w:rsidRDefault="004D588F" w:rsidP="004D588F">
            <w:pPr>
              <w:pStyle w:val="Applicationdirecte"/>
              <w:spacing w:before="60"/>
              <w:jc w:val="center"/>
            </w:pPr>
            <w:r>
              <w:t>6</w:t>
            </w:r>
          </w:p>
        </w:tc>
        <w:tc>
          <w:tcPr>
            <w:tcW w:w="7655" w:type="dxa"/>
          </w:tcPr>
          <w:p w14:paraId="7F11F1D5" w14:textId="172D13E9"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Risque de crédit de contrepartie </w:t>
            </w:r>
            <w:r w:rsidR="0057717F">
              <w:rPr>
                <w:rFonts w:ascii="Times New Roman" w:hAnsi="Times New Roman"/>
                <w:b/>
                <w:sz w:val="24"/>
              </w:rPr>
              <w:t>—</w:t>
            </w:r>
            <w:r>
              <w:rPr>
                <w:rFonts w:ascii="Times New Roman" w:hAnsi="Times New Roman"/>
                <w:b/>
                <w:sz w:val="24"/>
              </w:rPr>
              <w:t xml:space="preserve"> CCR </w:t>
            </w:r>
          </w:p>
          <w:p w14:paraId="6E778278" w14:textId="12E427A1" w:rsidR="00FA1376" w:rsidRPr="00232C88" w:rsidRDefault="009A4635" w:rsidP="4D769726">
            <w:pPr>
              <w:spacing w:before="60" w:after="120"/>
              <w:jc w:val="both"/>
              <w:rPr>
                <w:rFonts w:ascii="Times New Roman" w:eastAsia="Times New Roman" w:hAnsi="Times New Roman" w:cs="Times New Roman"/>
                <w:sz w:val="24"/>
              </w:rPr>
            </w:pPr>
            <w:r>
              <w:rPr>
                <w:rFonts w:ascii="Times New Roman" w:hAnsi="Times New Roman"/>
                <w:sz w:val="24"/>
              </w:rPr>
              <w:t>RWEA et exigences de fonds propres calculés conformément à la troisième partie, titre II, chapitre 6, du règlement (UE) nº 575/2013 en ce qui concerne le risque de crédit de contrepartie.</w:t>
            </w:r>
          </w:p>
        </w:tc>
      </w:tr>
      <w:tr w:rsidR="00232C88" w:rsidRPr="00232C88" w14:paraId="75B82B0F" w14:textId="77777777" w:rsidTr="4D769726">
        <w:trPr>
          <w:trHeight w:val="557"/>
        </w:trPr>
        <w:tc>
          <w:tcPr>
            <w:tcW w:w="1384" w:type="dxa"/>
            <w:vAlign w:val="center"/>
          </w:tcPr>
          <w:p w14:paraId="0224B461" w14:textId="77777777" w:rsidR="00FA1376" w:rsidRPr="00232C88" w:rsidRDefault="004D588F" w:rsidP="00FA1376">
            <w:pPr>
              <w:pStyle w:val="Applicationdirecte"/>
              <w:spacing w:before="60"/>
              <w:jc w:val="center"/>
            </w:pPr>
            <w:r>
              <w:t>7</w:t>
            </w:r>
          </w:p>
        </w:tc>
        <w:tc>
          <w:tcPr>
            <w:tcW w:w="7655" w:type="dxa"/>
          </w:tcPr>
          <w:p w14:paraId="5528A31C" w14:textId="32C12D7F"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CCR </w:t>
            </w:r>
            <w:r w:rsidR="0057717F">
              <w:rPr>
                <w:rFonts w:ascii="Times New Roman" w:hAnsi="Times New Roman"/>
                <w:b/>
                <w:sz w:val="24"/>
              </w:rPr>
              <w:t>—</w:t>
            </w:r>
            <w:r>
              <w:rPr>
                <w:rFonts w:ascii="Times New Roman" w:hAnsi="Times New Roman"/>
                <w:b/>
                <w:sz w:val="24"/>
              </w:rPr>
              <w:t xml:space="preserve"> Dont approche standard </w:t>
            </w:r>
          </w:p>
          <w:p w14:paraId="13065A05" w14:textId="21562698" w:rsidR="00FA1376" w:rsidRPr="00232C88" w:rsidRDefault="009A4635" w:rsidP="4D769726">
            <w:pPr>
              <w:spacing w:before="60" w:after="120"/>
              <w:jc w:val="both"/>
              <w:rPr>
                <w:rFonts w:ascii="Times New Roman" w:hAnsi="Times New Roman" w:cs="Times New Roman"/>
                <w:sz w:val="24"/>
              </w:rPr>
            </w:pPr>
            <w:r>
              <w:rPr>
                <w:rFonts w:ascii="Times New Roman" w:hAnsi="Times New Roman"/>
                <w:sz w:val="24"/>
              </w:rPr>
              <w:t>RWEA et exigences de fonds propres calculés conformément à la troisième partie, titre II, chapitre 6, section 3, du règlement (UE) nº 575/2013.</w:t>
            </w:r>
          </w:p>
        </w:tc>
      </w:tr>
      <w:tr w:rsidR="00232C88" w:rsidRPr="00232C88" w14:paraId="16331F3C" w14:textId="77777777" w:rsidTr="4D769726">
        <w:trPr>
          <w:trHeight w:val="557"/>
        </w:trPr>
        <w:tc>
          <w:tcPr>
            <w:tcW w:w="1384" w:type="dxa"/>
            <w:vAlign w:val="center"/>
          </w:tcPr>
          <w:p w14:paraId="3558D5F6" w14:textId="77777777" w:rsidR="00FA1376" w:rsidRPr="00232C88" w:rsidRDefault="004D588F" w:rsidP="00FA1376">
            <w:pPr>
              <w:pStyle w:val="Applicationdirecte"/>
              <w:spacing w:before="60"/>
              <w:jc w:val="center"/>
            </w:pPr>
            <w:r>
              <w:lastRenderedPageBreak/>
              <w:t>8</w:t>
            </w:r>
          </w:p>
        </w:tc>
        <w:tc>
          <w:tcPr>
            <w:tcW w:w="7655" w:type="dxa"/>
          </w:tcPr>
          <w:p w14:paraId="2C150D6B" w14:textId="39D0947D"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CCR </w:t>
            </w:r>
            <w:r w:rsidR="0057717F">
              <w:rPr>
                <w:rFonts w:ascii="Times New Roman" w:hAnsi="Times New Roman"/>
                <w:b/>
                <w:sz w:val="24"/>
              </w:rPr>
              <w:t>—</w:t>
            </w:r>
            <w:r>
              <w:rPr>
                <w:rFonts w:ascii="Times New Roman" w:hAnsi="Times New Roman"/>
                <w:b/>
                <w:sz w:val="24"/>
              </w:rPr>
              <w:t xml:space="preserve"> Dont méthode du modèle interne (IMM) </w:t>
            </w:r>
          </w:p>
          <w:p w14:paraId="3EB08D8D" w14:textId="714BB9B9" w:rsidR="00FA1376" w:rsidRPr="00232C88" w:rsidRDefault="009A4635" w:rsidP="002635C4">
            <w:pPr>
              <w:spacing w:before="60" w:after="120"/>
              <w:jc w:val="both"/>
              <w:rPr>
                <w:rFonts w:ascii="Times New Roman" w:hAnsi="Times New Roman" w:cs="Times New Roman"/>
                <w:sz w:val="24"/>
              </w:rPr>
            </w:pPr>
            <w:r>
              <w:rPr>
                <w:rFonts w:ascii="Times New Roman" w:hAnsi="Times New Roman"/>
                <w:sz w:val="24"/>
              </w:rPr>
              <w:t>RWEA et exigences de fonds propres calculés conformément à l</w:t>
            </w:r>
            <w:r w:rsidR="0057717F">
              <w:rPr>
                <w:rFonts w:ascii="Times New Roman" w:hAnsi="Times New Roman"/>
                <w:sz w:val="24"/>
              </w:rPr>
              <w:t>’</w:t>
            </w:r>
            <w:r>
              <w:rPr>
                <w:rFonts w:ascii="Times New Roman" w:hAnsi="Times New Roman"/>
                <w:sz w:val="24"/>
              </w:rPr>
              <w:t>article 283 du règlement (UE) nº 575/2013.</w:t>
            </w:r>
          </w:p>
        </w:tc>
      </w:tr>
      <w:tr w:rsidR="00232C88" w:rsidRPr="00232C88" w14:paraId="58D7FF91" w14:textId="77777777" w:rsidTr="4D769726">
        <w:trPr>
          <w:trHeight w:val="557"/>
        </w:trPr>
        <w:tc>
          <w:tcPr>
            <w:tcW w:w="1384" w:type="dxa"/>
          </w:tcPr>
          <w:p w14:paraId="4241FF70" w14:textId="77777777" w:rsidR="004D588F" w:rsidRPr="00232C88" w:rsidRDefault="004D588F" w:rsidP="004D588F">
            <w:pPr>
              <w:pStyle w:val="Applicationdirecte"/>
              <w:spacing w:before="60"/>
              <w:jc w:val="center"/>
            </w:pPr>
            <w:r>
              <w:t>EU 8a</w:t>
            </w:r>
          </w:p>
        </w:tc>
        <w:tc>
          <w:tcPr>
            <w:tcW w:w="7655" w:type="dxa"/>
          </w:tcPr>
          <w:p w14:paraId="78F13FD4" w14:textId="67E29E67" w:rsidR="004D588F" w:rsidRPr="00232C88" w:rsidRDefault="004D588F" w:rsidP="004D588F">
            <w:pPr>
              <w:spacing w:before="60" w:after="120"/>
              <w:jc w:val="both"/>
              <w:rPr>
                <w:rFonts w:ascii="Times New Roman" w:hAnsi="Times New Roman" w:cs="Times New Roman"/>
                <w:b/>
                <w:sz w:val="24"/>
              </w:rPr>
            </w:pPr>
            <w:r>
              <w:rPr>
                <w:rFonts w:ascii="Times New Roman" w:hAnsi="Times New Roman"/>
                <w:b/>
                <w:sz w:val="24"/>
              </w:rPr>
              <w:t xml:space="preserve">CCR </w:t>
            </w:r>
            <w:r w:rsidR="0057717F">
              <w:rPr>
                <w:rFonts w:ascii="Times New Roman" w:hAnsi="Times New Roman"/>
                <w:b/>
                <w:sz w:val="24"/>
              </w:rPr>
              <w:t>—</w:t>
            </w:r>
            <w:r>
              <w:rPr>
                <w:rFonts w:ascii="Times New Roman" w:hAnsi="Times New Roman"/>
                <w:b/>
                <w:sz w:val="24"/>
              </w:rPr>
              <w:t xml:space="preserve"> Dont expositions sur une CCP</w:t>
            </w:r>
          </w:p>
          <w:p w14:paraId="316A5F55" w14:textId="5F455EE4" w:rsidR="00194611" w:rsidRPr="00232C88" w:rsidRDefault="004D588F" w:rsidP="4D769726">
            <w:pPr>
              <w:spacing w:before="60" w:after="120"/>
              <w:jc w:val="both"/>
              <w:rPr>
                <w:rFonts w:ascii="Times New Roman" w:hAnsi="Times New Roman" w:cs="Times New Roman"/>
                <w:sz w:val="24"/>
              </w:rPr>
            </w:pPr>
            <w:r>
              <w:rPr>
                <w:rFonts w:ascii="Times New Roman" w:hAnsi="Times New Roman"/>
                <w:sz w:val="24"/>
              </w:rPr>
              <w:t>RWEA et exigences de fonds propres calculés conformément à la troisième partie, titre II, chapitre 6, section 9, du règlement (UE) nº 575/2013.</w:t>
            </w:r>
          </w:p>
        </w:tc>
      </w:tr>
      <w:tr w:rsidR="00232C88" w:rsidRPr="00232C88" w14:paraId="25F8E9B4" w14:textId="77777777" w:rsidTr="4D769726">
        <w:trPr>
          <w:trHeight w:val="557"/>
        </w:trPr>
        <w:tc>
          <w:tcPr>
            <w:tcW w:w="1384" w:type="dxa"/>
          </w:tcPr>
          <w:p w14:paraId="4FF5AE00" w14:textId="77777777" w:rsidR="004D588F" w:rsidRPr="00232C88" w:rsidRDefault="004D588F" w:rsidP="004D588F">
            <w:pPr>
              <w:pStyle w:val="Applicationdirecte"/>
              <w:spacing w:before="60"/>
              <w:jc w:val="center"/>
            </w:pPr>
            <w:r>
              <w:t>9</w:t>
            </w:r>
          </w:p>
        </w:tc>
        <w:tc>
          <w:tcPr>
            <w:tcW w:w="7655" w:type="dxa"/>
          </w:tcPr>
          <w:p w14:paraId="1F211550" w14:textId="6CFD439D" w:rsidR="004D588F" w:rsidRPr="00232C88" w:rsidRDefault="004D588F" w:rsidP="004D588F">
            <w:pPr>
              <w:spacing w:before="60" w:after="120"/>
              <w:jc w:val="both"/>
              <w:rPr>
                <w:rFonts w:ascii="Times New Roman" w:hAnsi="Times New Roman" w:cs="Times New Roman"/>
                <w:b/>
                <w:sz w:val="24"/>
              </w:rPr>
            </w:pPr>
            <w:r>
              <w:rPr>
                <w:rFonts w:ascii="Times New Roman" w:hAnsi="Times New Roman"/>
                <w:b/>
                <w:sz w:val="24"/>
              </w:rPr>
              <w:t xml:space="preserve">CCR </w:t>
            </w:r>
            <w:r w:rsidR="0057717F">
              <w:rPr>
                <w:rFonts w:ascii="Times New Roman" w:hAnsi="Times New Roman"/>
                <w:b/>
                <w:sz w:val="24"/>
              </w:rPr>
              <w:t>—</w:t>
            </w:r>
            <w:r>
              <w:rPr>
                <w:rFonts w:ascii="Times New Roman" w:hAnsi="Times New Roman"/>
                <w:b/>
                <w:sz w:val="24"/>
              </w:rPr>
              <w:t xml:space="preserve"> Dont autres CCR</w:t>
            </w:r>
          </w:p>
          <w:p w14:paraId="533B5356" w14:textId="2A949FC3" w:rsidR="004D588F" w:rsidRPr="00232C88" w:rsidRDefault="48604EBF" w:rsidP="7A5B4152">
            <w:pPr>
              <w:spacing w:before="60" w:after="120"/>
              <w:jc w:val="both"/>
              <w:rPr>
                <w:rFonts w:ascii="Times New Roman" w:hAnsi="Times New Roman" w:cs="Times New Roman"/>
                <w:sz w:val="24"/>
              </w:rPr>
            </w:pPr>
            <w:r>
              <w:rPr>
                <w:rFonts w:ascii="Times New Roman" w:hAnsi="Times New Roman"/>
                <w:sz w:val="24"/>
              </w:rPr>
              <w:t>RWAE et exigences de fonds propres pour le risque de crédit de contrepartie qui ne sont pas déclarés aux lignes 7, 8 et EU 8a.</w:t>
            </w:r>
          </w:p>
        </w:tc>
      </w:tr>
      <w:tr w:rsidR="00232C88" w:rsidRPr="00232C88" w14:paraId="76E49737" w14:textId="77777777" w:rsidTr="4D769726">
        <w:trPr>
          <w:trHeight w:val="557"/>
        </w:trPr>
        <w:tc>
          <w:tcPr>
            <w:tcW w:w="1384" w:type="dxa"/>
          </w:tcPr>
          <w:p w14:paraId="592A619A" w14:textId="77777777" w:rsidR="004D588F" w:rsidRPr="00232C88" w:rsidRDefault="004D588F" w:rsidP="004D588F">
            <w:pPr>
              <w:pStyle w:val="Applicationdirecte"/>
              <w:spacing w:before="60"/>
              <w:jc w:val="center"/>
            </w:pPr>
            <w:r>
              <w:t>10</w:t>
            </w:r>
          </w:p>
        </w:tc>
        <w:tc>
          <w:tcPr>
            <w:tcW w:w="7655" w:type="dxa"/>
          </w:tcPr>
          <w:p w14:paraId="6FBF49C6" w14:textId="710A4293" w:rsidR="004D588F" w:rsidRPr="00232C88" w:rsidRDefault="6B84787B" w:rsidP="7A5B4152">
            <w:pPr>
              <w:spacing w:before="60" w:after="120" w:line="259" w:lineRule="auto"/>
              <w:jc w:val="both"/>
              <w:rPr>
                <w:rFonts w:ascii="Times New Roman" w:hAnsi="Times New Roman" w:cs="Times New Roman"/>
                <w:b/>
                <w:bCs/>
                <w:sz w:val="24"/>
              </w:rPr>
            </w:pPr>
            <w:r>
              <w:rPr>
                <w:rFonts w:ascii="Times New Roman" w:hAnsi="Times New Roman"/>
                <w:b/>
                <w:sz w:val="24"/>
              </w:rPr>
              <w:t>Risque d</w:t>
            </w:r>
            <w:r w:rsidR="0057717F">
              <w:rPr>
                <w:rFonts w:ascii="Times New Roman" w:hAnsi="Times New Roman"/>
                <w:b/>
                <w:sz w:val="24"/>
              </w:rPr>
              <w:t>’</w:t>
            </w:r>
            <w:r>
              <w:rPr>
                <w:rFonts w:ascii="Times New Roman" w:hAnsi="Times New Roman"/>
                <w:b/>
                <w:sz w:val="24"/>
              </w:rPr>
              <w:t>ajustement de l</w:t>
            </w:r>
            <w:r w:rsidR="0057717F">
              <w:rPr>
                <w:rFonts w:ascii="Times New Roman" w:hAnsi="Times New Roman"/>
                <w:b/>
                <w:sz w:val="24"/>
              </w:rPr>
              <w:t>’</w:t>
            </w:r>
            <w:r>
              <w:rPr>
                <w:rFonts w:ascii="Times New Roman" w:hAnsi="Times New Roman"/>
                <w:b/>
                <w:sz w:val="24"/>
              </w:rPr>
              <w:t xml:space="preserve">évaluation de crédit </w:t>
            </w:r>
            <w:r w:rsidR="0057717F">
              <w:rPr>
                <w:rFonts w:ascii="Times New Roman" w:hAnsi="Times New Roman"/>
                <w:b/>
                <w:sz w:val="24"/>
              </w:rPr>
              <w:t>—</w:t>
            </w:r>
            <w:r>
              <w:rPr>
                <w:rFonts w:ascii="Times New Roman" w:hAnsi="Times New Roman"/>
                <w:b/>
                <w:sz w:val="24"/>
              </w:rPr>
              <w:t xml:space="preserve"> risque de CVA</w:t>
            </w:r>
          </w:p>
          <w:p w14:paraId="49EF2829" w14:textId="6B25E794" w:rsidR="004D588F" w:rsidRPr="00232C88" w:rsidRDefault="7031397C" w:rsidP="4D769726">
            <w:pPr>
              <w:spacing w:before="60" w:after="120" w:line="259" w:lineRule="auto"/>
              <w:jc w:val="both"/>
              <w:rPr>
                <w:rFonts w:ascii="Times New Roman" w:hAnsi="Times New Roman" w:cs="Times New Roman"/>
                <w:sz w:val="24"/>
              </w:rPr>
            </w:pPr>
            <w:r>
              <w:rPr>
                <w:rFonts w:ascii="Times New Roman" w:hAnsi="Times New Roman"/>
                <w:sz w:val="24"/>
              </w:rPr>
              <w:t>RWEA et exigences de fonds propres calculés conformément à la troisième partie, titre VI, du règlement (UE) nº 575/2013.</w:t>
            </w:r>
          </w:p>
        </w:tc>
      </w:tr>
      <w:tr w:rsidR="00232C88" w:rsidRPr="00232C88" w14:paraId="1A547643" w14:textId="77777777" w:rsidTr="4D769726">
        <w:trPr>
          <w:trHeight w:val="557"/>
        </w:trPr>
        <w:tc>
          <w:tcPr>
            <w:tcW w:w="1384" w:type="dxa"/>
          </w:tcPr>
          <w:p w14:paraId="3C94C191" w14:textId="4A298BE2" w:rsidR="6B84787B" w:rsidRPr="00232C88" w:rsidRDefault="6B84787B" w:rsidP="00254EDB">
            <w:pPr>
              <w:pStyle w:val="Applicationdirecte"/>
              <w:spacing w:before="60" w:line="259" w:lineRule="auto"/>
              <w:jc w:val="center"/>
            </w:pPr>
            <w:r>
              <w:t>EU 10a</w:t>
            </w:r>
          </w:p>
        </w:tc>
        <w:tc>
          <w:tcPr>
            <w:tcW w:w="7655" w:type="dxa"/>
          </w:tcPr>
          <w:p w14:paraId="6CC156C7" w14:textId="3CA3BDFD" w:rsidR="6B84787B" w:rsidRPr="00232C88" w:rsidRDefault="6B84787B" w:rsidP="00254EDB">
            <w:pPr>
              <w:spacing w:before="60" w:after="120" w:line="259" w:lineRule="auto"/>
              <w:jc w:val="both"/>
              <w:rPr>
                <w:rFonts w:ascii="Times New Roman" w:hAnsi="Times New Roman" w:cs="Times New Roman"/>
                <w:b/>
                <w:bCs/>
                <w:sz w:val="24"/>
              </w:rPr>
            </w:pPr>
            <w:r>
              <w:rPr>
                <w:rFonts w:ascii="Times New Roman" w:hAnsi="Times New Roman"/>
                <w:b/>
                <w:sz w:val="24"/>
              </w:rPr>
              <w:t xml:space="preserve">Risque de CVA </w:t>
            </w:r>
            <w:r w:rsidR="0057717F">
              <w:rPr>
                <w:rFonts w:ascii="Times New Roman" w:hAnsi="Times New Roman"/>
                <w:b/>
                <w:sz w:val="24"/>
              </w:rPr>
              <w:t>—</w:t>
            </w:r>
            <w:r>
              <w:rPr>
                <w:rFonts w:ascii="Times New Roman" w:hAnsi="Times New Roman"/>
                <w:b/>
                <w:sz w:val="24"/>
              </w:rPr>
              <w:t xml:space="preserve"> Dont approche standard (SA)</w:t>
            </w:r>
          </w:p>
          <w:p w14:paraId="1299BEF8" w14:textId="06D2FCDE" w:rsidR="15A479FF" w:rsidRPr="00232C88" w:rsidRDefault="15A479FF" w:rsidP="00254EDB">
            <w:pPr>
              <w:spacing w:before="60" w:after="120" w:line="259" w:lineRule="auto"/>
              <w:jc w:val="both"/>
              <w:rPr>
                <w:rFonts w:ascii="Times New Roman" w:hAnsi="Times New Roman" w:cs="Times New Roman"/>
                <w:sz w:val="24"/>
              </w:rPr>
            </w:pPr>
            <w:r>
              <w:rPr>
                <w:rFonts w:ascii="Times New Roman" w:hAnsi="Times New Roman"/>
                <w:sz w:val="24"/>
              </w:rPr>
              <w:t>RWEA et exigences de fonds propres calculés conformément à l</w:t>
            </w:r>
            <w:r w:rsidR="0057717F">
              <w:rPr>
                <w:rFonts w:ascii="Times New Roman" w:hAnsi="Times New Roman"/>
                <w:sz w:val="24"/>
              </w:rPr>
              <w:t>’</w:t>
            </w:r>
            <w:r>
              <w:rPr>
                <w:rFonts w:ascii="Times New Roman" w:hAnsi="Times New Roman"/>
                <w:sz w:val="24"/>
              </w:rPr>
              <w:t>article 383 du règlement (UE) nº 575/2013.</w:t>
            </w:r>
          </w:p>
        </w:tc>
      </w:tr>
      <w:tr w:rsidR="00232C88" w:rsidRPr="00232C88" w14:paraId="02EE7C20" w14:textId="77777777" w:rsidTr="4D769726">
        <w:trPr>
          <w:trHeight w:val="557"/>
        </w:trPr>
        <w:tc>
          <w:tcPr>
            <w:tcW w:w="1384" w:type="dxa"/>
          </w:tcPr>
          <w:p w14:paraId="18681198" w14:textId="4CC5C33F" w:rsidR="6B84787B" w:rsidRPr="00232C88" w:rsidRDefault="6B84787B" w:rsidP="00254EDB">
            <w:pPr>
              <w:pStyle w:val="Applicationdirecte"/>
              <w:spacing w:before="60" w:line="259" w:lineRule="auto"/>
              <w:jc w:val="center"/>
            </w:pPr>
            <w:r>
              <w:t>EU 10b</w:t>
            </w:r>
          </w:p>
        </w:tc>
        <w:tc>
          <w:tcPr>
            <w:tcW w:w="7655" w:type="dxa"/>
          </w:tcPr>
          <w:p w14:paraId="1888B262" w14:textId="70515C6B" w:rsidR="2B63221F" w:rsidRPr="00232C88" w:rsidRDefault="2B63221F" w:rsidP="00254EDB">
            <w:pPr>
              <w:spacing w:line="259" w:lineRule="auto"/>
              <w:rPr>
                <w:rFonts w:ascii="Times New Roman" w:hAnsi="Times New Roman" w:cs="Times New Roman"/>
                <w:b/>
                <w:bCs/>
                <w:sz w:val="24"/>
              </w:rPr>
            </w:pPr>
            <w:r>
              <w:rPr>
                <w:rFonts w:ascii="Times New Roman" w:hAnsi="Times New Roman"/>
                <w:b/>
                <w:sz w:val="24"/>
              </w:rPr>
              <w:t xml:space="preserve">Risque de CVA </w:t>
            </w:r>
            <w:r w:rsidR="0057717F">
              <w:rPr>
                <w:rFonts w:ascii="Times New Roman" w:hAnsi="Times New Roman"/>
                <w:b/>
                <w:sz w:val="24"/>
              </w:rPr>
              <w:t>—</w:t>
            </w:r>
            <w:r>
              <w:rPr>
                <w:rFonts w:ascii="Times New Roman" w:hAnsi="Times New Roman"/>
                <w:b/>
                <w:sz w:val="24"/>
              </w:rPr>
              <w:t xml:space="preserve"> Dont approche de base (F-BA et R-BA)</w:t>
            </w:r>
          </w:p>
          <w:p w14:paraId="08A9D4FC" w14:textId="244CDEDD" w:rsidR="5E3E7C8C" w:rsidRPr="00232C88" w:rsidRDefault="5E3E7C8C" w:rsidP="00254EDB">
            <w:pPr>
              <w:spacing w:before="60" w:after="120" w:line="259" w:lineRule="auto"/>
              <w:jc w:val="both"/>
              <w:rPr>
                <w:rFonts w:ascii="Times New Roman" w:hAnsi="Times New Roman" w:cs="Times New Roman"/>
                <w:sz w:val="24"/>
              </w:rPr>
            </w:pPr>
            <w:r>
              <w:rPr>
                <w:rFonts w:ascii="Times New Roman" w:hAnsi="Times New Roman"/>
                <w:sz w:val="24"/>
              </w:rPr>
              <w:t>RWEA et exigences de fonds propres calculés conformément à l</w:t>
            </w:r>
            <w:r w:rsidR="0057717F">
              <w:rPr>
                <w:rFonts w:ascii="Times New Roman" w:hAnsi="Times New Roman"/>
                <w:sz w:val="24"/>
              </w:rPr>
              <w:t>’</w:t>
            </w:r>
            <w:r>
              <w:rPr>
                <w:rFonts w:ascii="Times New Roman" w:hAnsi="Times New Roman"/>
                <w:sz w:val="24"/>
              </w:rPr>
              <w:t>article 384 du règlement (UE) nº 575/2013.</w:t>
            </w:r>
          </w:p>
        </w:tc>
      </w:tr>
      <w:tr w:rsidR="00232C88" w:rsidRPr="00232C88" w14:paraId="2C8F98A0" w14:textId="77777777" w:rsidTr="4D769726">
        <w:trPr>
          <w:trHeight w:val="557"/>
        </w:trPr>
        <w:tc>
          <w:tcPr>
            <w:tcW w:w="1384" w:type="dxa"/>
          </w:tcPr>
          <w:p w14:paraId="763506ED" w14:textId="63E42586" w:rsidR="6B84787B" w:rsidRPr="00232C88" w:rsidRDefault="6B84787B" w:rsidP="00254EDB">
            <w:pPr>
              <w:pStyle w:val="Applicationdirecte"/>
              <w:spacing w:before="60" w:line="259" w:lineRule="auto"/>
              <w:jc w:val="center"/>
            </w:pPr>
            <w:r>
              <w:t>EU 10c</w:t>
            </w:r>
          </w:p>
        </w:tc>
        <w:tc>
          <w:tcPr>
            <w:tcW w:w="7655" w:type="dxa"/>
          </w:tcPr>
          <w:p w14:paraId="1606F92D" w14:textId="2E2B9670" w:rsidR="3812DD51" w:rsidRPr="00232C88" w:rsidRDefault="3812DD51" w:rsidP="00254EDB">
            <w:pPr>
              <w:spacing w:line="259" w:lineRule="auto"/>
              <w:rPr>
                <w:rFonts w:ascii="Times New Roman" w:hAnsi="Times New Roman" w:cs="Times New Roman"/>
                <w:b/>
                <w:bCs/>
                <w:sz w:val="24"/>
              </w:rPr>
            </w:pPr>
            <w:r>
              <w:rPr>
                <w:rFonts w:ascii="Times New Roman" w:hAnsi="Times New Roman"/>
                <w:b/>
                <w:sz w:val="24"/>
              </w:rPr>
              <w:t xml:space="preserve">Risque de CVA </w:t>
            </w:r>
            <w:r w:rsidR="0057717F">
              <w:rPr>
                <w:rFonts w:ascii="Times New Roman" w:hAnsi="Times New Roman"/>
                <w:b/>
                <w:sz w:val="24"/>
              </w:rPr>
              <w:t>—</w:t>
            </w:r>
            <w:r>
              <w:rPr>
                <w:rFonts w:ascii="Times New Roman" w:hAnsi="Times New Roman"/>
                <w:b/>
                <w:sz w:val="24"/>
              </w:rPr>
              <w:t xml:space="preserve"> Dont approche simplifiée (SA)</w:t>
            </w:r>
          </w:p>
          <w:p w14:paraId="07A5F206" w14:textId="3240F438" w:rsidR="27833950" w:rsidRPr="00232C88" w:rsidRDefault="27833950" w:rsidP="00254EDB">
            <w:pPr>
              <w:spacing w:before="60" w:after="120" w:line="259" w:lineRule="auto"/>
              <w:jc w:val="both"/>
              <w:rPr>
                <w:rFonts w:ascii="Times New Roman" w:hAnsi="Times New Roman" w:cs="Times New Roman"/>
                <w:sz w:val="24"/>
              </w:rPr>
            </w:pPr>
            <w:r>
              <w:rPr>
                <w:rFonts w:ascii="Times New Roman" w:hAnsi="Times New Roman"/>
                <w:sz w:val="24"/>
              </w:rPr>
              <w:t>RWEA et exigences de fonds propres calculés conformément à l</w:t>
            </w:r>
            <w:r w:rsidR="0057717F">
              <w:rPr>
                <w:rFonts w:ascii="Times New Roman" w:hAnsi="Times New Roman"/>
                <w:sz w:val="24"/>
              </w:rPr>
              <w:t>’</w:t>
            </w:r>
            <w:r>
              <w:rPr>
                <w:rFonts w:ascii="Times New Roman" w:hAnsi="Times New Roman"/>
                <w:sz w:val="24"/>
              </w:rPr>
              <w:t>article 385 du règlement (UE) nº 575/2013.</w:t>
            </w:r>
          </w:p>
        </w:tc>
      </w:tr>
      <w:tr w:rsidR="00232C88" w:rsidRPr="00232C88" w14:paraId="6475699F" w14:textId="77777777" w:rsidTr="00D44788">
        <w:trPr>
          <w:trHeight w:val="557"/>
        </w:trPr>
        <w:tc>
          <w:tcPr>
            <w:tcW w:w="1384" w:type="dxa"/>
            <w:shd w:val="clear" w:color="auto" w:fill="BFBFBF" w:themeFill="background1" w:themeFillShade="BF"/>
          </w:tcPr>
          <w:p w14:paraId="3A8A0F85" w14:textId="77777777" w:rsidR="004D588F" w:rsidRPr="00232C88" w:rsidRDefault="004D588F" w:rsidP="004D588F">
            <w:pPr>
              <w:pStyle w:val="Applicationdirecte"/>
              <w:spacing w:before="60"/>
              <w:jc w:val="center"/>
            </w:pPr>
            <w:r>
              <w:t>11</w:t>
            </w:r>
          </w:p>
        </w:tc>
        <w:tc>
          <w:tcPr>
            <w:tcW w:w="7655" w:type="dxa"/>
            <w:shd w:val="clear" w:color="auto" w:fill="BFBFBF" w:themeFill="background1" w:themeFillShade="BF"/>
          </w:tcPr>
          <w:p w14:paraId="5D822294" w14:textId="1188E96F" w:rsidR="004D588F" w:rsidRPr="00232C88" w:rsidRDefault="00476E72" w:rsidP="00CE6D3F">
            <w:pPr>
              <w:spacing w:before="60" w:after="120"/>
              <w:jc w:val="both"/>
              <w:rPr>
                <w:rFonts w:ascii="Times New Roman" w:hAnsi="Times New Roman" w:cs="Times New Roman"/>
                <w:sz w:val="24"/>
              </w:rPr>
            </w:pPr>
            <w:r>
              <w:rPr>
                <w:rFonts w:ascii="Times New Roman" w:hAnsi="Times New Roman"/>
              </w:rPr>
              <w:t>Sans objet</w:t>
            </w:r>
          </w:p>
        </w:tc>
      </w:tr>
      <w:tr w:rsidR="00232C88" w:rsidRPr="00232C88" w14:paraId="185FC154" w14:textId="77777777" w:rsidTr="00D44788">
        <w:trPr>
          <w:trHeight w:val="557"/>
        </w:trPr>
        <w:tc>
          <w:tcPr>
            <w:tcW w:w="1384" w:type="dxa"/>
            <w:shd w:val="clear" w:color="auto" w:fill="BFBFBF" w:themeFill="background1" w:themeFillShade="BF"/>
          </w:tcPr>
          <w:p w14:paraId="0761DB25" w14:textId="77777777" w:rsidR="004D588F" w:rsidRPr="00232C88" w:rsidRDefault="004D588F" w:rsidP="004D588F">
            <w:pPr>
              <w:pStyle w:val="Applicationdirecte"/>
              <w:spacing w:before="60"/>
              <w:jc w:val="center"/>
            </w:pPr>
            <w:r>
              <w:t>12</w:t>
            </w:r>
          </w:p>
        </w:tc>
        <w:tc>
          <w:tcPr>
            <w:tcW w:w="7655" w:type="dxa"/>
            <w:shd w:val="clear" w:color="auto" w:fill="BFBFBF" w:themeFill="background1" w:themeFillShade="BF"/>
          </w:tcPr>
          <w:p w14:paraId="5020E0E0" w14:textId="0575BF04" w:rsidR="004D588F" w:rsidRPr="00232C88" w:rsidRDefault="00476E72" w:rsidP="004D588F">
            <w:pPr>
              <w:spacing w:before="60" w:after="120"/>
              <w:jc w:val="both"/>
              <w:rPr>
                <w:rFonts w:ascii="Times New Roman" w:hAnsi="Times New Roman" w:cs="Times New Roman"/>
                <w:sz w:val="24"/>
              </w:rPr>
            </w:pPr>
            <w:r>
              <w:rPr>
                <w:rFonts w:ascii="Times New Roman" w:hAnsi="Times New Roman"/>
              </w:rPr>
              <w:t>Sans objet</w:t>
            </w:r>
          </w:p>
        </w:tc>
      </w:tr>
      <w:tr w:rsidR="00232C88" w:rsidRPr="00232C88" w14:paraId="05CAD0EA" w14:textId="77777777" w:rsidTr="00D44788">
        <w:trPr>
          <w:trHeight w:val="557"/>
        </w:trPr>
        <w:tc>
          <w:tcPr>
            <w:tcW w:w="1384" w:type="dxa"/>
            <w:shd w:val="clear" w:color="auto" w:fill="BFBFBF" w:themeFill="background1" w:themeFillShade="BF"/>
          </w:tcPr>
          <w:p w14:paraId="2C885FBA" w14:textId="77777777" w:rsidR="00476E72" w:rsidRPr="00232C88" w:rsidRDefault="00476E72" w:rsidP="00476E72">
            <w:pPr>
              <w:pStyle w:val="Applicationdirecte"/>
              <w:spacing w:before="60"/>
              <w:jc w:val="center"/>
            </w:pPr>
            <w:r>
              <w:t>13</w:t>
            </w:r>
          </w:p>
        </w:tc>
        <w:tc>
          <w:tcPr>
            <w:tcW w:w="7655" w:type="dxa"/>
            <w:shd w:val="clear" w:color="auto" w:fill="BFBFBF" w:themeFill="background1" w:themeFillShade="BF"/>
          </w:tcPr>
          <w:p w14:paraId="06CD1C7E" w14:textId="6F75CEAB" w:rsidR="00476E72" w:rsidRPr="00232C88" w:rsidRDefault="00476E72" w:rsidP="00476E72">
            <w:pPr>
              <w:spacing w:before="60" w:after="120"/>
              <w:jc w:val="both"/>
              <w:rPr>
                <w:rFonts w:ascii="Times New Roman" w:hAnsi="Times New Roman" w:cs="Times New Roman"/>
                <w:sz w:val="24"/>
              </w:rPr>
            </w:pPr>
            <w:r>
              <w:rPr>
                <w:rFonts w:ascii="Times New Roman" w:hAnsi="Times New Roman"/>
              </w:rPr>
              <w:t>Sans objet</w:t>
            </w:r>
          </w:p>
        </w:tc>
      </w:tr>
      <w:tr w:rsidR="00232C88" w:rsidRPr="00232C88" w14:paraId="532A7C3A" w14:textId="77777777" w:rsidTr="00D44788">
        <w:trPr>
          <w:trHeight w:val="557"/>
        </w:trPr>
        <w:tc>
          <w:tcPr>
            <w:tcW w:w="1384" w:type="dxa"/>
            <w:shd w:val="clear" w:color="auto" w:fill="BFBFBF" w:themeFill="background1" w:themeFillShade="BF"/>
          </w:tcPr>
          <w:p w14:paraId="50BD4AE4" w14:textId="77777777" w:rsidR="00476E72" w:rsidRPr="00232C88" w:rsidRDefault="00476E72" w:rsidP="00476E72">
            <w:pPr>
              <w:pStyle w:val="Applicationdirecte"/>
              <w:spacing w:before="60"/>
              <w:jc w:val="center"/>
            </w:pPr>
            <w:r>
              <w:t>14</w:t>
            </w:r>
          </w:p>
        </w:tc>
        <w:tc>
          <w:tcPr>
            <w:tcW w:w="7655" w:type="dxa"/>
            <w:shd w:val="clear" w:color="auto" w:fill="BFBFBF" w:themeFill="background1" w:themeFillShade="BF"/>
          </w:tcPr>
          <w:p w14:paraId="08EEFB47" w14:textId="4D34AB73" w:rsidR="00476E72" w:rsidRPr="00232C88" w:rsidRDefault="00476E72" w:rsidP="00476E72">
            <w:pPr>
              <w:spacing w:before="60" w:after="120"/>
              <w:jc w:val="both"/>
              <w:rPr>
                <w:rFonts w:ascii="Times New Roman" w:hAnsi="Times New Roman" w:cs="Times New Roman"/>
                <w:sz w:val="24"/>
              </w:rPr>
            </w:pPr>
            <w:r>
              <w:rPr>
                <w:rFonts w:ascii="Times New Roman" w:hAnsi="Times New Roman"/>
              </w:rPr>
              <w:t>Sans objet</w:t>
            </w:r>
          </w:p>
        </w:tc>
      </w:tr>
      <w:tr w:rsidR="00232C88" w:rsidRPr="00232C88" w14:paraId="0D00F496" w14:textId="77777777" w:rsidTr="4D769726">
        <w:trPr>
          <w:trHeight w:val="557"/>
        </w:trPr>
        <w:tc>
          <w:tcPr>
            <w:tcW w:w="1384" w:type="dxa"/>
            <w:vAlign w:val="center"/>
          </w:tcPr>
          <w:p w14:paraId="1FECA812" w14:textId="77777777" w:rsidR="00FA1376" w:rsidRPr="00232C88" w:rsidRDefault="00FA1376" w:rsidP="004D588F">
            <w:pPr>
              <w:pStyle w:val="Applicationdirecte"/>
              <w:spacing w:before="60"/>
              <w:jc w:val="center"/>
            </w:pPr>
            <w:r>
              <w:t>15</w:t>
            </w:r>
          </w:p>
        </w:tc>
        <w:tc>
          <w:tcPr>
            <w:tcW w:w="7655" w:type="dxa"/>
          </w:tcPr>
          <w:p w14:paraId="54F87CB3" w14:textId="77777777"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Risque de règlement </w:t>
            </w:r>
          </w:p>
          <w:p w14:paraId="5BD4C7C7" w14:textId="09A52A7B" w:rsidR="00FA1376" w:rsidRPr="00232C88" w:rsidRDefault="76C231EB" w:rsidP="7A5B4152">
            <w:pPr>
              <w:spacing w:before="60" w:after="120"/>
              <w:jc w:val="both"/>
              <w:rPr>
                <w:rFonts w:ascii="Times New Roman" w:hAnsi="Times New Roman" w:cs="Times New Roman"/>
                <w:sz w:val="24"/>
              </w:rPr>
            </w:pPr>
            <w:r>
              <w:rPr>
                <w:rFonts w:ascii="Times New Roman" w:hAnsi="Times New Roman"/>
                <w:sz w:val="24"/>
              </w:rPr>
              <w:t xml:space="preserve"> RWEA et exigences de fonds propres calculés pour le risque de règlement/livraison conformément à l</w:t>
            </w:r>
            <w:r w:rsidR="0057717F">
              <w:rPr>
                <w:rFonts w:ascii="Times New Roman" w:hAnsi="Times New Roman"/>
                <w:sz w:val="24"/>
              </w:rPr>
              <w:t>’</w:t>
            </w:r>
            <w:r>
              <w:rPr>
                <w:rFonts w:ascii="Times New Roman" w:hAnsi="Times New Roman"/>
                <w:sz w:val="24"/>
              </w:rPr>
              <w:t>article 378 du règlement (UE) nº 575/2013.</w:t>
            </w:r>
          </w:p>
        </w:tc>
      </w:tr>
      <w:tr w:rsidR="00232C88" w:rsidRPr="00232C88" w14:paraId="657304C7" w14:textId="77777777" w:rsidTr="4D769726">
        <w:trPr>
          <w:trHeight w:val="557"/>
        </w:trPr>
        <w:tc>
          <w:tcPr>
            <w:tcW w:w="1384" w:type="dxa"/>
            <w:vAlign w:val="center"/>
          </w:tcPr>
          <w:p w14:paraId="78B3E96B" w14:textId="77777777" w:rsidR="00FA1376" w:rsidRPr="00232C88" w:rsidRDefault="00FA1376" w:rsidP="00FA1376">
            <w:pPr>
              <w:pStyle w:val="Applicationdirecte"/>
              <w:spacing w:before="60"/>
              <w:jc w:val="center"/>
            </w:pPr>
            <w:r>
              <w:t>16</w:t>
            </w:r>
          </w:p>
        </w:tc>
        <w:tc>
          <w:tcPr>
            <w:tcW w:w="7655" w:type="dxa"/>
          </w:tcPr>
          <w:p w14:paraId="290EA04A" w14:textId="77777777"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Expositions de titrisation dans le portefeuille hors négociation (après le plafond)</w:t>
            </w:r>
          </w:p>
          <w:p w14:paraId="3127F872" w14:textId="727CB966" w:rsidR="00FA1376" w:rsidRPr="00232C88" w:rsidRDefault="009A4635" w:rsidP="4D769726">
            <w:pPr>
              <w:spacing w:before="60" w:after="120"/>
              <w:jc w:val="both"/>
              <w:rPr>
                <w:rFonts w:ascii="Times New Roman" w:hAnsi="Times New Roman" w:cs="Times New Roman"/>
                <w:sz w:val="24"/>
              </w:rPr>
            </w:pPr>
            <w:r>
              <w:rPr>
                <w:rFonts w:ascii="Times New Roman" w:hAnsi="Times New Roman"/>
                <w:sz w:val="24"/>
              </w:rPr>
              <w:t>RWEA et exigences de fonds propres calculés conformément à la troisième partie, titre II, chapitre 5, du règlement (UE) nº 575/2013.</w:t>
            </w:r>
          </w:p>
        </w:tc>
      </w:tr>
      <w:tr w:rsidR="00232C88" w:rsidRPr="00232C88" w14:paraId="010C9E97" w14:textId="77777777" w:rsidTr="4D769726">
        <w:trPr>
          <w:trHeight w:val="557"/>
        </w:trPr>
        <w:tc>
          <w:tcPr>
            <w:tcW w:w="1384" w:type="dxa"/>
            <w:vAlign w:val="center"/>
          </w:tcPr>
          <w:p w14:paraId="088B3E8E" w14:textId="77777777" w:rsidR="00FA1376" w:rsidRPr="00232C88" w:rsidRDefault="00FA1376" w:rsidP="00FA1376">
            <w:pPr>
              <w:pStyle w:val="Applicationdirecte"/>
              <w:spacing w:before="60"/>
              <w:jc w:val="center"/>
            </w:pPr>
            <w:r>
              <w:lastRenderedPageBreak/>
              <w:t>17</w:t>
            </w:r>
          </w:p>
        </w:tc>
        <w:tc>
          <w:tcPr>
            <w:tcW w:w="7655" w:type="dxa"/>
          </w:tcPr>
          <w:p w14:paraId="60EB9584" w14:textId="6CDF18E9"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Titrisation </w:t>
            </w:r>
            <w:r w:rsidR="0057717F">
              <w:rPr>
                <w:rFonts w:ascii="Times New Roman" w:hAnsi="Times New Roman"/>
                <w:b/>
                <w:sz w:val="24"/>
              </w:rPr>
              <w:t>—</w:t>
            </w:r>
            <w:r>
              <w:rPr>
                <w:rFonts w:ascii="Times New Roman" w:hAnsi="Times New Roman"/>
                <w:b/>
                <w:sz w:val="24"/>
              </w:rPr>
              <w:t xml:space="preserve"> Dont approche SEC-IRBA </w:t>
            </w:r>
          </w:p>
          <w:p w14:paraId="48D3D12E" w14:textId="321099B2" w:rsidR="00FA1376" w:rsidRPr="00232C88" w:rsidRDefault="009A4635" w:rsidP="0097538A">
            <w:pPr>
              <w:spacing w:before="60" w:after="120"/>
              <w:jc w:val="both"/>
              <w:rPr>
                <w:rFonts w:ascii="Times New Roman" w:hAnsi="Times New Roman" w:cs="Times New Roman"/>
                <w:sz w:val="24"/>
              </w:rPr>
            </w:pPr>
            <w:r>
              <w:rPr>
                <w:rFonts w:ascii="Times New Roman" w:hAnsi="Times New Roman"/>
                <w:sz w:val="24"/>
              </w:rPr>
              <w:t>RWEA et exigences de fonds propres calculés conformément à l’approche réglementaire SEC-IRBA, utilisée conformément à la hiérarchie des approches prévue à l’article 254 du règlement (UE) nº 575/2013.</w:t>
            </w:r>
          </w:p>
        </w:tc>
      </w:tr>
      <w:tr w:rsidR="00232C88" w:rsidRPr="00232C88" w14:paraId="0BD85931" w14:textId="77777777" w:rsidTr="4D769726">
        <w:trPr>
          <w:trHeight w:val="557"/>
        </w:trPr>
        <w:tc>
          <w:tcPr>
            <w:tcW w:w="1384" w:type="dxa"/>
            <w:vAlign w:val="center"/>
          </w:tcPr>
          <w:p w14:paraId="5C2CC844" w14:textId="77777777" w:rsidR="004D588F" w:rsidRPr="00232C88" w:rsidRDefault="004D588F" w:rsidP="00B2180A">
            <w:pPr>
              <w:pStyle w:val="Applicationdirecte"/>
              <w:spacing w:before="60"/>
              <w:jc w:val="center"/>
            </w:pPr>
            <w:r>
              <w:t>18</w:t>
            </w:r>
          </w:p>
        </w:tc>
        <w:tc>
          <w:tcPr>
            <w:tcW w:w="7655" w:type="dxa"/>
          </w:tcPr>
          <w:p w14:paraId="3D0BC87F" w14:textId="2EAAD245" w:rsidR="004D588F" w:rsidRPr="00232C88" w:rsidRDefault="004D588F" w:rsidP="00B2180A">
            <w:pPr>
              <w:spacing w:before="60" w:after="120"/>
              <w:jc w:val="both"/>
              <w:rPr>
                <w:rFonts w:ascii="Times New Roman" w:hAnsi="Times New Roman" w:cs="Times New Roman"/>
                <w:b/>
                <w:sz w:val="24"/>
              </w:rPr>
            </w:pPr>
            <w:r>
              <w:rPr>
                <w:rFonts w:ascii="Times New Roman" w:hAnsi="Times New Roman"/>
                <w:b/>
                <w:sz w:val="24"/>
              </w:rPr>
              <w:t xml:space="preserve">Titrisation </w:t>
            </w:r>
            <w:r w:rsidR="0057717F">
              <w:rPr>
                <w:rFonts w:ascii="Times New Roman" w:hAnsi="Times New Roman"/>
                <w:b/>
                <w:sz w:val="24"/>
              </w:rPr>
              <w:t>—</w:t>
            </w:r>
            <w:r>
              <w:rPr>
                <w:rFonts w:ascii="Times New Roman" w:hAnsi="Times New Roman"/>
                <w:b/>
                <w:sz w:val="24"/>
              </w:rPr>
              <w:t xml:space="preserve"> Dont SEC-ERBA (y compris IAA)</w:t>
            </w:r>
          </w:p>
          <w:p w14:paraId="081795BE" w14:textId="41E5125D" w:rsidR="004D588F" w:rsidRPr="00232C88" w:rsidRDefault="004D588F" w:rsidP="0077689B">
            <w:pPr>
              <w:spacing w:before="60" w:after="120"/>
              <w:jc w:val="both"/>
              <w:rPr>
                <w:rFonts w:ascii="Times New Roman" w:hAnsi="Times New Roman" w:cs="Times New Roman"/>
                <w:sz w:val="24"/>
              </w:rPr>
            </w:pPr>
            <w:r>
              <w:rPr>
                <w:rFonts w:ascii="Times New Roman" w:hAnsi="Times New Roman"/>
                <w:sz w:val="24"/>
              </w:rPr>
              <w:t>RWEA et exigences de fonds propres calculés conformément à l’approche réglementaire SEC-ERBA (y compris IAA), utilisée conformément à la hiérarchie des approches prévue à l’article 254 du règlement (UE) nº 575/2013.</w:t>
            </w:r>
          </w:p>
        </w:tc>
      </w:tr>
      <w:tr w:rsidR="00232C88" w:rsidRPr="00232C88" w14:paraId="4D1D51C3" w14:textId="77777777" w:rsidTr="4D769726">
        <w:trPr>
          <w:trHeight w:val="557"/>
        </w:trPr>
        <w:tc>
          <w:tcPr>
            <w:tcW w:w="1384" w:type="dxa"/>
            <w:vAlign w:val="center"/>
          </w:tcPr>
          <w:p w14:paraId="05E26500" w14:textId="77777777" w:rsidR="00FA1376" w:rsidRPr="00232C88" w:rsidRDefault="00FA1376" w:rsidP="00FA1376">
            <w:pPr>
              <w:pStyle w:val="Applicationdirecte"/>
              <w:spacing w:before="60"/>
              <w:jc w:val="center"/>
            </w:pPr>
            <w:r>
              <w:t>19</w:t>
            </w:r>
          </w:p>
        </w:tc>
        <w:tc>
          <w:tcPr>
            <w:tcW w:w="7655" w:type="dxa"/>
          </w:tcPr>
          <w:p w14:paraId="59496D51" w14:textId="5274CCFF"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Titrisation </w:t>
            </w:r>
            <w:r w:rsidR="0057717F">
              <w:rPr>
                <w:rFonts w:ascii="Times New Roman" w:hAnsi="Times New Roman"/>
                <w:b/>
                <w:sz w:val="24"/>
              </w:rPr>
              <w:t>—</w:t>
            </w:r>
            <w:r>
              <w:rPr>
                <w:rFonts w:ascii="Times New Roman" w:hAnsi="Times New Roman"/>
                <w:b/>
                <w:sz w:val="24"/>
              </w:rPr>
              <w:t xml:space="preserve"> Dont approche SEC-SA </w:t>
            </w:r>
          </w:p>
          <w:p w14:paraId="70F39EBB" w14:textId="0BFE4551" w:rsidR="00FA1376" w:rsidRPr="00232C88" w:rsidRDefault="009A4635" w:rsidP="0077689B">
            <w:pPr>
              <w:spacing w:before="60" w:after="120"/>
              <w:jc w:val="both"/>
              <w:rPr>
                <w:rFonts w:ascii="Times New Roman" w:hAnsi="Times New Roman" w:cs="Times New Roman"/>
                <w:sz w:val="24"/>
              </w:rPr>
            </w:pPr>
            <w:r>
              <w:rPr>
                <w:rFonts w:ascii="Times New Roman" w:hAnsi="Times New Roman"/>
                <w:sz w:val="24"/>
              </w:rPr>
              <w:t>RWEA et exigences de fonds propres calculés conformément à l’approche réglementaire SEC-IRBA, utilisée conformément à la hiérarchie des approches prévue à l’article 254 du règlement (UE) nº 575/2013.</w:t>
            </w:r>
          </w:p>
        </w:tc>
      </w:tr>
      <w:tr w:rsidR="00232C88" w:rsidRPr="00232C88" w14:paraId="2FE59A55" w14:textId="77777777" w:rsidTr="4D769726">
        <w:trPr>
          <w:trHeight w:val="557"/>
        </w:trPr>
        <w:tc>
          <w:tcPr>
            <w:tcW w:w="1384" w:type="dxa"/>
            <w:vAlign w:val="center"/>
          </w:tcPr>
          <w:p w14:paraId="78D679FB" w14:textId="77777777" w:rsidR="00FA1376" w:rsidRPr="00232C88" w:rsidRDefault="004D588F" w:rsidP="00FA1376">
            <w:pPr>
              <w:pStyle w:val="Applicationdirecte"/>
              <w:spacing w:before="60"/>
              <w:jc w:val="center"/>
            </w:pPr>
            <w:r>
              <w:t>EU 19a</w:t>
            </w:r>
          </w:p>
        </w:tc>
        <w:tc>
          <w:tcPr>
            <w:tcW w:w="7655" w:type="dxa"/>
          </w:tcPr>
          <w:p w14:paraId="571291B6" w14:textId="3E61AA39"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Titrisation </w:t>
            </w:r>
            <w:r w:rsidR="0057717F">
              <w:rPr>
                <w:rFonts w:ascii="Times New Roman" w:hAnsi="Times New Roman"/>
                <w:b/>
                <w:sz w:val="24"/>
              </w:rPr>
              <w:t>—</w:t>
            </w:r>
            <w:r>
              <w:rPr>
                <w:rFonts w:ascii="Times New Roman" w:hAnsi="Times New Roman"/>
                <w:b/>
                <w:sz w:val="24"/>
              </w:rPr>
              <w:t xml:space="preserve"> Dont 1 250 % / déduction</w:t>
            </w:r>
          </w:p>
          <w:p w14:paraId="7E6CD2F2" w14:textId="35E17A23" w:rsidR="00FA1376" w:rsidRPr="00232C88" w:rsidRDefault="009A4635" w:rsidP="0077689B">
            <w:pPr>
              <w:spacing w:before="60" w:after="120"/>
              <w:jc w:val="both"/>
              <w:rPr>
                <w:rFonts w:ascii="Times New Roman" w:hAnsi="Times New Roman" w:cs="Times New Roman"/>
                <w:sz w:val="24"/>
              </w:rPr>
            </w:pPr>
            <w:r>
              <w:rPr>
                <w:rFonts w:ascii="Times New Roman" w:hAnsi="Times New Roman"/>
                <w:sz w:val="24"/>
              </w:rPr>
              <w:t>RWEA et exigences de fonds propres pour les expositions de titrisation du portefeuille hors négociation soumises à une pondération de risque de 1 250 % ou déduites des fonds propres conformément à la troisième partie, titre II, chapitre 5, du règlement (UE) nº 575/2013.</w:t>
            </w:r>
          </w:p>
        </w:tc>
      </w:tr>
      <w:tr w:rsidR="00232C88" w:rsidRPr="00232C88" w14:paraId="78AD28BD" w14:textId="77777777" w:rsidTr="4D769726">
        <w:trPr>
          <w:trHeight w:val="557"/>
        </w:trPr>
        <w:tc>
          <w:tcPr>
            <w:tcW w:w="1384" w:type="dxa"/>
          </w:tcPr>
          <w:p w14:paraId="165E71A5" w14:textId="77777777" w:rsidR="004D588F" w:rsidRPr="00232C88" w:rsidRDefault="004D588F" w:rsidP="004D588F">
            <w:pPr>
              <w:pStyle w:val="Applicationdirecte"/>
              <w:spacing w:before="60"/>
              <w:jc w:val="center"/>
            </w:pPr>
            <w:r>
              <w:t>20</w:t>
            </w:r>
          </w:p>
        </w:tc>
        <w:tc>
          <w:tcPr>
            <w:tcW w:w="7655" w:type="dxa"/>
          </w:tcPr>
          <w:p w14:paraId="403A7459" w14:textId="77777777" w:rsidR="004D588F" w:rsidRPr="00232C88" w:rsidRDefault="004D588F" w:rsidP="004D588F">
            <w:pPr>
              <w:spacing w:before="60" w:after="120"/>
              <w:jc w:val="both"/>
              <w:rPr>
                <w:rFonts w:ascii="Times New Roman" w:hAnsi="Times New Roman" w:cs="Times New Roman"/>
                <w:b/>
                <w:sz w:val="24"/>
              </w:rPr>
            </w:pPr>
            <w:r>
              <w:rPr>
                <w:rFonts w:ascii="Times New Roman" w:hAnsi="Times New Roman"/>
                <w:b/>
                <w:sz w:val="24"/>
              </w:rPr>
              <w:t>Risques de position, de change et de matières premières (Risque de marché)</w:t>
            </w:r>
          </w:p>
          <w:p w14:paraId="1D8E5705" w14:textId="261762C3" w:rsidR="001F53F8" w:rsidRPr="00232C88" w:rsidRDefault="004D588F" w:rsidP="4D769726">
            <w:pPr>
              <w:spacing w:before="60" w:after="120"/>
              <w:jc w:val="both"/>
              <w:rPr>
                <w:rFonts w:ascii="Times New Roman" w:hAnsi="Times New Roman" w:cs="Times New Roman"/>
                <w:sz w:val="24"/>
              </w:rPr>
            </w:pPr>
            <w:r>
              <w:rPr>
                <w:rFonts w:ascii="Times New Roman" w:hAnsi="Times New Roman"/>
                <w:sz w:val="24"/>
              </w:rPr>
              <w:t xml:space="preserve">RWEA et exigences de fonds propres calculés conformément à la troisième partie, titre IV, du règlement (UE) nº 575/2013. </w:t>
            </w:r>
          </w:p>
        </w:tc>
      </w:tr>
      <w:tr w:rsidR="00232C88" w:rsidRPr="00232C88" w14:paraId="4F4C8A13" w14:textId="77777777" w:rsidTr="00232C88">
        <w:trPr>
          <w:trHeight w:val="557"/>
        </w:trPr>
        <w:tc>
          <w:tcPr>
            <w:tcW w:w="1384" w:type="dxa"/>
          </w:tcPr>
          <w:p w14:paraId="2600D745" w14:textId="73C8EE70" w:rsidR="004D588F" w:rsidRPr="00232C88" w:rsidRDefault="48604EBF" w:rsidP="004D588F">
            <w:pPr>
              <w:pStyle w:val="Applicationdirecte"/>
              <w:spacing w:before="60"/>
              <w:jc w:val="center"/>
            </w:pPr>
            <w:r>
              <w:t>21</w:t>
            </w:r>
          </w:p>
        </w:tc>
        <w:tc>
          <w:tcPr>
            <w:tcW w:w="7655" w:type="dxa"/>
            <w:shd w:val="clear" w:color="auto" w:fill="auto"/>
          </w:tcPr>
          <w:p w14:paraId="094F283E" w14:textId="0B28EC70" w:rsidR="004D588F" w:rsidRPr="00232C88" w:rsidRDefault="48604EBF" w:rsidP="7A5B4152">
            <w:pPr>
              <w:spacing w:before="60" w:after="120"/>
              <w:jc w:val="both"/>
              <w:rPr>
                <w:rFonts w:ascii="Times New Roman" w:hAnsi="Times New Roman" w:cs="Times New Roman"/>
                <w:b/>
                <w:bCs/>
                <w:sz w:val="24"/>
              </w:rPr>
            </w:pPr>
            <w:r>
              <w:rPr>
                <w:rFonts w:ascii="Times New Roman" w:hAnsi="Times New Roman"/>
                <w:b/>
                <w:sz w:val="24"/>
              </w:rPr>
              <w:t xml:space="preserve">Risque de marché </w:t>
            </w:r>
            <w:r w:rsidR="0057717F">
              <w:rPr>
                <w:rFonts w:ascii="Times New Roman" w:hAnsi="Times New Roman"/>
                <w:b/>
                <w:sz w:val="24"/>
              </w:rPr>
              <w:t>—</w:t>
            </w:r>
            <w:r>
              <w:rPr>
                <w:rFonts w:ascii="Times New Roman" w:hAnsi="Times New Roman"/>
                <w:b/>
                <w:sz w:val="24"/>
              </w:rPr>
              <w:t xml:space="preserve"> Dont approche standard alternative (A-SA)</w:t>
            </w:r>
          </w:p>
          <w:p w14:paraId="2B391B37" w14:textId="27D482BC" w:rsidR="004D588F" w:rsidRPr="00232C88" w:rsidRDefault="004D588F" w:rsidP="233ACBB4">
            <w:pPr>
              <w:spacing w:before="60" w:after="120"/>
              <w:jc w:val="both"/>
              <w:rPr>
                <w:rFonts w:ascii="Times New Roman" w:hAnsi="Times New Roman" w:cs="Times New Roman"/>
                <w:sz w:val="24"/>
              </w:rPr>
            </w:pPr>
          </w:p>
          <w:p w14:paraId="25FE8E42" w14:textId="0F3ACDAD" w:rsidR="004D588F" w:rsidRPr="00232C88" w:rsidRDefault="65F46E0C" w:rsidP="7A5B4152">
            <w:pPr>
              <w:spacing w:before="60" w:after="120"/>
              <w:jc w:val="both"/>
              <w:rPr>
                <w:rFonts w:ascii="Times New Roman" w:hAnsi="Times New Roman" w:cs="Times New Roman"/>
                <w:sz w:val="24"/>
              </w:rPr>
            </w:pPr>
            <w:r>
              <w:rPr>
                <w:rFonts w:ascii="Times New Roman" w:hAnsi="Times New Roman"/>
                <w:sz w:val="24"/>
              </w:rPr>
              <w:t>RWEA et exigences de fonds propres calculés conformément à la troisième partie, titre IV, chapitre 1 </w:t>
            </w:r>
            <w:r>
              <w:rPr>
                <w:rFonts w:ascii="Times New Roman" w:hAnsi="Times New Roman"/>
                <w:i/>
                <w:sz w:val="24"/>
              </w:rPr>
              <w:t>bis</w:t>
            </w:r>
            <w:r>
              <w:rPr>
                <w:rFonts w:ascii="Times New Roman" w:hAnsi="Times New Roman"/>
                <w:sz w:val="24"/>
              </w:rPr>
              <w:t>, du règlement (UE) nº 575/2013.</w:t>
            </w:r>
          </w:p>
          <w:p w14:paraId="3CC79283" w14:textId="501EE92B" w:rsidR="001F53F8" w:rsidRPr="00232C88" w:rsidRDefault="001F53F8" w:rsidP="7A5B4152">
            <w:pPr>
              <w:spacing w:before="60" w:after="120"/>
              <w:jc w:val="both"/>
              <w:rPr>
                <w:rFonts w:ascii="Times New Roman" w:hAnsi="Times New Roman" w:cs="Times New Roman"/>
                <w:sz w:val="24"/>
              </w:rPr>
            </w:pPr>
            <w:r>
              <w:rPr>
                <w:rFonts w:ascii="Times New Roman" w:hAnsi="Times New Roman"/>
                <w:sz w:val="24"/>
              </w:rPr>
              <w:t>Jusqu</w:t>
            </w:r>
            <w:r w:rsidR="0057717F">
              <w:rPr>
                <w:rFonts w:ascii="Times New Roman" w:hAnsi="Times New Roman"/>
                <w:sz w:val="24"/>
              </w:rPr>
              <w:t>’</w:t>
            </w:r>
            <w:r>
              <w:rPr>
                <w:rFonts w:ascii="Times New Roman" w:hAnsi="Times New Roman"/>
                <w:sz w:val="24"/>
              </w:rPr>
              <w:t>à la date d</w:t>
            </w:r>
            <w:r w:rsidR="0057717F">
              <w:rPr>
                <w:rFonts w:ascii="Times New Roman" w:hAnsi="Times New Roman"/>
                <w:sz w:val="24"/>
              </w:rPr>
              <w:t>’</w:t>
            </w:r>
            <w:r>
              <w:rPr>
                <w:rFonts w:ascii="Times New Roman" w:hAnsi="Times New Roman"/>
                <w:sz w:val="24"/>
              </w:rPr>
              <w:t>application de l</w:t>
            </w:r>
            <w:r w:rsidR="0057717F">
              <w:rPr>
                <w:rFonts w:ascii="Times New Roman" w:hAnsi="Times New Roman"/>
                <w:sz w:val="24"/>
              </w:rPr>
              <w:t>’</w:t>
            </w:r>
            <w:r>
              <w:rPr>
                <w:rFonts w:ascii="Times New Roman" w:hAnsi="Times New Roman"/>
                <w:sz w:val="24"/>
              </w:rPr>
              <w:t>utilisation des approches alternatives prévues à la troisième partie, titre IV, chapitres 1 </w:t>
            </w:r>
            <w:r>
              <w:rPr>
                <w:rFonts w:ascii="Times New Roman" w:hAnsi="Times New Roman"/>
                <w:i/>
                <w:sz w:val="24"/>
              </w:rPr>
              <w:t>bis</w:t>
            </w:r>
            <w:r>
              <w:rPr>
                <w:rFonts w:ascii="Times New Roman" w:hAnsi="Times New Roman"/>
                <w:sz w:val="24"/>
              </w:rPr>
              <w:t xml:space="preserve"> et 1 </w:t>
            </w:r>
            <w:r>
              <w:rPr>
                <w:rFonts w:ascii="Times New Roman" w:hAnsi="Times New Roman"/>
                <w:i/>
                <w:sz w:val="24"/>
              </w:rPr>
              <w:t>ter</w:t>
            </w:r>
            <w:r>
              <w:rPr>
                <w:rFonts w:ascii="Times New Roman" w:hAnsi="Times New Roman"/>
                <w:sz w:val="24"/>
              </w:rPr>
              <w:t>, du règlement (UE) nº 575/2013 pour calculer effectivement les exigences de fonds propres visées à l</w:t>
            </w:r>
            <w:r w:rsidR="0057717F">
              <w:rPr>
                <w:rFonts w:ascii="Times New Roman" w:hAnsi="Times New Roman"/>
                <w:sz w:val="24"/>
              </w:rPr>
              <w:t>’</w:t>
            </w:r>
            <w:r>
              <w:rPr>
                <w:rFonts w:ascii="Times New Roman" w:hAnsi="Times New Roman"/>
                <w:sz w:val="24"/>
              </w:rPr>
              <w:t>article 92, paragraphe 4, points b), i) et c), et à l</w:t>
            </w:r>
            <w:r w:rsidR="0057717F">
              <w:rPr>
                <w:rFonts w:ascii="Times New Roman" w:hAnsi="Times New Roman"/>
                <w:sz w:val="24"/>
              </w:rPr>
              <w:t>’</w:t>
            </w:r>
            <w:r>
              <w:rPr>
                <w:rFonts w:ascii="Times New Roman" w:hAnsi="Times New Roman"/>
                <w:sz w:val="24"/>
              </w:rPr>
              <w:t xml:space="preserve">article 92, paragraphe 5, points b) et c), dudit règlement, cette ligne est sans objet. </w:t>
            </w:r>
          </w:p>
        </w:tc>
      </w:tr>
      <w:tr w:rsidR="00232C88" w:rsidRPr="00232C88" w14:paraId="403B156C" w14:textId="77777777" w:rsidTr="233ACBB4">
        <w:trPr>
          <w:trHeight w:val="557"/>
        </w:trPr>
        <w:tc>
          <w:tcPr>
            <w:tcW w:w="1384" w:type="dxa"/>
          </w:tcPr>
          <w:p w14:paraId="7E3A811B" w14:textId="5AA202B4" w:rsidR="7CB62396" w:rsidRPr="00232C88" w:rsidRDefault="7CB62396" w:rsidP="00AD7048">
            <w:pPr>
              <w:pStyle w:val="Applicationdirecte"/>
              <w:jc w:val="center"/>
            </w:pPr>
            <w:r>
              <w:t>EU 21a</w:t>
            </w:r>
          </w:p>
        </w:tc>
        <w:tc>
          <w:tcPr>
            <w:tcW w:w="7655" w:type="dxa"/>
          </w:tcPr>
          <w:p w14:paraId="511B7362" w14:textId="604BD7E6" w:rsidR="7CB62396" w:rsidRPr="00232C88" w:rsidRDefault="7CB62396" w:rsidP="233ACBB4">
            <w:pPr>
              <w:jc w:val="both"/>
              <w:rPr>
                <w:rFonts w:ascii="Times New Roman" w:hAnsi="Times New Roman" w:cs="Times New Roman"/>
                <w:b/>
                <w:bCs/>
                <w:sz w:val="24"/>
              </w:rPr>
            </w:pPr>
            <w:r>
              <w:rPr>
                <w:rFonts w:ascii="Times New Roman" w:hAnsi="Times New Roman"/>
                <w:b/>
                <w:sz w:val="24"/>
              </w:rPr>
              <w:t xml:space="preserve">Risque de marché </w:t>
            </w:r>
            <w:r w:rsidR="0057717F">
              <w:rPr>
                <w:rFonts w:ascii="Times New Roman" w:hAnsi="Times New Roman"/>
                <w:b/>
                <w:sz w:val="24"/>
              </w:rPr>
              <w:t>—</w:t>
            </w:r>
            <w:r>
              <w:rPr>
                <w:rFonts w:ascii="Times New Roman" w:hAnsi="Times New Roman"/>
                <w:b/>
                <w:sz w:val="24"/>
              </w:rPr>
              <w:t xml:space="preserve"> Dont approche standard simplifiée (S-SA)</w:t>
            </w:r>
          </w:p>
          <w:p w14:paraId="405FFF8B" w14:textId="07EEBE72" w:rsidR="7CB62396" w:rsidRPr="00232C88" w:rsidRDefault="7CB62396" w:rsidP="233ACBB4">
            <w:pPr>
              <w:jc w:val="both"/>
              <w:rPr>
                <w:rFonts w:ascii="Times New Roman" w:hAnsi="Times New Roman" w:cs="Times New Roman"/>
                <w:sz w:val="24"/>
              </w:rPr>
            </w:pPr>
            <w:r>
              <w:rPr>
                <w:rFonts w:ascii="Times New Roman" w:hAnsi="Times New Roman"/>
                <w:sz w:val="24"/>
              </w:rPr>
              <w:t>RWEA et exigences de fonds propres calculés conformément à l</w:t>
            </w:r>
            <w:r w:rsidR="0057717F">
              <w:rPr>
                <w:rFonts w:ascii="Times New Roman" w:hAnsi="Times New Roman"/>
                <w:sz w:val="24"/>
              </w:rPr>
              <w:t>’</w:t>
            </w:r>
            <w:r>
              <w:rPr>
                <w:rFonts w:ascii="Times New Roman" w:hAnsi="Times New Roman"/>
                <w:sz w:val="24"/>
              </w:rPr>
              <w:t>article 325 </w:t>
            </w:r>
            <w:r>
              <w:rPr>
                <w:rFonts w:ascii="Times New Roman" w:hAnsi="Times New Roman"/>
                <w:i/>
                <w:sz w:val="24"/>
              </w:rPr>
              <w:t>bis</w:t>
            </w:r>
            <w:r>
              <w:rPr>
                <w:rFonts w:ascii="Times New Roman" w:hAnsi="Times New Roman"/>
                <w:sz w:val="24"/>
              </w:rPr>
              <w:t xml:space="preserve"> du règlement (UE) nº 575/2013.</w:t>
            </w:r>
          </w:p>
          <w:p w14:paraId="65A060B1" w14:textId="77777777" w:rsidR="001F53F8" w:rsidRPr="00232C88" w:rsidRDefault="001F53F8" w:rsidP="233ACBB4">
            <w:pPr>
              <w:jc w:val="both"/>
              <w:rPr>
                <w:rFonts w:ascii="Times New Roman" w:hAnsi="Times New Roman" w:cs="Times New Roman"/>
                <w:sz w:val="24"/>
              </w:rPr>
            </w:pPr>
          </w:p>
          <w:p w14:paraId="579662F3" w14:textId="7B3C2342" w:rsidR="001F53F8" w:rsidRPr="00232C88" w:rsidRDefault="001F53F8" w:rsidP="233ACBB4">
            <w:pPr>
              <w:jc w:val="both"/>
              <w:rPr>
                <w:rFonts w:ascii="Times New Roman" w:hAnsi="Times New Roman" w:cs="Times New Roman"/>
                <w:sz w:val="24"/>
              </w:rPr>
            </w:pPr>
            <w:r>
              <w:rPr>
                <w:rFonts w:ascii="Times New Roman" w:hAnsi="Times New Roman"/>
                <w:sz w:val="24"/>
              </w:rPr>
              <w:t>Jusqu</w:t>
            </w:r>
            <w:r w:rsidR="0057717F">
              <w:rPr>
                <w:rFonts w:ascii="Times New Roman" w:hAnsi="Times New Roman"/>
                <w:sz w:val="24"/>
              </w:rPr>
              <w:t>’</w:t>
            </w:r>
            <w:r>
              <w:rPr>
                <w:rFonts w:ascii="Times New Roman" w:hAnsi="Times New Roman"/>
                <w:sz w:val="24"/>
              </w:rPr>
              <w:t>à la date d</w:t>
            </w:r>
            <w:r w:rsidR="0057717F">
              <w:rPr>
                <w:rFonts w:ascii="Times New Roman" w:hAnsi="Times New Roman"/>
                <w:sz w:val="24"/>
              </w:rPr>
              <w:t>’</w:t>
            </w:r>
            <w:r>
              <w:rPr>
                <w:rFonts w:ascii="Times New Roman" w:hAnsi="Times New Roman"/>
                <w:sz w:val="24"/>
              </w:rPr>
              <w:t>application de l</w:t>
            </w:r>
            <w:r w:rsidR="0057717F">
              <w:rPr>
                <w:rFonts w:ascii="Times New Roman" w:hAnsi="Times New Roman"/>
                <w:sz w:val="24"/>
              </w:rPr>
              <w:t>’</w:t>
            </w:r>
            <w:r>
              <w:rPr>
                <w:rFonts w:ascii="Times New Roman" w:hAnsi="Times New Roman"/>
                <w:sz w:val="24"/>
              </w:rPr>
              <w:t>utilisation des approches alternatives prévues à la troisième partie, titre IV, chapitres 1 </w:t>
            </w:r>
            <w:r>
              <w:rPr>
                <w:rFonts w:ascii="Times New Roman" w:hAnsi="Times New Roman"/>
                <w:i/>
                <w:sz w:val="24"/>
              </w:rPr>
              <w:t>bis</w:t>
            </w:r>
            <w:r>
              <w:rPr>
                <w:rFonts w:ascii="Times New Roman" w:hAnsi="Times New Roman"/>
                <w:sz w:val="24"/>
              </w:rPr>
              <w:t xml:space="preserve"> et 1 </w:t>
            </w:r>
            <w:r>
              <w:rPr>
                <w:rFonts w:ascii="Times New Roman" w:hAnsi="Times New Roman"/>
                <w:i/>
                <w:sz w:val="24"/>
              </w:rPr>
              <w:t>ter</w:t>
            </w:r>
            <w:r>
              <w:rPr>
                <w:rFonts w:ascii="Times New Roman" w:hAnsi="Times New Roman"/>
                <w:sz w:val="24"/>
              </w:rPr>
              <w:t>, du règlement (UE) nº 575/2013 pour calculer effectivement les exigences de fonds propres visées à l</w:t>
            </w:r>
            <w:r w:rsidR="0057717F">
              <w:rPr>
                <w:rFonts w:ascii="Times New Roman" w:hAnsi="Times New Roman"/>
                <w:sz w:val="24"/>
              </w:rPr>
              <w:t>’</w:t>
            </w:r>
            <w:r>
              <w:rPr>
                <w:rFonts w:ascii="Times New Roman" w:hAnsi="Times New Roman"/>
                <w:sz w:val="24"/>
              </w:rPr>
              <w:t>article 92, paragraphe 4, points b), i) et c), et à l</w:t>
            </w:r>
            <w:r w:rsidR="0057717F">
              <w:rPr>
                <w:rFonts w:ascii="Times New Roman" w:hAnsi="Times New Roman"/>
                <w:sz w:val="24"/>
              </w:rPr>
              <w:t>’</w:t>
            </w:r>
            <w:r>
              <w:rPr>
                <w:rFonts w:ascii="Times New Roman" w:hAnsi="Times New Roman"/>
                <w:sz w:val="24"/>
              </w:rPr>
              <w:t xml:space="preserve">article 92, paragraphe 5, points b) et c), dudit règlement, cette ligne est sans objet. </w:t>
            </w:r>
          </w:p>
        </w:tc>
      </w:tr>
      <w:tr w:rsidR="00232C88" w:rsidRPr="00232C88" w14:paraId="7730A887" w14:textId="77777777" w:rsidTr="4D769726">
        <w:trPr>
          <w:trHeight w:val="557"/>
        </w:trPr>
        <w:tc>
          <w:tcPr>
            <w:tcW w:w="1384" w:type="dxa"/>
          </w:tcPr>
          <w:p w14:paraId="4659D69D" w14:textId="77777777" w:rsidR="004D588F" w:rsidRPr="00232C88" w:rsidRDefault="004D588F" w:rsidP="004D588F">
            <w:pPr>
              <w:pStyle w:val="Applicationdirecte"/>
              <w:spacing w:before="60"/>
              <w:jc w:val="center"/>
            </w:pPr>
            <w:r>
              <w:lastRenderedPageBreak/>
              <w:t>22</w:t>
            </w:r>
          </w:p>
        </w:tc>
        <w:tc>
          <w:tcPr>
            <w:tcW w:w="7655" w:type="dxa"/>
          </w:tcPr>
          <w:p w14:paraId="7F8B2B75" w14:textId="1AF5205C" w:rsidR="004D588F" w:rsidRPr="00232C88" w:rsidRDefault="48604EBF" w:rsidP="7A5B4152">
            <w:pPr>
              <w:spacing w:before="60" w:after="120"/>
              <w:jc w:val="both"/>
              <w:rPr>
                <w:rFonts w:ascii="Times New Roman" w:hAnsi="Times New Roman" w:cs="Times New Roman"/>
                <w:b/>
                <w:bCs/>
                <w:sz w:val="24"/>
              </w:rPr>
            </w:pPr>
            <w:r>
              <w:rPr>
                <w:rFonts w:ascii="Times New Roman" w:hAnsi="Times New Roman"/>
                <w:b/>
                <w:sz w:val="24"/>
              </w:rPr>
              <w:t xml:space="preserve">Risque de marché </w:t>
            </w:r>
            <w:r w:rsidR="0057717F">
              <w:rPr>
                <w:rFonts w:ascii="Times New Roman" w:hAnsi="Times New Roman"/>
                <w:b/>
                <w:sz w:val="24"/>
              </w:rPr>
              <w:t>—</w:t>
            </w:r>
            <w:r>
              <w:rPr>
                <w:rFonts w:ascii="Times New Roman" w:hAnsi="Times New Roman"/>
                <w:b/>
                <w:sz w:val="24"/>
              </w:rPr>
              <w:t xml:space="preserve"> Dont approche alternative fondée sur les modèles internes (A-IMA)</w:t>
            </w:r>
          </w:p>
          <w:p w14:paraId="115A7DEC" w14:textId="013907BE" w:rsidR="004D588F" w:rsidRPr="00232C88" w:rsidRDefault="48604EBF" w:rsidP="4D769726">
            <w:pPr>
              <w:spacing w:before="60" w:after="120"/>
              <w:jc w:val="both"/>
              <w:rPr>
                <w:rFonts w:ascii="Times New Roman" w:hAnsi="Times New Roman" w:cs="Times New Roman"/>
                <w:sz w:val="24"/>
              </w:rPr>
            </w:pPr>
            <w:r>
              <w:rPr>
                <w:rFonts w:ascii="Times New Roman" w:hAnsi="Times New Roman"/>
                <w:sz w:val="24"/>
              </w:rPr>
              <w:t>RWEA et exigences de fonds propres calculés conformément à la troisième partie, titre IV, chapitre 1 </w:t>
            </w:r>
            <w:r>
              <w:rPr>
                <w:rFonts w:ascii="Times New Roman" w:hAnsi="Times New Roman"/>
                <w:i/>
                <w:sz w:val="24"/>
              </w:rPr>
              <w:t>ter</w:t>
            </w:r>
            <w:r>
              <w:rPr>
                <w:rFonts w:ascii="Times New Roman" w:hAnsi="Times New Roman"/>
                <w:sz w:val="24"/>
              </w:rPr>
              <w:t>, du règlement (UE) nº 575/2013.</w:t>
            </w:r>
          </w:p>
          <w:p w14:paraId="190F3353" w14:textId="77511203" w:rsidR="001F53F8" w:rsidRPr="00232C88" w:rsidRDefault="001F53F8" w:rsidP="4D769726">
            <w:pPr>
              <w:spacing w:before="60" w:after="120"/>
              <w:jc w:val="both"/>
              <w:rPr>
                <w:rFonts w:ascii="Times New Roman" w:hAnsi="Times New Roman" w:cs="Times New Roman"/>
                <w:sz w:val="24"/>
              </w:rPr>
            </w:pPr>
            <w:r>
              <w:rPr>
                <w:rFonts w:ascii="Times New Roman" w:hAnsi="Times New Roman"/>
                <w:sz w:val="24"/>
              </w:rPr>
              <w:t>Jusqu</w:t>
            </w:r>
            <w:r w:rsidR="0057717F">
              <w:rPr>
                <w:rFonts w:ascii="Times New Roman" w:hAnsi="Times New Roman"/>
                <w:sz w:val="24"/>
              </w:rPr>
              <w:t>’</w:t>
            </w:r>
            <w:r>
              <w:rPr>
                <w:rFonts w:ascii="Times New Roman" w:hAnsi="Times New Roman"/>
                <w:sz w:val="24"/>
              </w:rPr>
              <w:t>à la date d</w:t>
            </w:r>
            <w:r w:rsidR="0057717F">
              <w:rPr>
                <w:rFonts w:ascii="Times New Roman" w:hAnsi="Times New Roman"/>
                <w:sz w:val="24"/>
              </w:rPr>
              <w:t>’</w:t>
            </w:r>
            <w:r>
              <w:rPr>
                <w:rFonts w:ascii="Times New Roman" w:hAnsi="Times New Roman"/>
                <w:sz w:val="24"/>
              </w:rPr>
              <w:t>application de l</w:t>
            </w:r>
            <w:r w:rsidR="0057717F">
              <w:rPr>
                <w:rFonts w:ascii="Times New Roman" w:hAnsi="Times New Roman"/>
                <w:sz w:val="24"/>
              </w:rPr>
              <w:t>’</w:t>
            </w:r>
            <w:r>
              <w:rPr>
                <w:rFonts w:ascii="Times New Roman" w:hAnsi="Times New Roman"/>
                <w:sz w:val="24"/>
              </w:rPr>
              <w:t>utilisation des approches alternatives prévues à la troisième partie, titre IV, chapitres 1 </w:t>
            </w:r>
            <w:r>
              <w:rPr>
                <w:rFonts w:ascii="Times New Roman" w:hAnsi="Times New Roman"/>
                <w:i/>
                <w:sz w:val="24"/>
              </w:rPr>
              <w:t>bis</w:t>
            </w:r>
            <w:r>
              <w:rPr>
                <w:rFonts w:ascii="Times New Roman" w:hAnsi="Times New Roman"/>
                <w:sz w:val="24"/>
              </w:rPr>
              <w:t xml:space="preserve"> et 1 </w:t>
            </w:r>
            <w:r>
              <w:rPr>
                <w:rFonts w:ascii="Times New Roman" w:hAnsi="Times New Roman"/>
                <w:i/>
                <w:sz w:val="24"/>
              </w:rPr>
              <w:t>ter</w:t>
            </w:r>
            <w:r>
              <w:rPr>
                <w:rFonts w:ascii="Times New Roman" w:hAnsi="Times New Roman"/>
                <w:sz w:val="24"/>
              </w:rPr>
              <w:t>, du règlement (UE) nº 575/2013 pour calculer effectivement les exigences de fonds propres visées à l</w:t>
            </w:r>
            <w:r w:rsidR="0057717F">
              <w:rPr>
                <w:rFonts w:ascii="Times New Roman" w:hAnsi="Times New Roman"/>
                <w:sz w:val="24"/>
              </w:rPr>
              <w:t>’</w:t>
            </w:r>
            <w:r>
              <w:rPr>
                <w:rFonts w:ascii="Times New Roman" w:hAnsi="Times New Roman"/>
                <w:sz w:val="24"/>
              </w:rPr>
              <w:t>article 92, paragraphe 4, points b), i) et c), et à l</w:t>
            </w:r>
            <w:r w:rsidR="0057717F">
              <w:rPr>
                <w:rFonts w:ascii="Times New Roman" w:hAnsi="Times New Roman"/>
                <w:sz w:val="24"/>
              </w:rPr>
              <w:t>’</w:t>
            </w:r>
            <w:r>
              <w:rPr>
                <w:rFonts w:ascii="Times New Roman" w:hAnsi="Times New Roman"/>
                <w:sz w:val="24"/>
              </w:rPr>
              <w:t xml:space="preserve">article 92, paragraphe 5, points b) et c), dudit règlement, cette ligne est sans objet. </w:t>
            </w:r>
          </w:p>
        </w:tc>
      </w:tr>
      <w:tr w:rsidR="00232C88" w:rsidRPr="00232C88" w14:paraId="634BA896" w14:textId="77777777" w:rsidTr="4D769726">
        <w:trPr>
          <w:trHeight w:val="557"/>
        </w:trPr>
        <w:tc>
          <w:tcPr>
            <w:tcW w:w="1384" w:type="dxa"/>
            <w:vAlign w:val="center"/>
          </w:tcPr>
          <w:p w14:paraId="20BE37C9" w14:textId="77777777" w:rsidR="00FA1376" w:rsidRPr="00232C88" w:rsidRDefault="004D588F" w:rsidP="00FA1376">
            <w:pPr>
              <w:pStyle w:val="Applicationdirecte"/>
              <w:spacing w:before="60"/>
              <w:jc w:val="center"/>
            </w:pPr>
            <w:r>
              <w:t>EU 22a</w:t>
            </w:r>
          </w:p>
        </w:tc>
        <w:tc>
          <w:tcPr>
            <w:tcW w:w="7655" w:type="dxa"/>
          </w:tcPr>
          <w:p w14:paraId="3C6ECD7F" w14:textId="77777777"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Grands risques</w:t>
            </w:r>
          </w:p>
          <w:p w14:paraId="01CE52D0" w14:textId="61C4FD08" w:rsidR="00FA1376" w:rsidRPr="00232C88" w:rsidRDefault="43EB62D7" w:rsidP="7A5B4152">
            <w:pPr>
              <w:spacing w:before="60" w:after="120"/>
              <w:jc w:val="both"/>
              <w:rPr>
                <w:rFonts w:ascii="Times New Roman" w:hAnsi="Times New Roman" w:cs="Times New Roman"/>
                <w:sz w:val="24"/>
              </w:rPr>
            </w:pPr>
            <w:r>
              <w:rPr>
                <w:rFonts w:ascii="Times New Roman" w:hAnsi="Times New Roman"/>
                <w:sz w:val="24"/>
              </w:rPr>
              <w:t>RWEA et exigences de fonds propres calculés conformément à l</w:t>
            </w:r>
            <w:r w:rsidR="0057717F">
              <w:rPr>
                <w:rFonts w:ascii="Times New Roman" w:hAnsi="Times New Roman"/>
                <w:sz w:val="24"/>
              </w:rPr>
              <w:t>’</w:t>
            </w:r>
            <w:r>
              <w:rPr>
                <w:rFonts w:ascii="Times New Roman" w:hAnsi="Times New Roman"/>
                <w:sz w:val="24"/>
              </w:rPr>
              <w:t>article 92, paragraphe 4, point b), ii), du règlement (UE) nº 575/2013.</w:t>
            </w:r>
          </w:p>
        </w:tc>
      </w:tr>
      <w:tr w:rsidR="00232C88" w:rsidRPr="00232C88" w14:paraId="7755F368" w14:textId="77777777" w:rsidTr="4D769726">
        <w:trPr>
          <w:trHeight w:val="557"/>
        </w:trPr>
        <w:tc>
          <w:tcPr>
            <w:tcW w:w="1384" w:type="dxa"/>
          </w:tcPr>
          <w:p w14:paraId="4869443B" w14:textId="0E73FF9F" w:rsidR="0BEB4DB1" w:rsidRPr="00232C88" w:rsidRDefault="0BEB4DB1" w:rsidP="00254EDB">
            <w:pPr>
              <w:pStyle w:val="Applicationdirecte"/>
              <w:spacing w:before="60" w:line="259" w:lineRule="auto"/>
              <w:jc w:val="center"/>
            </w:pPr>
            <w:r>
              <w:t>23</w:t>
            </w:r>
          </w:p>
        </w:tc>
        <w:tc>
          <w:tcPr>
            <w:tcW w:w="7655" w:type="dxa"/>
          </w:tcPr>
          <w:p w14:paraId="3A8A51A2" w14:textId="77777777" w:rsidR="008D0CBA" w:rsidRDefault="00886EA4" w:rsidP="00310C93">
            <w:pPr>
              <w:spacing w:before="60" w:after="120"/>
              <w:jc w:val="both"/>
              <w:rPr>
                <w:rFonts w:ascii="Times New Roman" w:hAnsi="Times New Roman" w:cs="Times New Roman"/>
                <w:b/>
                <w:sz w:val="24"/>
              </w:rPr>
            </w:pPr>
            <w:r>
              <w:rPr>
                <w:rFonts w:ascii="Times New Roman" w:hAnsi="Times New Roman"/>
                <w:b/>
                <w:sz w:val="24"/>
              </w:rPr>
              <w:t xml:space="preserve"> Reclassements entre portefeuille de négociation et portefeuille hors négociation </w:t>
            </w:r>
          </w:p>
          <w:p w14:paraId="37B20D25" w14:textId="7F36BBBD" w:rsidR="7A5B4152" w:rsidRPr="00232C88" w:rsidRDefault="00310C93" w:rsidP="00310C93">
            <w:pPr>
              <w:spacing w:before="60" w:after="120"/>
              <w:jc w:val="both"/>
              <w:rPr>
                <w:rFonts w:ascii="Times New Roman" w:hAnsi="Times New Roman" w:cs="Times New Roman"/>
                <w:bCs/>
                <w:sz w:val="24"/>
              </w:rPr>
            </w:pPr>
            <w:r>
              <w:rPr>
                <w:rFonts w:ascii="Times New Roman" w:hAnsi="Times New Roman"/>
                <w:sz w:val="24"/>
              </w:rPr>
              <w:t>RWEA et exigences de fonds propres calculés conformément à l</w:t>
            </w:r>
            <w:r w:rsidR="0057717F">
              <w:rPr>
                <w:rFonts w:ascii="Times New Roman" w:hAnsi="Times New Roman"/>
                <w:sz w:val="24"/>
              </w:rPr>
              <w:t>’</w:t>
            </w:r>
            <w:r>
              <w:rPr>
                <w:rFonts w:ascii="Times New Roman" w:hAnsi="Times New Roman"/>
                <w:sz w:val="24"/>
              </w:rPr>
              <w:t>article 104 </w:t>
            </w:r>
            <w:r>
              <w:rPr>
                <w:rFonts w:ascii="Times New Roman" w:hAnsi="Times New Roman"/>
                <w:i/>
                <w:sz w:val="24"/>
              </w:rPr>
              <w:t>bis</w:t>
            </w:r>
            <w:r>
              <w:rPr>
                <w:rFonts w:ascii="Times New Roman" w:hAnsi="Times New Roman"/>
                <w:sz w:val="24"/>
              </w:rPr>
              <w:t>, paragraphes 3, 4 et 6, du règlement (UE) nº 575/2013.</w:t>
            </w:r>
          </w:p>
        </w:tc>
      </w:tr>
      <w:tr w:rsidR="00232C88" w:rsidRPr="00232C88" w14:paraId="4F084615" w14:textId="77777777" w:rsidTr="4D769726">
        <w:trPr>
          <w:trHeight w:val="557"/>
        </w:trPr>
        <w:tc>
          <w:tcPr>
            <w:tcW w:w="1384" w:type="dxa"/>
          </w:tcPr>
          <w:p w14:paraId="688F7715" w14:textId="7983AB02" w:rsidR="004D588F" w:rsidRPr="00232C88" w:rsidRDefault="48604EBF" w:rsidP="004D588F">
            <w:pPr>
              <w:pStyle w:val="Applicationdirecte"/>
              <w:spacing w:before="60"/>
              <w:jc w:val="center"/>
            </w:pPr>
            <w:r>
              <w:t>24</w:t>
            </w:r>
          </w:p>
        </w:tc>
        <w:tc>
          <w:tcPr>
            <w:tcW w:w="7655" w:type="dxa"/>
          </w:tcPr>
          <w:p w14:paraId="62D84362" w14:textId="77777777" w:rsidR="00064A87" w:rsidRPr="00232C88" w:rsidRDefault="00064A87" w:rsidP="00064A87">
            <w:pPr>
              <w:spacing w:before="60" w:after="120"/>
              <w:jc w:val="both"/>
              <w:rPr>
                <w:rFonts w:ascii="Times New Roman" w:hAnsi="Times New Roman" w:cs="Times New Roman"/>
                <w:b/>
                <w:sz w:val="24"/>
              </w:rPr>
            </w:pPr>
            <w:r>
              <w:rPr>
                <w:rFonts w:ascii="Times New Roman" w:hAnsi="Times New Roman"/>
                <w:b/>
                <w:sz w:val="24"/>
              </w:rPr>
              <w:t xml:space="preserve">Risque opérationnel </w:t>
            </w:r>
          </w:p>
          <w:p w14:paraId="1D9DEFE1" w14:textId="5CB9F040" w:rsidR="004D588F" w:rsidRPr="00232C88" w:rsidRDefault="1346BE8D" w:rsidP="4D769726">
            <w:pPr>
              <w:spacing w:before="60" w:after="120"/>
              <w:jc w:val="both"/>
              <w:rPr>
                <w:rFonts w:ascii="Times New Roman" w:hAnsi="Times New Roman" w:cs="Times New Roman"/>
                <w:i/>
                <w:iCs/>
                <w:sz w:val="24"/>
              </w:rPr>
            </w:pPr>
            <w:r>
              <w:rPr>
                <w:rFonts w:ascii="Times New Roman" w:hAnsi="Times New Roman"/>
                <w:sz w:val="24"/>
              </w:rPr>
              <w:t xml:space="preserve"> RWEA et exigences de fonds propres calculés conformément à la troisième partie, titre III, du règlement (UE) nº 575/2013.</w:t>
            </w:r>
          </w:p>
        </w:tc>
      </w:tr>
      <w:tr w:rsidR="00232C88" w:rsidRPr="00232C88" w14:paraId="19C94D76" w14:textId="77777777" w:rsidTr="4D769726">
        <w:trPr>
          <w:trHeight w:val="557"/>
        </w:trPr>
        <w:tc>
          <w:tcPr>
            <w:tcW w:w="1384" w:type="dxa"/>
          </w:tcPr>
          <w:p w14:paraId="0A5E81F6" w14:textId="1552A1E9" w:rsidR="00797C68" w:rsidRPr="00232C88" w:rsidRDefault="00797C68" w:rsidP="001C2D18">
            <w:pPr>
              <w:pStyle w:val="Applicationdirecte"/>
              <w:spacing w:before="60"/>
              <w:jc w:val="center"/>
            </w:pPr>
            <w:r>
              <w:t>EU 24a</w:t>
            </w:r>
          </w:p>
        </w:tc>
        <w:tc>
          <w:tcPr>
            <w:tcW w:w="7655" w:type="dxa"/>
          </w:tcPr>
          <w:p w14:paraId="13B64018" w14:textId="77777777" w:rsidR="00797C68" w:rsidRPr="00232C88" w:rsidRDefault="00797C68" w:rsidP="001C2D18">
            <w:pPr>
              <w:spacing w:before="60" w:after="120"/>
              <w:jc w:val="both"/>
              <w:rPr>
                <w:rFonts w:ascii="Times New Roman" w:hAnsi="Times New Roman" w:cs="Times New Roman"/>
                <w:b/>
                <w:sz w:val="24"/>
              </w:rPr>
            </w:pPr>
            <w:r>
              <w:rPr>
                <w:rFonts w:ascii="Times New Roman" w:hAnsi="Times New Roman"/>
                <w:b/>
                <w:sz w:val="24"/>
              </w:rPr>
              <w:t xml:space="preserve">Expositions sur crypto-actifs </w:t>
            </w:r>
          </w:p>
          <w:p w14:paraId="66AC7A81" w14:textId="69A6D591" w:rsidR="00797C68" w:rsidRPr="00232C88" w:rsidRDefault="00797C68" w:rsidP="001C2D18">
            <w:pPr>
              <w:spacing w:before="60" w:after="120"/>
              <w:jc w:val="both"/>
              <w:rPr>
                <w:rFonts w:ascii="Times New Roman" w:hAnsi="Times New Roman" w:cs="Times New Roman"/>
                <w:bCs/>
                <w:sz w:val="24"/>
              </w:rPr>
            </w:pPr>
            <w:r>
              <w:rPr>
                <w:rFonts w:ascii="Times New Roman" w:hAnsi="Times New Roman"/>
                <w:sz w:val="24"/>
              </w:rPr>
              <w:t>RWEA et exigences de fonds propres calculés conformément au traitement prudentiel transitoire visé à l</w:t>
            </w:r>
            <w:r w:rsidR="0057717F">
              <w:rPr>
                <w:rFonts w:ascii="Times New Roman" w:hAnsi="Times New Roman"/>
                <w:sz w:val="24"/>
              </w:rPr>
              <w:t>’</w:t>
            </w:r>
            <w:r>
              <w:rPr>
                <w:rFonts w:ascii="Times New Roman" w:hAnsi="Times New Roman"/>
                <w:sz w:val="24"/>
              </w:rPr>
              <w:t>article 501 </w:t>
            </w:r>
            <w:r>
              <w:rPr>
                <w:rFonts w:ascii="Times New Roman" w:hAnsi="Times New Roman"/>
                <w:i/>
                <w:sz w:val="24"/>
              </w:rPr>
              <w:t>quinquies</w:t>
            </w:r>
            <w:r>
              <w:rPr>
                <w:rFonts w:ascii="Times New Roman" w:hAnsi="Times New Roman"/>
                <w:sz w:val="24"/>
              </w:rPr>
              <w:t>, paragraphe 2, du règlement (UE) nº 575/2013.</w:t>
            </w:r>
          </w:p>
        </w:tc>
      </w:tr>
      <w:tr w:rsidR="00232C88" w:rsidRPr="00232C88" w14:paraId="76248997" w14:textId="77777777" w:rsidTr="4D769726">
        <w:trPr>
          <w:trHeight w:val="557"/>
        </w:trPr>
        <w:tc>
          <w:tcPr>
            <w:tcW w:w="1384" w:type="dxa"/>
          </w:tcPr>
          <w:p w14:paraId="0E30EA32" w14:textId="31260842" w:rsidR="00355D90" w:rsidRPr="00232C88" w:rsidRDefault="69048C70" w:rsidP="001C2D18">
            <w:pPr>
              <w:pStyle w:val="Applicationdirecte"/>
              <w:spacing w:before="60"/>
              <w:jc w:val="center"/>
            </w:pPr>
            <w:r>
              <w:t xml:space="preserve"> 25</w:t>
            </w:r>
          </w:p>
        </w:tc>
        <w:tc>
          <w:tcPr>
            <w:tcW w:w="7655" w:type="dxa"/>
          </w:tcPr>
          <w:p w14:paraId="46C5B971" w14:textId="03E962D8" w:rsidR="00355D90" w:rsidRPr="00232C88" w:rsidRDefault="00355D90" w:rsidP="001C2D18">
            <w:pPr>
              <w:spacing w:before="60" w:after="120"/>
              <w:jc w:val="both"/>
              <w:rPr>
                <w:rFonts w:ascii="Times New Roman" w:hAnsi="Times New Roman" w:cs="Times New Roman"/>
                <w:b/>
                <w:sz w:val="24"/>
              </w:rPr>
            </w:pPr>
            <w:r>
              <w:rPr>
                <w:rFonts w:ascii="Times New Roman" w:hAnsi="Times New Roman"/>
                <w:b/>
                <w:sz w:val="24"/>
              </w:rPr>
              <w:t xml:space="preserve">Montant inférieur aux seuils de déduction (soumis à pondération de 250 %) </w:t>
            </w:r>
          </w:p>
          <w:p w14:paraId="2A67FBCB" w14:textId="71D73BE9" w:rsidR="00355D90" w:rsidRPr="00232C88" w:rsidRDefault="00355D90" w:rsidP="001C2D18">
            <w:pPr>
              <w:spacing w:before="60" w:after="120"/>
              <w:jc w:val="both"/>
              <w:rPr>
                <w:rFonts w:ascii="Times New Roman" w:hAnsi="Times New Roman" w:cs="Times New Roman"/>
                <w:sz w:val="24"/>
              </w:rPr>
            </w:pPr>
            <w:r>
              <w:rPr>
                <w:rFonts w:ascii="Times New Roman" w:hAnsi="Times New Roman"/>
                <w:sz w:val="24"/>
              </w:rPr>
              <w:t>Ce montant correspond à la somme des montants des éléments soumis à une pondération de risque de 250 % visés à l’article 48, paragraphe 4, du règlement (UE) nº 575/2013, après application de cette pondération de risque de 250 %. Ces montants comprennent:</w:t>
            </w:r>
          </w:p>
          <w:p w14:paraId="7233691E" w14:textId="63D2831D" w:rsidR="00355D90" w:rsidRPr="00232C88" w:rsidRDefault="00355D90" w:rsidP="00E70D84">
            <w:pPr>
              <w:pStyle w:val="ListParagraph"/>
              <w:numPr>
                <w:ilvl w:val="0"/>
                <w:numId w:val="16"/>
              </w:numPr>
              <w:spacing w:before="60" w:after="120"/>
              <w:jc w:val="both"/>
              <w:rPr>
                <w:rFonts w:ascii="Times New Roman" w:hAnsi="Times New Roman"/>
                <w:sz w:val="24"/>
              </w:rPr>
            </w:pPr>
            <w:r>
              <w:rPr>
                <w:rFonts w:ascii="Times New Roman" w:hAnsi="Times New Roman"/>
                <w:sz w:val="24"/>
              </w:rPr>
              <w:t>les actifs d’impôt différé dépendant de bénéfices futurs et résultant de différences temporelles qui, au total, représentent 10 % ou moins des éléments de fonds propres de base de catégorie 1 de l’établissement calculés conformément à l’article 48, paragraphe 1, point a), du règlement (UE) nº 575/2013;</w:t>
            </w:r>
          </w:p>
          <w:p w14:paraId="3954A3F4" w14:textId="3586225A" w:rsidR="00355D90" w:rsidRPr="009260D6" w:rsidRDefault="00355D90" w:rsidP="000A2CE0">
            <w:pPr>
              <w:pStyle w:val="ListParagraph"/>
              <w:numPr>
                <w:ilvl w:val="0"/>
                <w:numId w:val="16"/>
              </w:numPr>
              <w:spacing w:before="60" w:after="120"/>
              <w:jc w:val="both"/>
              <w:rPr>
                <w:rFonts w:ascii="Times New Roman" w:hAnsi="Times New Roman"/>
                <w:sz w:val="24"/>
              </w:rPr>
            </w:pPr>
            <w:r>
              <w:rPr>
                <w:rFonts w:ascii="Times New Roman" w:hAnsi="Times New Roman"/>
                <w:sz w:val="24"/>
              </w:rPr>
              <w:t>les investissements importants dans une entité du secteur financier, les détentions directes, indirectes et synthétiques de l</w:t>
            </w:r>
            <w:r w:rsidR="0057717F">
              <w:rPr>
                <w:rFonts w:ascii="Times New Roman" w:hAnsi="Times New Roman"/>
                <w:sz w:val="24"/>
              </w:rPr>
              <w:t>’</w:t>
            </w:r>
            <w:r>
              <w:rPr>
                <w:rFonts w:ascii="Times New Roman" w:hAnsi="Times New Roman"/>
                <w:sz w:val="24"/>
              </w:rPr>
              <w:t>établissement constituées d</w:t>
            </w:r>
            <w:r w:rsidR="0057717F">
              <w:rPr>
                <w:rFonts w:ascii="Times New Roman" w:hAnsi="Times New Roman"/>
                <w:sz w:val="24"/>
              </w:rPr>
              <w:t>’</w:t>
            </w:r>
            <w:r>
              <w:rPr>
                <w:rFonts w:ascii="Times New Roman" w:hAnsi="Times New Roman"/>
                <w:sz w:val="24"/>
              </w:rPr>
              <w:t xml:space="preserve">instruments de fonds propres de base de catégorie 1 de ces entités qui, au total, représentent 10 % ou moins des éléments de fonds propres de base de catégorie 1 de l’établissement, calculés </w:t>
            </w:r>
            <w:r>
              <w:rPr>
                <w:rFonts w:ascii="Times New Roman" w:hAnsi="Times New Roman"/>
                <w:sz w:val="24"/>
              </w:rPr>
              <w:lastRenderedPageBreak/>
              <w:t>conformément à l’article 48, paragraphe 1, point b), du règlement (UE) nº 575/2013.</w:t>
            </w:r>
          </w:p>
          <w:p w14:paraId="6B4CA360" w14:textId="138451FC" w:rsidR="00355D90" w:rsidRPr="00232C88" w:rsidRDefault="00355D90" w:rsidP="00544FF5">
            <w:pPr>
              <w:spacing w:before="60" w:after="120"/>
              <w:jc w:val="both"/>
              <w:rPr>
                <w:rFonts w:ascii="Times New Roman" w:hAnsi="Times New Roman" w:cs="Times New Roman"/>
                <w:sz w:val="24"/>
              </w:rPr>
            </w:pPr>
            <w:r>
              <w:rPr>
                <w:rFonts w:ascii="Times New Roman" w:hAnsi="Times New Roman"/>
                <w:sz w:val="24"/>
              </w:rPr>
              <w:t>Les données fournies sur cette ligne le sont exclusivement à titre d’information, puisque le montant indiqué ici est également inclus à la ligne 1, où les établissements sont invités à fournir des informations sur le risque de crédit.</w:t>
            </w:r>
          </w:p>
        </w:tc>
      </w:tr>
      <w:tr w:rsidR="00232C88" w:rsidRPr="00232C88" w14:paraId="7B789CB1" w14:textId="77777777" w:rsidTr="4D769726">
        <w:trPr>
          <w:trHeight w:val="557"/>
        </w:trPr>
        <w:tc>
          <w:tcPr>
            <w:tcW w:w="1384" w:type="dxa"/>
          </w:tcPr>
          <w:p w14:paraId="3A10A9D0" w14:textId="77777777" w:rsidR="00601608" w:rsidRPr="00232C88" w:rsidRDefault="00601608" w:rsidP="00601608">
            <w:pPr>
              <w:pStyle w:val="Applicationdirecte"/>
              <w:spacing w:before="60"/>
              <w:jc w:val="center"/>
            </w:pPr>
            <w:r>
              <w:lastRenderedPageBreak/>
              <w:t>26</w:t>
            </w:r>
          </w:p>
        </w:tc>
        <w:tc>
          <w:tcPr>
            <w:tcW w:w="7655" w:type="dxa"/>
          </w:tcPr>
          <w:p w14:paraId="1BEF8E20" w14:textId="773DF94B" w:rsidR="00601608" w:rsidRPr="00232C88" w:rsidRDefault="0F81387E" w:rsidP="7A5B4152">
            <w:pPr>
              <w:spacing w:before="60" w:after="120"/>
              <w:jc w:val="both"/>
              <w:rPr>
                <w:rFonts w:ascii="Times New Roman" w:hAnsi="Times New Roman" w:cs="Times New Roman"/>
                <w:b/>
                <w:bCs/>
                <w:sz w:val="24"/>
              </w:rPr>
            </w:pPr>
            <w:r>
              <w:rPr>
                <w:rFonts w:ascii="Times New Roman" w:hAnsi="Times New Roman"/>
                <w:b/>
                <w:sz w:val="24"/>
              </w:rPr>
              <w:t>Plancher de fonds propres appliqué (en %)</w:t>
            </w:r>
          </w:p>
          <w:p w14:paraId="73B26D34" w14:textId="440A35AC" w:rsidR="00601608" w:rsidRPr="00232C88" w:rsidRDefault="157A8E5C" w:rsidP="00254EDB">
            <w:pPr>
              <w:spacing w:before="60"/>
              <w:rPr>
                <w:rFonts w:ascii="Times New Roman" w:hAnsi="Times New Roman" w:cs="Times New Roman"/>
                <w:sz w:val="24"/>
              </w:rPr>
            </w:pPr>
            <w:r>
              <w:rPr>
                <w:rFonts w:ascii="Times New Roman" w:hAnsi="Times New Roman"/>
                <w:sz w:val="24"/>
              </w:rPr>
              <w:t>Le plancher de fonds propres, exprimé en pourcentage, appliqué par l</w:t>
            </w:r>
            <w:r w:rsidR="0057717F">
              <w:rPr>
                <w:rFonts w:ascii="Times New Roman" w:hAnsi="Times New Roman"/>
                <w:sz w:val="24"/>
              </w:rPr>
              <w:t>’</w:t>
            </w:r>
            <w:r>
              <w:rPr>
                <w:rFonts w:ascii="Times New Roman" w:hAnsi="Times New Roman"/>
                <w:sz w:val="24"/>
              </w:rPr>
              <w:t>établissement dans</w:t>
            </w:r>
          </w:p>
          <w:p w14:paraId="0351E143" w14:textId="4A67EBF1" w:rsidR="00601608" w:rsidRPr="00232C88" w:rsidRDefault="157A8E5C" w:rsidP="5C82E46C">
            <w:pPr>
              <w:spacing w:before="60" w:after="120"/>
              <w:jc w:val="both"/>
              <w:rPr>
                <w:rFonts w:ascii="Times New Roman" w:hAnsi="Times New Roman" w:cs="Times New Roman"/>
              </w:rPr>
            </w:pPr>
            <w:r>
              <w:rPr>
                <w:rFonts w:ascii="Times New Roman" w:hAnsi="Times New Roman"/>
                <w:sz w:val="24"/>
              </w:rPr>
              <w:t>son calcul de la valeur de l</w:t>
            </w:r>
            <w:r w:rsidR="0057717F">
              <w:rPr>
                <w:rFonts w:ascii="Times New Roman" w:hAnsi="Times New Roman"/>
                <w:sz w:val="24"/>
              </w:rPr>
              <w:t>’</w:t>
            </w:r>
            <w:r>
              <w:rPr>
                <w:rFonts w:ascii="Times New Roman" w:hAnsi="Times New Roman"/>
                <w:sz w:val="24"/>
              </w:rPr>
              <w:t>ajustement pour le plancher aux lignes 27 et 28: le facteur «x» prévu à l</w:t>
            </w:r>
            <w:r w:rsidR="0057717F">
              <w:rPr>
                <w:rFonts w:ascii="Times New Roman" w:hAnsi="Times New Roman"/>
                <w:sz w:val="24"/>
              </w:rPr>
              <w:t>’</w:t>
            </w:r>
            <w:r>
              <w:rPr>
                <w:rFonts w:ascii="Times New Roman" w:hAnsi="Times New Roman"/>
                <w:sz w:val="24"/>
              </w:rPr>
              <w:t>article 92, paragraphe 3, et à l</w:t>
            </w:r>
            <w:r w:rsidR="0057717F">
              <w:rPr>
                <w:rFonts w:ascii="Times New Roman" w:hAnsi="Times New Roman"/>
                <w:sz w:val="24"/>
              </w:rPr>
              <w:t>’</w:t>
            </w:r>
            <w:r>
              <w:rPr>
                <w:rFonts w:ascii="Times New Roman" w:hAnsi="Times New Roman"/>
                <w:sz w:val="24"/>
              </w:rPr>
              <w:t>article 465, paragraphe 1, du règlement (UE) nº 575/2013.</w:t>
            </w:r>
          </w:p>
          <w:p w14:paraId="2C4F5B91" w14:textId="7047CFA5" w:rsidR="00601608" w:rsidRPr="00232C88" w:rsidRDefault="00D92B8D" w:rsidP="00254EDB">
            <w:pPr>
              <w:spacing w:before="60" w:after="120"/>
              <w:jc w:val="both"/>
              <w:rPr>
                <w:rFonts w:ascii="Times New Roman" w:hAnsi="Times New Roman" w:cs="Times New Roman"/>
                <w:sz w:val="24"/>
              </w:rPr>
            </w:pPr>
            <w:r>
              <w:rPr>
                <w:rFonts w:ascii="Times New Roman" w:hAnsi="Times New Roman"/>
                <w:sz w:val="24"/>
              </w:rPr>
              <w:t>Cette ligne ne concerne pas les établissements qui bénéficient d</w:t>
            </w:r>
            <w:r w:rsidR="0057717F">
              <w:rPr>
                <w:rFonts w:ascii="Times New Roman" w:hAnsi="Times New Roman"/>
                <w:sz w:val="24"/>
              </w:rPr>
              <w:t>’</w:t>
            </w:r>
            <w:r>
              <w:rPr>
                <w:rFonts w:ascii="Times New Roman" w:hAnsi="Times New Roman"/>
                <w:sz w:val="24"/>
              </w:rPr>
              <w:t>une exemption au titre de l</w:t>
            </w:r>
            <w:r w:rsidR="0057717F">
              <w:rPr>
                <w:rFonts w:ascii="Times New Roman" w:hAnsi="Times New Roman"/>
                <w:sz w:val="24"/>
              </w:rPr>
              <w:t>’</w:t>
            </w:r>
            <w:r>
              <w:rPr>
                <w:rFonts w:ascii="Times New Roman" w:hAnsi="Times New Roman"/>
                <w:sz w:val="24"/>
              </w:rPr>
              <w:t>article 92, paragraphe 3, deuxième alinéa, du règlement (UE) nº 575/2013.</w:t>
            </w:r>
          </w:p>
        </w:tc>
      </w:tr>
      <w:tr w:rsidR="00232C88" w:rsidRPr="00232C88" w14:paraId="48F5EA99" w14:textId="77777777" w:rsidTr="4D769726">
        <w:trPr>
          <w:trHeight w:val="557"/>
        </w:trPr>
        <w:tc>
          <w:tcPr>
            <w:tcW w:w="1384" w:type="dxa"/>
          </w:tcPr>
          <w:p w14:paraId="5D203C64" w14:textId="77777777" w:rsidR="00601608" w:rsidRPr="00232C88" w:rsidRDefault="00601608" w:rsidP="00601608">
            <w:pPr>
              <w:pStyle w:val="Applicationdirecte"/>
              <w:spacing w:before="60"/>
              <w:jc w:val="center"/>
            </w:pPr>
            <w:r>
              <w:t>27</w:t>
            </w:r>
          </w:p>
        </w:tc>
        <w:tc>
          <w:tcPr>
            <w:tcW w:w="7655" w:type="dxa"/>
          </w:tcPr>
          <w:p w14:paraId="038223EE" w14:textId="6A6326D3" w:rsidR="00601608" w:rsidRPr="00232C88" w:rsidRDefault="4856FF09" w:rsidP="7A5B4152">
            <w:pPr>
              <w:spacing w:before="60" w:after="120"/>
              <w:jc w:val="both"/>
              <w:rPr>
                <w:rFonts w:ascii="Times New Roman" w:hAnsi="Times New Roman" w:cs="Times New Roman"/>
                <w:b/>
                <w:bCs/>
                <w:sz w:val="24"/>
              </w:rPr>
            </w:pPr>
            <w:r>
              <w:rPr>
                <w:rFonts w:ascii="Times New Roman" w:hAnsi="Times New Roman"/>
                <w:b/>
                <w:sz w:val="24"/>
              </w:rPr>
              <w:t>Ajustement pour le plancher (avant application du plafond transitoire)</w:t>
            </w:r>
          </w:p>
          <w:p w14:paraId="771706A8" w14:textId="39B5466F" w:rsidR="00601608" w:rsidRPr="00232C88" w:rsidRDefault="00010D29" w:rsidP="7A5B4152">
            <w:pPr>
              <w:spacing w:before="60" w:after="120"/>
              <w:jc w:val="both"/>
              <w:rPr>
                <w:rFonts w:ascii="Times New Roman" w:hAnsi="Times New Roman" w:cs="Times New Roman"/>
                <w:sz w:val="24"/>
              </w:rPr>
            </w:pPr>
            <w:r>
              <w:rPr>
                <w:rFonts w:ascii="Times New Roman" w:hAnsi="Times New Roman"/>
                <w:sz w:val="24"/>
              </w:rPr>
              <w:t>Pour les établissements soumis au plancher de fonds propres conformément à l</w:t>
            </w:r>
            <w:r w:rsidR="0057717F">
              <w:rPr>
                <w:rFonts w:ascii="Times New Roman" w:hAnsi="Times New Roman"/>
                <w:sz w:val="24"/>
              </w:rPr>
              <w:t>’</w:t>
            </w:r>
            <w:r>
              <w:rPr>
                <w:rFonts w:ascii="Times New Roman" w:hAnsi="Times New Roman"/>
                <w:sz w:val="24"/>
              </w:rPr>
              <w:t>article 92, paragraphe 3, point a), du règlement (UE) nº 575/2013, l</w:t>
            </w:r>
            <w:r w:rsidR="0057717F">
              <w:rPr>
                <w:rFonts w:ascii="Times New Roman" w:hAnsi="Times New Roman"/>
                <w:sz w:val="24"/>
              </w:rPr>
              <w:t>’</w:t>
            </w:r>
            <w:r>
              <w:rPr>
                <w:rFonts w:ascii="Times New Roman" w:hAnsi="Times New Roman"/>
                <w:sz w:val="24"/>
              </w:rPr>
              <w:t>augmentation du montant total d</w:t>
            </w:r>
            <w:r w:rsidR="0057717F">
              <w:rPr>
                <w:rFonts w:ascii="Times New Roman" w:hAnsi="Times New Roman"/>
                <w:sz w:val="24"/>
              </w:rPr>
              <w:t>’</w:t>
            </w:r>
            <w:r>
              <w:rPr>
                <w:rFonts w:ascii="Times New Roman" w:hAnsi="Times New Roman"/>
                <w:sz w:val="24"/>
              </w:rPr>
              <w:t>exposition au risque (TREA), sur la base du plancher de fonds propres appliqué indiqué à la ligne 26, sans application du plafond transitoire prévu à l</w:t>
            </w:r>
            <w:r w:rsidR="0057717F">
              <w:rPr>
                <w:rFonts w:ascii="Times New Roman" w:hAnsi="Times New Roman"/>
                <w:sz w:val="24"/>
              </w:rPr>
              <w:t>’</w:t>
            </w:r>
            <w:r>
              <w:rPr>
                <w:rFonts w:ascii="Times New Roman" w:hAnsi="Times New Roman"/>
                <w:sz w:val="24"/>
              </w:rPr>
              <w:t>article 465, paragraphe 2, du règlement (UE) nº 575/2013.</w:t>
            </w:r>
          </w:p>
          <w:p w14:paraId="38B9BF8A" w14:textId="5D6E44B9" w:rsidR="00D92B8D" w:rsidRPr="00232C88" w:rsidRDefault="00D92B8D" w:rsidP="7A5B4152">
            <w:pPr>
              <w:spacing w:before="60" w:after="120"/>
              <w:jc w:val="both"/>
              <w:rPr>
                <w:rFonts w:ascii="Times New Roman" w:hAnsi="Times New Roman" w:cs="Times New Roman"/>
                <w:sz w:val="24"/>
              </w:rPr>
            </w:pPr>
            <w:r>
              <w:rPr>
                <w:rFonts w:ascii="Times New Roman" w:hAnsi="Times New Roman"/>
                <w:sz w:val="24"/>
              </w:rPr>
              <w:t>Cette ligne ne concerne pas les établissements qui bénéficient d</w:t>
            </w:r>
            <w:r w:rsidR="0057717F">
              <w:rPr>
                <w:rFonts w:ascii="Times New Roman" w:hAnsi="Times New Roman"/>
                <w:sz w:val="24"/>
              </w:rPr>
              <w:t>’</w:t>
            </w:r>
            <w:r>
              <w:rPr>
                <w:rFonts w:ascii="Times New Roman" w:hAnsi="Times New Roman"/>
                <w:sz w:val="24"/>
              </w:rPr>
              <w:t>une exemption au titre de l</w:t>
            </w:r>
            <w:r w:rsidR="0057717F">
              <w:rPr>
                <w:rFonts w:ascii="Times New Roman" w:hAnsi="Times New Roman"/>
                <w:sz w:val="24"/>
              </w:rPr>
              <w:t>’</w:t>
            </w:r>
            <w:r>
              <w:rPr>
                <w:rFonts w:ascii="Times New Roman" w:hAnsi="Times New Roman"/>
                <w:sz w:val="24"/>
              </w:rPr>
              <w:t>article 92, paragraphe 3, deuxième alinéa, du règlement (UE) nº 575/2013.</w:t>
            </w:r>
          </w:p>
        </w:tc>
      </w:tr>
      <w:tr w:rsidR="00232C88" w:rsidRPr="00232C88" w14:paraId="294AC974" w14:textId="77777777" w:rsidTr="4D769726">
        <w:trPr>
          <w:trHeight w:val="557"/>
        </w:trPr>
        <w:tc>
          <w:tcPr>
            <w:tcW w:w="1384" w:type="dxa"/>
          </w:tcPr>
          <w:p w14:paraId="1D35C4C7" w14:textId="77777777" w:rsidR="00601608" w:rsidRPr="00232C88" w:rsidRDefault="00601608" w:rsidP="00601608">
            <w:pPr>
              <w:pStyle w:val="Applicationdirecte"/>
              <w:spacing w:before="60"/>
              <w:jc w:val="center"/>
            </w:pPr>
            <w:r>
              <w:t>28</w:t>
            </w:r>
          </w:p>
        </w:tc>
        <w:tc>
          <w:tcPr>
            <w:tcW w:w="7655" w:type="dxa"/>
          </w:tcPr>
          <w:p w14:paraId="10893528" w14:textId="1056E6F0" w:rsidR="00601608" w:rsidRPr="00232C88" w:rsidRDefault="3853AA5F" w:rsidP="7A5B4152">
            <w:pPr>
              <w:spacing w:before="60" w:after="120"/>
              <w:jc w:val="both"/>
              <w:rPr>
                <w:rFonts w:ascii="Times New Roman" w:hAnsi="Times New Roman" w:cs="Times New Roman"/>
                <w:sz w:val="24"/>
              </w:rPr>
            </w:pPr>
            <w:r>
              <w:rPr>
                <w:rFonts w:ascii="Times New Roman" w:hAnsi="Times New Roman"/>
                <w:b/>
                <w:sz w:val="24"/>
              </w:rPr>
              <w:t>Ajustement pour le plancher (après application du plafond transitoire)</w:t>
            </w:r>
            <w:r>
              <w:rPr>
                <w:rFonts w:ascii="Times New Roman" w:hAnsi="Times New Roman"/>
                <w:sz w:val="24"/>
              </w:rPr>
              <w:t xml:space="preserve"> </w:t>
            </w:r>
          </w:p>
          <w:p w14:paraId="3461108E" w14:textId="0F60BECA" w:rsidR="00601608" w:rsidRPr="00232C88" w:rsidRDefault="119238F7" w:rsidP="7A5B4152">
            <w:pPr>
              <w:spacing w:before="60" w:after="120"/>
              <w:jc w:val="both"/>
              <w:rPr>
                <w:rFonts w:ascii="Times New Roman" w:hAnsi="Times New Roman" w:cs="Times New Roman"/>
                <w:sz w:val="24"/>
              </w:rPr>
            </w:pPr>
            <w:r>
              <w:rPr>
                <w:rFonts w:ascii="Times New Roman" w:hAnsi="Times New Roman"/>
                <w:sz w:val="24"/>
              </w:rPr>
              <w:t>Pour les établissements soumis au plancher de fonds propres conformément à l</w:t>
            </w:r>
            <w:r w:rsidR="0057717F">
              <w:rPr>
                <w:rFonts w:ascii="Times New Roman" w:hAnsi="Times New Roman"/>
                <w:sz w:val="24"/>
              </w:rPr>
              <w:t>’</w:t>
            </w:r>
            <w:r>
              <w:rPr>
                <w:rFonts w:ascii="Times New Roman" w:hAnsi="Times New Roman"/>
                <w:sz w:val="24"/>
              </w:rPr>
              <w:t>article 92, paragraphe 3, point a), du règlement (UE) nº 575/2013, l</w:t>
            </w:r>
            <w:r w:rsidR="0057717F">
              <w:rPr>
                <w:rFonts w:ascii="Times New Roman" w:hAnsi="Times New Roman"/>
                <w:sz w:val="24"/>
              </w:rPr>
              <w:t>’</w:t>
            </w:r>
            <w:r>
              <w:rPr>
                <w:rFonts w:ascii="Times New Roman" w:hAnsi="Times New Roman"/>
                <w:sz w:val="24"/>
              </w:rPr>
              <w:t>augmentation du montant total d</w:t>
            </w:r>
            <w:r w:rsidR="0057717F">
              <w:rPr>
                <w:rFonts w:ascii="Times New Roman" w:hAnsi="Times New Roman"/>
                <w:sz w:val="24"/>
              </w:rPr>
              <w:t>’</w:t>
            </w:r>
            <w:r>
              <w:rPr>
                <w:rFonts w:ascii="Times New Roman" w:hAnsi="Times New Roman"/>
                <w:sz w:val="24"/>
              </w:rPr>
              <w:t>exposition au risque (TREA), sur la base du plancher de fonds propres appliqué indiqué à la ligne 26, après application du plafond transitoire prévu à l</w:t>
            </w:r>
            <w:r w:rsidR="0057717F">
              <w:rPr>
                <w:rFonts w:ascii="Times New Roman" w:hAnsi="Times New Roman"/>
                <w:sz w:val="24"/>
              </w:rPr>
              <w:t>’</w:t>
            </w:r>
            <w:r>
              <w:rPr>
                <w:rFonts w:ascii="Times New Roman" w:hAnsi="Times New Roman"/>
                <w:sz w:val="24"/>
              </w:rPr>
              <w:t>article 465, paragraphe 2, du règlement (UE) nº 575/2013.</w:t>
            </w:r>
          </w:p>
          <w:p w14:paraId="32CACDED" w14:textId="1D32D52A" w:rsidR="00D92B8D" w:rsidRPr="00232C88" w:rsidRDefault="00D92B8D" w:rsidP="7A5B4152">
            <w:pPr>
              <w:spacing w:before="60" w:after="120"/>
              <w:jc w:val="both"/>
              <w:rPr>
                <w:rFonts w:ascii="Times New Roman" w:hAnsi="Times New Roman" w:cs="Times New Roman"/>
                <w:sz w:val="24"/>
              </w:rPr>
            </w:pPr>
            <w:r>
              <w:rPr>
                <w:rFonts w:ascii="Times New Roman" w:hAnsi="Times New Roman"/>
                <w:sz w:val="24"/>
              </w:rPr>
              <w:t>Cette ligne ne concerne pas les établissements qui bénéficient d</w:t>
            </w:r>
            <w:r w:rsidR="0057717F">
              <w:rPr>
                <w:rFonts w:ascii="Times New Roman" w:hAnsi="Times New Roman"/>
                <w:sz w:val="24"/>
              </w:rPr>
              <w:t>’</w:t>
            </w:r>
            <w:r>
              <w:rPr>
                <w:rFonts w:ascii="Times New Roman" w:hAnsi="Times New Roman"/>
                <w:sz w:val="24"/>
              </w:rPr>
              <w:t>une exemption au titre de l</w:t>
            </w:r>
            <w:r w:rsidR="0057717F">
              <w:rPr>
                <w:rFonts w:ascii="Times New Roman" w:hAnsi="Times New Roman"/>
                <w:sz w:val="24"/>
              </w:rPr>
              <w:t>’</w:t>
            </w:r>
            <w:r>
              <w:rPr>
                <w:rFonts w:ascii="Times New Roman" w:hAnsi="Times New Roman"/>
                <w:sz w:val="24"/>
              </w:rPr>
              <w:t>article 92, paragraphe 3, deuxième alinéa, du règlement (UE) nº 575/2013.</w:t>
            </w:r>
          </w:p>
        </w:tc>
      </w:tr>
      <w:tr w:rsidR="00FA1376" w:rsidRPr="00232C88" w14:paraId="1FD0EA38" w14:textId="77777777" w:rsidTr="4D769726">
        <w:trPr>
          <w:trHeight w:val="557"/>
        </w:trPr>
        <w:tc>
          <w:tcPr>
            <w:tcW w:w="1384" w:type="dxa"/>
            <w:vAlign w:val="center"/>
          </w:tcPr>
          <w:p w14:paraId="351F1E24" w14:textId="77777777" w:rsidR="00FA1376" w:rsidRPr="00232C88" w:rsidRDefault="00FA1376" w:rsidP="00FA1376">
            <w:pPr>
              <w:pStyle w:val="Applicationdirecte"/>
              <w:spacing w:before="60"/>
              <w:jc w:val="center"/>
            </w:pPr>
            <w:r>
              <w:t>29</w:t>
            </w:r>
          </w:p>
        </w:tc>
        <w:tc>
          <w:tcPr>
            <w:tcW w:w="7655" w:type="dxa"/>
          </w:tcPr>
          <w:p w14:paraId="05D40AFF" w14:textId="77777777"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Total</w:t>
            </w:r>
          </w:p>
          <w:p w14:paraId="4DE2E57F" w14:textId="21E2017D" w:rsidR="008D0CBA" w:rsidRDefault="00FA1376" w:rsidP="00601608">
            <w:pPr>
              <w:spacing w:before="60" w:after="120"/>
              <w:jc w:val="both"/>
              <w:rPr>
                <w:rFonts w:ascii="Times New Roman" w:hAnsi="Times New Roman" w:cs="Times New Roman"/>
                <w:sz w:val="24"/>
              </w:rPr>
            </w:pPr>
            <w:r>
              <w:rPr>
                <w:rFonts w:ascii="Times New Roman" w:hAnsi="Times New Roman"/>
                <w:sz w:val="24"/>
              </w:rPr>
              <w:t>Montant total d’exposition au risque, calculé conformément à l</w:t>
            </w:r>
            <w:r w:rsidR="0057717F">
              <w:rPr>
                <w:rFonts w:ascii="Times New Roman" w:hAnsi="Times New Roman"/>
                <w:sz w:val="24"/>
              </w:rPr>
              <w:t>’</w:t>
            </w:r>
            <w:r>
              <w:rPr>
                <w:rFonts w:ascii="Times New Roman" w:hAnsi="Times New Roman"/>
                <w:sz w:val="24"/>
              </w:rPr>
              <w:t xml:space="preserve">article 92, paragraphe 3, et aux articles 95, 96 et 98 du règlement (UE) nº 575/2013. </w:t>
            </w:r>
          </w:p>
          <w:p w14:paraId="32B689CA" w14:textId="0C35490F" w:rsidR="00FA1376" w:rsidRPr="00232C88" w:rsidRDefault="00D072CD" w:rsidP="00601608">
            <w:pPr>
              <w:spacing w:before="60" w:after="120"/>
              <w:jc w:val="both"/>
              <w:rPr>
                <w:rFonts w:ascii="Times New Roman" w:hAnsi="Times New Roman" w:cs="Times New Roman"/>
                <w:sz w:val="24"/>
              </w:rPr>
            </w:pPr>
            <w:r>
              <w:rPr>
                <w:rFonts w:ascii="Times New Roman" w:hAnsi="Times New Roman"/>
                <w:sz w:val="24"/>
              </w:rPr>
              <w:t>Cette ligne correspond au total des lignes suivantes: 1, 6, 10, 15, 16, 20, EU22a, 23, 24, EU 24a, 28.</w:t>
            </w:r>
          </w:p>
        </w:tc>
      </w:tr>
    </w:tbl>
    <w:p w14:paraId="2CB62609" w14:textId="77777777" w:rsidR="00C41C25" w:rsidRPr="00452214" w:rsidRDefault="00C41C25" w:rsidP="00501CEC">
      <w:pPr>
        <w:pStyle w:val="Titlelevel2"/>
        <w:spacing w:before="120" w:after="120"/>
        <w:rPr>
          <w:rFonts w:ascii="Times New Roman" w:hAnsi="Times New Roman" w:cs="Times New Roman"/>
          <w:b/>
          <w:color w:val="auto"/>
          <w:sz w:val="24"/>
          <w:lang w:val="fr-BE"/>
        </w:rPr>
      </w:pPr>
    </w:p>
    <w:p w14:paraId="62DDE9E1" w14:textId="413A13B5" w:rsidR="00501CEC" w:rsidRPr="00232C88" w:rsidRDefault="00BD36EC" w:rsidP="00501CEC">
      <w:pPr>
        <w:pStyle w:val="Titlelevel2"/>
        <w:spacing w:before="120" w:after="120"/>
        <w:rPr>
          <w:rFonts w:ascii="Times New Roman" w:hAnsi="Times New Roman" w:cs="Times New Roman"/>
          <w:color w:val="auto"/>
          <w:sz w:val="24"/>
        </w:rPr>
      </w:pPr>
      <w:r>
        <w:rPr>
          <w:rFonts w:ascii="Times New Roman" w:hAnsi="Times New Roman"/>
          <w:b/>
          <w:color w:val="auto"/>
          <w:sz w:val="24"/>
        </w:rPr>
        <w:t xml:space="preserve">Modèle EU KM1 – Modèle pour les indicateurs clés </w:t>
      </w:r>
      <w:r>
        <w:rPr>
          <w:rFonts w:ascii="Times New Roman" w:hAnsi="Times New Roman"/>
          <w:color w:val="auto"/>
          <w:sz w:val="24"/>
        </w:rPr>
        <w:t>Format fixe</w:t>
      </w:r>
    </w:p>
    <w:p w14:paraId="3394DDC1" w14:textId="5684B976" w:rsidR="00A919FB" w:rsidRPr="00232C88" w:rsidRDefault="00C41C25" w:rsidP="00254EDB">
      <w:pPr>
        <w:pStyle w:val="Titlelevel2"/>
        <w:numPr>
          <w:ilvl w:val="0"/>
          <w:numId w:val="14"/>
        </w:numPr>
        <w:spacing w:before="120" w:after="120"/>
        <w:jc w:val="both"/>
        <w:rPr>
          <w:rFonts w:ascii="Times New Roman" w:hAnsi="Times New Roman" w:cs="Times New Roman"/>
          <w:b/>
          <w:color w:val="auto"/>
          <w:sz w:val="24"/>
        </w:rPr>
      </w:pPr>
      <w:r>
        <w:rPr>
          <w:rFonts w:ascii="Times New Roman" w:hAnsi="Times New Roman"/>
          <w:color w:val="auto"/>
          <w:sz w:val="24"/>
        </w:rPr>
        <w:t>Les établissements appliquent les instructions fournies ci-dessous dans la présente annexe pour compléter le modèle EU KM1 présenté à l’annexe I des solutions informatiques de l</w:t>
      </w:r>
      <w:r w:rsidR="0057717F">
        <w:rPr>
          <w:rFonts w:ascii="Times New Roman" w:hAnsi="Times New Roman"/>
          <w:color w:val="auto"/>
          <w:sz w:val="24"/>
        </w:rPr>
        <w:t>’</w:t>
      </w:r>
      <w:r>
        <w:rPr>
          <w:rFonts w:ascii="Times New Roman" w:hAnsi="Times New Roman"/>
          <w:color w:val="auto"/>
          <w:sz w:val="24"/>
        </w:rPr>
        <w:t>ABE, en application de l’article 447, points a) à g), du règlement (UE) nº 575/2013, et de l’article 438, point b), du règlement (UE) nº 575/2013.</w:t>
      </w:r>
      <w:r>
        <w:rPr>
          <w:rFonts w:ascii="Times New Roman" w:hAnsi="Times New Roman"/>
          <w:b/>
          <w:color w:val="auto"/>
          <w:sz w:val="24"/>
        </w:rPr>
        <w:t xml:space="preserve"> </w:t>
      </w:r>
    </w:p>
    <w:p w14:paraId="61B6BC46" w14:textId="4370DEB2" w:rsidR="0CF4BDBF" w:rsidRPr="00452214" w:rsidRDefault="0CF4BDBF" w:rsidP="0CF4BDBF">
      <w:pPr>
        <w:pStyle w:val="Titlelevel2"/>
        <w:spacing w:before="120" w:after="120" w:line="259" w:lineRule="auto"/>
        <w:ind w:left="720"/>
        <w:jc w:val="both"/>
        <w:rPr>
          <w:rFonts w:ascii="Times New Roman" w:eastAsia="Times New Roman" w:hAnsi="Times New Roman" w:cs="Times New Roman"/>
          <w:bCs w:val="0"/>
          <w:color w:val="auto"/>
          <w:sz w:val="24"/>
          <w:lang w:val="fr-BE"/>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32C88" w:rsidRPr="00232C88" w14:paraId="74C38E09" w14:textId="77777777" w:rsidTr="65F04A31">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0C025D" w14:textId="77777777" w:rsidR="00A919FB" w:rsidRPr="00232C88" w:rsidRDefault="00A919FB" w:rsidP="00B2180A">
            <w:pPr>
              <w:rPr>
                <w:rFonts w:ascii="Times New Roman" w:hAnsi="Times New Roman" w:cs="Times New Roman"/>
                <w:b/>
                <w:sz w:val="24"/>
              </w:rPr>
            </w:pPr>
            <w:r>
              <w:rPr>
                <w:rFonts w:ascii="Times New Roman" w:hAnsi="Times New Roman"/>
                <w:b/>
                <w:sz w:val="24"/>
              </w:rPr>
              <w:t>Références juridiques et instructions</w:t>
            </w:r>
          </w:p>
        </w:tc>
      </w:tr>
      <w:tr w:rsidR="00232C88" w:rsidRPr="00232C88" w14:paraId="00B30D91" w14:textId="77777777" w:rsidTr="65F04A31">
        <w:trPr>
          <w:trHeight w:val="238"/>
        </w:trPr>
        <w:tc>
          <w:tcPr>
            <w:tcW w:w="1384" w:type="dxa"/>
            <w:shd w:val="clear" w:color="auto" w:fill="D9D9D9" w:themeFill="background1" w:themeFillShade="D9"/>
          </w:tcPr>
          <w:p w14:paraId="0D2CF0F9" w14:textId="77777777" w:rsidR="00A919FB" w:rsidRPr="00232C88" w:rsidRDefault="00A919FB" w:rsidP="00003BF5">
            <w:pPr>
              <w:autoSpaceDE w:val="0"/>
              <w:autoSpaceDN w:val="0"/>
              <w:adjustRightInd w:val="0"/>
              <w:rPr>
                <w:rFonts w:ascii="Times New Roman" w:hAnsi="Times New Roman" w:cs="Times New Roman"/>
                <w:b/>
                <w:sz w:val="24"/>
              </w:rPr>
            </w:pPr>
            <w:r>
              <w:rPr>
                <w:rFonts w:ascii="Times New Roman" w:hAnsi="Times New Roman"/>
                <w:b/>
                <w:sz w:val="24"/>
              </w:rPr>
              <w:t>Numéro de la colonne</w:t>
            </w:r>
          </w:p>
        </w:tc>
        <w:tc>
          <w:tcPr>
            <w:tcW w:w="7655" w:type="dxa"/>
            <w:shd w:val="clear" w:color="auto" w:fill="D9D9D9" w:themeFill="background1" w:themeFillShade="D9"/>
          </w:tcPr>
          <w:p w14:paraId="1025441F" w14:textId="77777777" w:rsidR="00A919FB" w:rsidRPr="00232C88" w:rsidRDefault="00A919FB" w:rsidP="00B2180A">
            <w:pPr>
              <w:autoSpaceDE w:val="0"/>
              <w:autoSpaceDN w:val="0"/>
              <w:adjustRightInd w:val="0"/>
              <w:rPr>
                <w:rFonts w:ascii="Times New Roman" w:hAnsi="Times New Roman" w:cs="Times New Roman"/>
                <w:sz w:val="24"/>
              </w:rPr>
            </w:pPr>
            <w:r>
              <w:rPr>
                <w:rFonts w:ascii="Times New Roman" w:hAnsi="Times New Roman"/>
                <w:b/>
                <w:sz w:val="24"/>
              </w:rPr>
              <w:t>Explication</w:t>
            </w:r>
          </w:p>
        </w:tc>
      </w:tr>
      <w:tr w:rsidR="00232C88" w:rsidRPr="00232C88" w14:paraId="3B18CFED" w14:textId="77777777" w:rsidTr="65F04A31">
        <w:trPr>
          <w:trHeight w:val="680"/>
        </w:trPr>
        <w:tc>
          <w:tcPr>
            <w:tcW w:w="1384" w:type="dxa"/>
          </w:tcPr>
          <w:p w14:paraId="701C1EE8" w14:textId="6F399A6C" w:rsidR="00A919FB" w:rsidRPr="00232C88" w:rsidRDefault="00003BF5" w:rsidP="00B2180A">
            <w:pPr>
              <w:pStyle w:val="Applicationdirecte"/>
              <w:spacing w:before="60"/>
              <w:jc w:val="center"/>
            </w:pPr>
            <w:r>
              <w:t xml:space="preserve">a </w:t>
            </w:r>
            <w:r w:rsidR="0057717F">
              <w:t>—</w:t>
            </w:r>
            <w:r>
              <w:t xml:space="preserve"> e</w:t>
            </w:r>
          </w:p>
        </w:tc>
        <w:tc>
          <w:tcPr>
            <w:tcW w:w="7655" w:type="dxa"/>
            <w:vAlign w:val="center"/>
          </w:tcPr>
          <w:p w14:paraId="01DAA312" w14:textId="53CA3AA7" w:rsidR="00A919FB" w:rsidRPr="00232C88" w:rsidRDefault="00187C4B" w:rsidP="00A919FB">
            <w:pPr>
              <w:spacing w:before="60" w:after="120"/>
              <w:jc w:val="both"/>
              <w:rPr>
                <w:rFonts w:ascii="Times New Roman" w:hAnsi="Times New Roman" w:cs="Times New Roman"/>
                <w:sz w:val="24"/>
              </w:rPr>
            </w:pPr>
            <w:r>
              <w:rPr>
                <w:rFonts w:ascii="Times New Roman" w:hAnsi="Times New Roman"/>
                <w:sz w:val="24"/>
              </w:rPr>
              <w:t xml:space="preserve">Les périodes de publication T, T-1, T-2, T-3 et T-4 sont définies comme des périodes trimestrielles et seront remplies selon la fréquence fixée par les articles 433, 433 </w:t>
            </w:r>
            <w:r>
              <w:rPr>
                <w:rFonts w:ascii="Times New Roman" w:hAnsi="Times New Roman"/>
                <w:i/>
                <w:sz w:val="24"/>
              </w:rPr>
              <w:t>bis</w:t>
            </w:r>
            <w:r>
              <w:rPr>
                <w:rFonts w:ascii="Times New Roman" w:hAnsi="Times New Roman"/>
                <w:sz w:val="24"/>
              </w:rPr>
              <w:t xml:space="preserve">, 433 </w:t>
            </w:r>
            <w:r>
              <w:rPr>
                <w:rFonts w:ascii="Times New Roman" w:hAnsi="Times New Roman"/>
                <w:i/>
                <w:sz w:val="24"/>
              </w:rPr>
              <w:t>ter</w:t>
            </w:r>
            <w:r>
              <w:rPr>
                <w:rFonts w:ascii="Times New Roman" w:hAnsi="Times New Roman"/>
                <w:sz w:val="24"/>
              </w:rPr>
              <w:t xml:space="preserve"> et 433 </w:t>
            </w:r>
            <w:r>
              <w:rPr>
                <w:rFonts w:ascii="Times New Roman" w:hAnsi="Times New Roman"/>
                <w:i/>
                <w:sz w:val="24"/>
              </w:rPr>
              <w:t>quater</w:t>
            </w:r>
            <w:r>
              <w:rPr>
                <w:rFonts w:ascii="Times New Roman" w:hAnsi="Times New Roman"/>
                <w:sz w:val="24"/>
              </w:rPr>
              <w:t xml:space="preserve"> du règlement (UE) nº 575/2013.</w:t>
            </w:r>
          </w:p>
          <w:p w14:paraId="3BAEA110" w14:textId="7DE115C7" w:rsidR="00A919FB" w:rsidRPr="00232C88" w:rsidRDefault="00A919FB" w:rsidP="00A919FB">
            <w:pPr>
              <w:spacing w:before="60" w:after="120"/>
              <w:jc w:val="both"/>
              <w:rPr>
                <w:rFonts w:ascii="Times New Roman" w:hAnsi="Times New Roman" w:cs="Times New Roman"/>
                <w:sz w:val="24"/>
              </w:rPr>
            </w:pPr>
            <w:r>
              <w:rPr>
                <w:rFonts w:ascii="Times New Roman" w:hAnsi="Times New Roman"/>
                <w:sz w:val="24"/>
              </w:rPr>
              <w:t>Les établissements qui publient les informations indiquées dans ce modèle sur une base trimestrielle fournissent des données pour les périodes T, T-1, T-2, T-3 et T-4; les établissements qui publient les informations indiquées dans ce modèle deux fois par an fournissent des données pour les périodes T, T-2 et T-4; et les établissements qui publient les informations indiquées dans ce modèle chaque année fournissent des données pour les périodes T et T-4.</w:t>
            </w:r>
          </w:p>
          <w:p w14:paraId="3565AD25" w14:textId="00DB4F0F" w:rsidR="00A919FB" w:rsidRPr="00232C88" w:rsidRDefault="00A919FB" w:rsidP="00A919FB">
            <w:pPr>
              <w:spacing w:before="60" w:after="120"/>
              <w:jc w:val="both"/>
              <w:rPr>
                <w:rFonts w:ascii="Times New Roman" w:hAnsi="Times New Roman" w:cs="Times New Roman"/>
                <w:sz w:val="24"/>
              </w:rPr>
            </w:pPr>
            <w:r>
              <w:rPr>
                <w:rFonts w:ascii="Times New Roman" w:hAnsi="Times New Roman"/>
                <w:sz w:val="24"/>
              </w:rPr>
              <w:t>Les établissements indiquent les dates correspondant aux périodes de publication.</w:t>
            </w:r>
          </w:p>
          <w:p w14:paraId="18B0361E" w14:textId="77777777" w:rsidR="00A919FB" w:rsidRPr="00232C88" w:rsidRDefault="00A919FB" w:rsidP="00C0296F">
            <w:pPr>
              <w:spacing w:before="60" w:after="120"/>
              <w:jc w:val="both"/>
              <w:rPr>
                <w:rFonts w:ascii="Times New Roman" w:hAnsi="Times New Roman" w:cs="Times New Roman"/>
                <w:sz w:val="24"/>
              </w:rPr>
            </w:pPr>
            <w:r>
              <w:rPr>
                <w:rFonts w:ascii="Times New Roman" w:hAnsi="Times New Roman"/>
                <w:sz w:val="24"/>
              </w:rPr>
              <w:t xml:space="preserve">La publication de données relatives à des périodes antérieures n’est pas nécessaire lorsque les données sont publiées pour la première fois. </w:t>
            </w:r>
          </w:p>
        </w:tc>
      </w:tr>
      <w:tr w:rsidR="00232C88" w:rsidRPr="00232C88" w14:paraId="50208CE7" w14:textId="77777777" w:rsidTr="65F04A31">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1ED8553" w14:textId="77777777" w:rsidR="00A919FB" w:rsidRPr="00232C88" w:rsidRDefault="00A919FB" w:rsidP="00B2180A">
            <w:pPr>
              <w:rPr>
                <w:rFonts w:ascii="Times New Roman" w:hAnsi="Times New Roman" w:cs="Times New Roman"/>
                <w:b/>
                <w:sz w:val="24"/>
              </w:rPr>
            </w:pPr>
            <w:r>
              <w:rPr>
                <w:rFonts w:ascii="Times New Roman" w:hAnsi="Times New Roman"/>
                <w:b/>
                <w:sz w:val="24"/>
              </w:rPr>
              <w:t>Références juridiques et instructions</w:t>
            </w:r>
          </w:p>
        </w:tc>
      </w:tr>
      <w:tr w:rsidR="00232C88" w:rsidRPr="00232C88" w14:paraId="1B35CC72" w14:textId="77777777" w:rsidTr="65F04A31">
        <w:trPr>
          <w:trHeight w:val="238"/>
        </w:trPr>
        <w:tc>
          <w:tcPr>
            <w:tcW w:w="1384" w:type="dxa"/>
            <w:shd w:val="clear" w:color="auto" w:fill="D9D9D9" w:themeFill="background1" w:themeFillShade="D9"/>
          </w:tcPr>
          <w:p w14:paraId="0BCA6C43" w14:textId="77777777" w:rsidR="00A919FB" w:rsidRPr="00232C88" w:rsidRDefault="00A919FB" w:rsidP="00B2180A">
            <w:pPr>
              <w:autoSpaceDE w:val="0"/>
              <w:autoSpaceDN w:val="0"/>
              <w:adjustRightInd w:val="0"/>
              <w:rPr>
                <w:rFonts w:ascii="Times New Roman" w:hAnsi="Times New Roman" w:cs="Times New Roman"/>
                <w:b/>
                <w:sz w:val="24"/>
              </w:rPr>
            </w:pPr>
            <w:r>
              <w:rPr>
                <w:rFonts w:ascii="Times New Roman" w:hAnsi="Times New Roman"/>
                <w:b/>
                <w:sz w:val="24"/>
              </w:rPr>
              <w:t>Numéro de la ligne</w:t>
            </w:r>
          </w:p>
        </w:tc>
        <w:tc>
          <w:tcPr>
            <w:tcW w:w="7655" w:type="dxa"/>
            <w:shd w:val="clear" w:color="auto" w:fill="D9D9D9" w:themeFill="background1" w:themeFillShade="D9"/>
          </w:tcPr>
          <w:p w14:paraId="6FA800DB" w14:textId="77777777" w:rsidR="00A919FB" w:rsidRPr="00232C88" w:rsidRDefault="00A919FB" w:rsidP="00B2180A">
            <w:pPr>
              <w:autoSpaceDE w:val="0"/>
              <w:autoSpaceDN w:val="0"/>
              <w:adjustRightInd w:val="0"/>
              <w:rPr>
                <w:rFonts w:ascii="Times New Roman" w:hAnsi="Times New Roman" w:cs="Times New Roman"/>
                <w:sz w:val="24"/>
              </w:rPr>
            </w:pPr>
            <w:r>
              <w:rPr>
                <w:rFonts w:ascii="Times New Roman" w:hAnsi="Times New Roman"/>
                <w:b/>
                <w:sz w:val="24"/>
              </w:rPr>
              <w:t>Explication</w:t>
            </w:r>
          </w:p>
        </w:tc>
      </w:tr>
      <w:tr w:rsidR="00232C88" w:rsidRPr="00232C88" w14:paraId="09F40871" w14:textId="77777777" w:rsidTr="65F04A31">
        <w:trPr>
          <w:trHeight w:val="680"/>
        </w:trPr>
        <w:tc>
          <w:tcPr>
            <w:tcW w:w="1384" w:type="dxa"/>
          </w:tcPr>
          <w:p w14:paraId="79F0E0B1" w14:textId="77777777" w:rsidR="00EC3DC7" w:rsidRPr="00232C88" w:rsidRDefault="00EC3DC7" w:rsidP="00EC3DC7">
            <w:pPr>
              <w:pStyle w:val="Applicationdirecte"/>
              <w:spacing w:before="60"/>
              <w:jc w:val="center"/>
            </w:pPr>
            <w:r>
              <w:t>1</w:t>
            </w:r>
          </w:p>
        </w:tc>
        <w:tc>
          <w:tcPr>
            <w:tcW w:w="7655" w:type="dxa"/>
          </w:tcPr>
          <w:p w14:paraId="28E8D7BE" w14:textId="77777777" w:rsidR="00EC3DC7" w:rsidRPr="00232C88" w:rsidRDefault="00EC3DC7" w:rsidP="00EC3DC7">
            <w:pPr>
              <w:spacing w:before="60" w:after="120"/>
              <w:jc w:val="both"/>
              <w:rPr>
                <w:rFonts w:ascii="Times New Roman" w:hAnsi="Times New Roman" w:cs="Times New Roman"/>
                <w:b/>
                <w:sz w:val="24"/>
              </w:rPr>
            </w:pPr>
            <w:r>
              <w:rPr>
                <w:rFonts w:ascii="Times New Roman" w:hAnsi="Times New Roman"/>
                <w:b/>
                <w:sz w:val="24"/>
              </w:rPr>
              <w:t>Fonds propres de base de catégorie 1 (CET1)</w:t>
            </w:r>
          </w:p>
          <w:p w14:paraId="07A96E2A" w14:textId="0A8C5837" w:rsidR="00EC3DC7" w:rsidRPr="00232C88" w:rsidRDefault="00EC3DC7" w:rsidP="00BD5160">
            <w:pPr>
              <w:spacing w:before="60" w:after="120"/>
              <w:jc w:val="both"/>
              <w:rPr>
                <w:rFonts w:ascii="Times New Roman" w:hAnsi="Times New Roman" w:cs="Times New Roman"/>
                <w:sz w:val="24"/>
              </w:rPr>
            </w:pPr>
            <w:r>
              <w:rPr>
                <w:rFonts w:ascii="Times New Roman" w:hAnsi="Times New Roman"/>
                <w:sz w:val="24"/>
              </w:rPr>
              <w:t>Le montant des fonds propres CET1 est le montant communiqué par les établissements à l’annexe VII des solutions informatiques de l</w:t>
            </w:r>
            <w:r w:rsidR="0057717F">
              <w:rPr>
                <w:rFonts w:ascii="Times New Roman" w:hAnsi="Times New Roman"/>
                <w:sz w:val="24"/>
              </w:rPr>
              <w:t>’</w:t>
            </w:r>
            <w:r>
              <w:rPr>
                <w:rFonts w:ascii="Times New Roman" w:hAnsi="Times New Roman"/>
                <w:sz w:val="24"/>
              </w:rPr>
              <w:t>ABE (ligne 29 du modèle EU CC1 Composition des fonds propres réglementaires)</w:t>
            </w:r>
          </w:p>
        </w:tc>
      </w:tr>
      <w:tr w:rsidR="00232C88" w:rsidRPr="00232C88" w14:paraId="4CB4023A" w14:textId="77777777" w:rsidTr="65F04A31">
        <w:trPr>
          <w:trHeight w:val="436"/>
        </w:trPr>
        <w:tc>
          <w:tcPr>
            <w:tcW w:w="1384" w:type="dxa"/>
          </w:tcPr>
          <w:p w14:paraId="71F49FF4" w14:textId="77777777" w:rsidR="00EC3DC7" w:rsidRPr="00232C88" w:rsidRDefault="00EC3DC7" w:rsidP="00EC3DC7">
            <w:pPr>
              <w:pStyle w:val="Applicationdirecte"/>
              <w:spacing w:before="60"/>
              <w:jc w:val="center"/>
            </w:pPr>
            <w:r>
              <w:t>2</w:t>
            </w:r>
          </w:p>
        </w:tc>
        <w:tc>
          <w:tcPr>
            <w:tcW w:w="7655" w:type="dxa"/>
          </w:tcPr>
          <w:p w14:paraId="50A949BA" w14:textId="77777777" w:rsidR="00EC3DC7" w:rsidRPr="00232C88" w:rsidRDefault="00EC3DC7" w:rsidP="00EC3DC7">
            <w:pPr>
              <w:spacing w:before="60" w:after="120"/>
              <w:jc w:val="both"/>
              <w:rPr>
                <w:rFonts w:ascii="Times New Roman" w:hAnsi="Times New Roman" w:cs="Times New Roman"/>
                <w:b/>
                <w:sz w:val="24"/>
              </w:rPr>
            </w:pPr>
            <w:r>
              <w:rPr>
                <w:rFonts w:ascii="Times New Roman" w:hAnsi="Times New Roman"/>
                <w:b/>
                <w:sz w:val="24"/>
              </w:rPr>
              <w:t>Fonds propres de catégorie 1</w:t>
            </w:r>
          </w:p>
          <w:p w14:paraId="097E489A" w14:textId="1997EB77" w:rsidR="00EC3DC7" w:rsidRPr="00232C88" w:rsidRDefault="00EC3DC7" w:rsidP="00605635">
            <w:pPr>
              <w:spacing w:before="60" w:after="120"/>
              <w:jc w:val="both"/>
              <w:rPr>
                <w:rFonts w:ascii="Times New Roman" w:eastAsia="Times New Roman" w:hAnsi="Times New Roman" w:cs="Times New Roman"/>
                <w:sz w:val="24"/>
              </w:rPr>
            </w:pPr>
            <w:r>
              <w:rPr>
                <w:rFonts w:ascii="Times New Roman" w:hAnsi="Times New Roman"/>
                <w:sz w:val="24"/>
              </w:rPr>
              <w:t>Le montant des fonds propres de catégorie 1 est le montant communiqué par les établissements à l’annexe VII des solutions informatiques de l</w:t>
            </w:r>
            <w:r w:rsidR="0057717F">
              <w:rPr>
                <w:rFonts w:ascii="Times New Roman" w:hAnsi="Times New Roman"/>
                <w:sz w:val="24"/>
              </w:rPr>
              <w:t>’</w:t>
            </w:r>
            <w:r>
              <w:rPr>
                <w:rFonts w:ascii="Times New Roman" w:hAnsi="Times New Roman"/>
                <w:sz w:val="24"/>
              </w:rPr>
              <w:t>ABE (ligne 45 du modèle EU CC1 Composition des fonds propres réglementaires)</w:t>
            </w:r>
          </w:p>
        </w:tc>
      </w:tr>
      <w:tr w:rsidR="00232C88" w:rsidRPr="00232C88" w14:paraId="67C2637C" w14:textId="77777777" w:rsidTr="65F04A31">
        <w:trPr>
          <w:trHeight w:val="557"/>
        </w:trPr>
        <w:tc>
          <w:tcPr>
            <w:tcW w:w="1384" w:type="dxa"/>
          </w:tcPr>
          <w:p w14:paraId="30C65372" w14:textId="77777777" w:rsidR="00EC3DC7" w:rsidRPr="00232C88" w:rsidRDefault="009D2A94" w:rsidP="00EC3DC7">
            <w:pPr>
              <w:pStyle w:val="Applicationdirecte"/>
              <w:spacing w:before="60"/>
              <w:jc w:val="center"/>
            </w:pPr>
            <w:r>
              <w:t>3</w:t>
            </w:r>
          </w:p>
        </w:tc>
        <w:tc>
          <w:tcPr>
            <w:tcW w:w="7655" w:type="dxa"/>
          </w:tcPr>
          <w:p w14:paraId="437C173A" w14:textId="77777777" w:rsidR="009D2A94" w:rsidRPr="00232C88" w:rsidRDefault="009D2A94" w:rsidP="00EC3DC7">
            <w:pPr>
              <w:spacing w:before="60" w:after="120"/>
              <w:jc w:val="both"/>
              <w:rPr>
                <w:rFonts w:ascii="Times New Roman" w:hAnsi="Times New Roman" w:cs="Times New Roman"/>
                <w:b/>
                <w:sz w:val="24"/>
              </w:rPr>
            </w:pPr>
            <w:r>
              <w:rPr>
                <w:rFonts w:ascii="Times New Roman" w:hAnsi="Times New Roman"/>
                <w:b/>
                <w:sz w:val="24"/>
              </w:rPr>
              <w:t>Total des fonds propres</w:t>
            </w:r>
          </w:p>
          <w:p w14:paraId="0A93EB9C" w14:textId="14526FA0" w:rsidR="00EC3DC7" w:rsidRPr="00232C88" w:rsidRDefault="00EC3DC7" w:rsidP="00605635">
            <w:pPr>
              <w:spacing w:before="60" w:after="120"/>
              <w:jc w:val="both"/>
              <w:rPr>
                <w:rFonts w:ascii="Times New Roman" w:hAnsi="Times New Roman" w:cs="Times New Roman"/>
                <w:sz w:val="24"/>
              </w:rPr>
            </w:pPr>
            <w:r>
              <w:rPr>
                <w:rFonts w:ascii="Times New Roman" w:hAnsi="Times New Roman"/>
                <w:sz w:val="24"/>
              </w:rPr>
              <w:t>Le montant du total des fonds propres est le montant communiqué par les établissements à l’annexe VII des solutions informatiques de l</w:t>
            </w:r>
            <w:r w:rsidR="0057717F">
              <w:rPr>
                <w:rFonts w:ascii="Times New Roman" w:hAnsi="Times New Roman"/>
                <w:sz w:val="24"/>
              </w:rPr>
              <w:t>’</w:t>
            </w:r>
            <w:r>
              <w:rPr>
                <w:rFonts w:ascii="Times New Roman" w:hAnsi="Times New Roman"/>
                <w:sz w:val="24"/>
              </w:rPr>
              <w:t>ABE (ligne 59 du modèle EU CC1 Composition des fonds propres réglementaires)</w:t>
            </w:r>
          </w:p>
        </w:tc>
      </w:tr>
      <w:tr w:rsidR="00232C88" w:rsidRPr="00232C88" w14:paraId="30D8C6AD" w14:textId="77777777" w:rsidTr="65F04A31">
        <w:trPr>
          <w:trHeight w:val="557"/>
        </w:trPr>
        <w:tc>
          <w:tcPr>
            <w:tcW w:w="1384" w:type="dxa"/>
          </w:tcPr>
          <w:p w14:paraId="276F8582" w14:textId="77777777" w:rsidR="00EC3DC7" w:rsidRPr="00232C88" w:rsidRDefault="009D2A94" w:rsidP="00EC3DC7">
            <w:pPr>
              <w:pStyle w:val="Applicationdirecte"/>
              <w:spacing w:before="60"/>
              <w:jc w:val="center"/>
            </w:pPr>
            <w:r>
              <w:t>4</w:t>
            </w:r>
          </w:p>
        </w:tc>
        <w:tc>
          <w:tcPr>
            <w:tcW w:w="7655" w:type="dxa"/>
          </w:tcPr>
          <w:p w14:paraId="7C61908F" w14:textId="0CDC0E15" w:rsidR="009D2A94" w:rsidRPr="00232C88" w:rsidRDefault="009D2A94" w:rsidP="009D2A94">
            <w:pPr>
              <w:spacing w:before="60" w:after="120"/>
              <w:jc w:val="both"/>
              <w:rPr>
                <w:rFonts w:ascii="Times New Roman" w:hAnsi="Times New Roman" w:cs="Times New Roman"/>
                <w:b/>
                <w:sz w:val="24"/>
              </w:rPr>
            </w:pPr>
            <w:r>
              <w:rPr>
                <w:rFonts w:ascii="Times New Roman" w:hAnsi="Times New Roman"/>
                <w:b/>
                <w:sz w:val="24"/>
              </w:rPr>
              <w:t>Montant total d</w:t>
            </w:r>
            <w:r w:rsidR="0057717F">
              <w:rPr>
                <w:rFonts w:ascii="Times New Roman" w:hAnsi="Times New Roman"/>
                <w:b/>
                <w:sz w:val="24"/>
              </w:rPr>
              <w:t>’</w:t>
            </w:r>
            <w:r>
              <w:rPr>
                <w:rFonts w:ascii="Times New Roman" w:hAnsi="Times New Roman"/>
                <w:b/>
                <w:sz w:val="24"/>
              </w:rPr>
              <w:t>exposition au risque</w:t>
            </w:r>
          </w:p>
          <w:p w14:paraId="45F3B0F7" w14:textId="4DA99383" w:rsidR="00EC3DC7" w:rsidRPr="00232C88" w:rsidRDefault="00EC3DC7" w:rsidP="00402F34">
            <w:pPr>
              <w:spacing w:before="60" w:after="120"/>
              <w:jc w:val="both"/>
              <w:rPr>
                <w:rFonts w:ascii="Times New Roman" w:hAnsi="Times New Roman" w:cs="Times New Roman"/>
                <w:sz w:val="24"/>
              </w:rPr>
            </w:pPr>
            <w:r>
              <w:rPr>
                <w:rFonts w:ascii="Times New Roman" w:hAnsi="Times New Roman"/>
                <w:sz w:val="24"/>
              </w:rPr>
              <w:lastRenderedPageBreak/>
              <w:t>Le montant total d’exposition au risque (TREA) est le montant communiqué par les établissements à l’annexe VII des solutions informatiques de l</w:t>
            </w:r>
            <w:r w:rsidR="0057717F">
              <w:rPr>
                <w:rFonts w:ascii="Times New Roman" w:hAnsi="Times New Roman"/>
                <w:sz w:val="24"/>
              </w:rPr>
              <w:t>’</w:t>
            </w:r>
            <w:r>
              <w:rPr>
                <w:rFonts w:ascii="Times New Roman" w:hAnsi="Times New Roman"/>
                <w:sz w:val="24"/>
              </w:rPr>
              <w:t>ABE (ligne 60 du modèle EU CC1 Composition des fonds propres réglementaires)</w:t>
            </w:r>
          </w:p>
        </w:tc>
      </w:tr>
      <w:tr w:rsidR="00232C88" w:rsidRPr="00232C88" w14:paraId="65D7DB43" w14:textId="77777777" w:rsidTr="65F04A31">
        <w:trPr>
          <w:trHeight w:val="557"/>
        </w:trPr>
        <w:tc>
          <w:tcPr>
            <w:tcW w:w="1384" w:type="dxa"/>
          </w:tcPr>
          <w:p w14:paraId="658ACA13" w14:textId="232BF598" w:rsidR="00C77B80" w:rsidRPr="00232C88" w:rsidRDefault="00C77B80" w:rsidP="00EC3DC7">
            <w:pPr>
              <w:pStyle w:val="Applicationdirecte"/>
              <w:spacing w:before="60"/>
              <w:jc w:val="center"/>
            </w:pPr>
            <w:r>
              <w:lastRenderedPageBreak/>
              <w:t>4a</w:t>
            </w:r>
          </w:p>
        </w:tc>
        <w:tc>
          <w:tcPr>
            <w:tcW w:w="7655" w:type="dxa"/>
          </w:tcPr>
          <w:p w14:paraId="0936DD42" w14:textId="45382108" w:rsidR="00C77B80" w:rsidRPr="00232C88" w:rsidRDefault="00C77B80" w:rsidP="00475381">
            <w:pPr>
              <w:spacing w:before="60" w:after="120"/>
              <w:jc w:val="both"/>
              <w:rPr>
                <w:rFonts w:ascii="Times New Roman" w:hAnsi="Times New Roman" w:cs="Times New Roman"/>
                <w:b/>
                <w:sz w:val="24"/>
              </w:rPr>
            </w:pPr>
            <w:r>
              <w:rPr>
                <w:rFonts w:ascii="Times New Roman" w:hAnsi="Times New Roman"/>
                <w:b/>
                <w:sz w:val="24"/>
              </w:rPr>
              <w:t>Montant total d’exposition au risque pré-plancher</w:t>
            </w:r>
          </w:p>
          <w:p w14:paraId="5D48E490" w14:textId="3C0DA01E" w:rsidR="00C77B80" w:rsidRPr="00232C88" w:rsidRDefault="00C77B80" w:rsidP="00BD5160">
            <w:pPr>
              <w:spacing w:before="60" w:after="120"/>
              <w:jc w:val="both"/>
              <w:rPr>
                <w:rFonts w:ascii="Times New Roman" w:hAnsi="Times New Roman" w:cs="Times New Roman"/>
                <w:sz w:val="24"/>
              </w:rPr>
            </w:pPr>
            <w:r>
              <w:rPr>
                <w:rFonts w:ascii="Times New Roman" w:hAnsi="Times New Roman"/>
                <w:sz w:val="24"/>
              </w:rPr>
              <w:t>Pour les établissements soumis au plancher de fonds propres conformément à l</w:t>
            </w:r>
            <w:r w:rsidR="0057717F">
              <w:rPr>
                <w:rFonts w:ascii="Times New Roman" w:hAnsi="Times New Roman"/>
                <w:sz w:val="24"/>
              </w:rPr>
              <w:t>’</w:t>
            </w:r>
            <w:r>
              <w:rPr>
                <w:rFonts w:ascii="Times New Roman" w:hAnsi="Times New Roman"/>
                <w:sz w:val="24"/>
              </w:rPr>
              <w:t>article 92, paragraphe 3, du règlement (UE) nº 575/2013, le montant total d</w:t>
            </w:r>
            <w:r w:rsidR="0057717F">
              <w:rPr>
                <w:rFonts w:ascii="Times New Roman" w:hAnsi="Times New Roman"/>
                <w:sz w:val="24"/>
              </w:rPr>
              <w:t>’</w:t>
            </w:r>
            <w:r>
              <w:rPr>
                <w:rFonts w:ascii="Times New Roman" w:hAnsi="Times New Roman"/>
                <w:sz w:val="24"/>
              </w:rPr>
              <w:t>exposition au risque (TREA) pré-plancher tel que défini à l</w:t>
            </w:r>
            <w:r w:rsidR="0057717F">
              <w:rPr>
                <w:rFonts w:ascii="Times New Roman" w:hAnsi="Times New Roman"/>
                <w:sz w:val="24"/>
              </w:rPr>
              <w:t>’</w:t>
            </w:r>
            <w:r>
              <w:rPr>
                <w:rFonts w:ascii="Times New Roman" w:hAnsi="Times New Roman"/>
                <w:sz w:val="24"/>
              </w:rPr>
              <w:t xml:space="preserve">article 92, paragraphe 4, du règlement (UE) nº 575/2013. </w:t>
            </w:r>
          </w:p>
          <w:p w14:paraId="18771BA3" w14:textId="172F6544" w:rsidR="00C77B80" w:rsidRPr="00232C88" w:rsidRDefault="00C77B80" w:rsidP="00BD5160">
            <w:pPr>
              <w:spacing w:before="60" w:after="120"/>
              <w:jc w:val="both"/>
              <w:rPr>
                <w:rFonts w:ascii="Times New Roman" w:hAnsi="Times New Roman" w:cs="Times New Roman"/>
                <w:sz w:val="24"/>
              </w:rPr>
            </w:pPr>
            <w:r>
              <w:rPr>
                <w:rFonts w:ascii="Times New Roman" w:hAnsi="Times New Roman"/>
                <w:sz w:val="24"/>
              </w:rPr>
              <w:t>Pour le TREA pré-plancher, le montant communiqué doit exclure tout ajustement apporté au TREA en raison de l</w:t>
            </w:r>
            <w:r w:rsidR="0057717F">
              <w:rPr>
                <w:rFonts w:ascii="Times New Roman" w:hAnsi="Times New Roman"/>
                <w:sz w:val="24"/>
              </w:rPr>
              <w:t>’</w:t>
            </w:r>
            <w:r>
              <w:rPr>
                <w:rFonts w:ascii="Times New Roman" w:hAnsi="Times New Roman"/>
                <w:sz w:val="24"/>
              </w:rPr>
              <w:t>application du plancher de fonds propres.</w:t>
            </w:r>
          </w:p>
        </w:tc>
      </w:tr>
      <w:tr w:rsidR="00232C88" w:rsidRPr="00232C88" w14:paraId="057C7AF3" w14:textId="77777777" w:rsidTr="65F04A31">
        <w:trPr>
          <w:trHeight w:val="557"/>
        </w:trPr>
        <w:tc>
          <w:tcPr>
            <w:tcW w:w="1384" w:type="dxa"/>
          </w:tcPr>
          <w:p w14:paraId="074AB79D" w14:textId="77777777" w:rsidR="00EC3DC7" w:rsidRPr="00232C88" w:rsidRDefault="00475381" w:rsidP="00EC3DC7">
            <w:pPr>
              <w:pStyle w:val="Applicationdirecte"/>
              <w:spacing w:before="60"/>
              <w:jc w:val="center"/>
            </w:pPr>
            <w:r>
              <w:t>5</w:t>
            </w:r>
          </w:p>
        </w:tc>
        <w:tc>
          <w:tcPr>
            <w:tcW w:w="7655" w:type="dxa"/>
          </w:tcPr>
          <w:p w14:paraId="5872B091" w14:textId="77777777" w:rsidR="00475381" w:rsidRPr="00232C88" w:rsidRDefault="00475381" w:rsidP="00475381">
            <w:pPr>
              <w:spacing w:before="60" w:after="120"/>
              <w:jc w:val="both"/>
              <w:rPr>
                <w:rFonts w:ascii="Times New Roman" w:hAnsi="Times New Roman" w:cs="Times New Roman"/>
                <w:b/>
                <w:sz w:val="24"/>
              </w:rPr>
            </w:pPr>
            <w:r>
              <w:rPr>
                <w:rFonts w:ascii="Times New Roman" w:hAnsi="Times New Roman"/>
                <w:b/>
                <w:sz w:val="24"/>
              </w:rPr>
              <w:t>Ratio de fonds propres de base de catégorie 1 (%)</w:t>
            </w:r>
          </w:p>
          <w:p w14:paraId="42EC7CCC" w14:textId="695F2534" w:rsidR="00EC3DC7" w:rsidRPr="00232C88" w:rsidRDefault="00EC3DC7" w:rsidP="00605635">
            <w:pPr>
              <w:spacing w:before="60" w:after="120"/>
              <w:jc w:val="both"/>
              <w:rPr>
                <w:rFonts w:ascii="Times New Roman" w:hAnsi="Times New Roman" w:cs="Times New Roman"/>
                <w:sz w:val="24"/>
              </w:rPr>
            </w:pPr>
            <w:r>
              <w:rPr>
                <w:rFonts w:ascii="Times New Roman" w:hAnsi="Times New Roman"/>
                <w:sz w:val="24"/>
              </w:rPr>
              <w:t>Le ratio de fonds propres CET1 est la valeur communiquée par les établissements à l’annexe VII des solutions informatiques de l</w:t>
            </w:r>
            <w:r w:rsidR="0057717F">
              <w:rPr>
                <w:rFonts w:ascii="Times New Roman" w:hAnsi="Times New Roman"/>
                <w:sz w:val="24"/>
              </w:rPr>
              <w:t>’</w:t>
            </w:r>
            <w:r>
              <w:rPr>
                <w:rFonts w:ascii="Times New Roman" w:hAnsi="Times New Roman"/>
                <w:sz w:val="24"/>
              </w:rPr>
              <w:t>ABE (ligne 61 du modèle EU CC1 Composition des fonds propres réglementaires)</w:t>
            </w:r>
          </w:p>
        </w:tc>
      </w:tr>
      <w:tr w:rsidR="00232C88" w:rsidRPr="00232C88" w14:paraId="268CA2C6" w14:textId="77777777" w:rsidTr="00B06E31">
        <w:trPr>
          <w:trHeight w:val="557"/>
        </w:trPr>
        <w:tc>
          <w:tcPr>
            <w:tcW w:w="1384" w:type="dxa"/>
            <w:shd w:val="clear" w:color="auto" w:fill="D9D9D9" w:themeFill="background1" w:themeFillShade="D9"/>
          </w:tcPr>
          <w:p w14:paraId="53CDC94A" w14:textId="04453DC9" w:rsidR="00C77B80" w:rsidRPr="00232C88" w:rsidRDefault="00C77B80" w:rsidP="00EC3DC7">
            <w:pPr>
              <w:pStyle w:val="Applicationdirecte"/>
              <w:spacing w:before="60"/>
              <w:jc w:val="center"/>
            </w:pPr>
            <w:r>
              <w:t>5a</w:t>
            </w:r>
          </w:p>
        </w:tc>
        <w:tc>
          <w:tcPr>
            <w:tcW w:w="7655" w:type="dxa"/>
            <w:shd w:val="clear" w:color="auto" w:fill="D9D9D9" w:themeFill="background1" w:themeFillShade="D9"/>
          </w:tcPr>
          <w:p w14:paraId="18B00FA6" w14:textId="7901F06D" w:rsidR="00C77B80" w:rsidRPr="00232C88" w:rsidRDefault="00C77B80" w:rsidP="00475381">
            <w:pPr>
              <w:spacing w:before="60" w:after="120"/>
              <w:jc w:val="both"/>
              <w:rPr>
                <w:rFonts w:ascii="Times New Roman" w:hAnsi="Times New Roman" w:cs="Times New Roman"/>
                <w:b/>
                <w:sz w:val="24"/>
              </w:rPr>
            </w:pPr>
            <w:r>
              <w:rPr>
                <w:rFonts w:ascii="Times New Roman" w:hAnsi="Times New Roman"/>
              </w:rPr>
              <w:t>Sans objet</w:t>
            </w:r>
          </w:p>
        </w:tc>
      </w:tr>
      <w:tr w:rsidR="00232C88" w:rsidRPr="00232C88" w14:paraId="0ED2B537" w14:textId="77777777" w:rsidTr="65F04A31">
        <w:trPr>
          <w:trHeight w:val="557"/>
        </w:trPr>
        <w:tc>
          <w:tcPr>
            <w:tcW w:w="1384" w:type="dxa"/>
          </w:tcPr>
          <w:p w14:paraId="356C5555" w14:textId="4C703E43" w:rsidR="00C77B80" w:rsidRPr="00232C88" w:rsidRDefault="00C77B80" w:rsidP="00EC3DC7">
            <w:pPr>
              <w:pStyle w:val="Applicationdirecte"/>
              <w:spacing w:before="60"/>
              <w:jc w:val="center"/>
            </w:pPr>
            <w:r>
              <w:t>5b</w:t>
            </w:r>
          </w:p>
        </w:tc>
        <w:tc>
          <w:tcPr>
            <w:tcW w:w="7655" w:type="dxa"/>
          </w:tcPr>
          <w:p w14:paraId="74894655" w14:textId="1A88B999" w:rsidR="0082753B" w:rsidRPr="00232C88" w:rsidRDefault="0082753B" w:rsidP="00475381">
            <w:pPr>
              <w:spacing w:before="60" w:after="120"/>
              <w:jc w:val="both"/>
              <w:rPr>
                <w:rFonts w:ascii="Times New Roman" w:hAnsi="Times New Roman" w:cs="Times New Roman"/>
                <w:b/>
                <w:sz w:val="24"/>
              </w:rPr>
            </w:pPr>
            <w:r>
              <w:rPr>
                <w:rFonts w:ascii="Times New Roman" w:hAnsi="Times New Roman"/>
                <w:b/>
                <w:sz w:val="24"/>
              </w:rPr>
              <w:t xml:space="preserve">Ratio de fonds propres de base de catégorie 1 par rapport au TREA sans application du plancher (%) </w:t>
            </w:r>
          </w:p>
          <w:p w14:paraId="18127CE4" w14:textId="739FD356" w:rsidR="00C77B80" w:rsidRPr="00232C88" w:rsidRDefault="0082753B" w:rsidP="00BD5160">
            <w:pPr>
              <w:spacing w:before="60" w:after="120"/>
              <w:jc w:val="both"/>
              <w:rPr>
                <w:rFonts w:ascii="Times New Roman" w:hAnsi="Times New Roman" w:cs="Times New Roman"/>
                <w:sz w:val="24"/>
              </w:rPr>
            </w:pPr>
            <w:r>
              <w:rPr>
                <w:rFonts w:ascii="Times New Roman" w:hAnsi="Times New Roman"/>
                <w:sz w:val="24"/>
              </w:rPr>
              <w:t>Ratio de fonds propres CET1 tel que défini à l</w:t>
            </w:r>
            <w:r w:rsidR="0057717F">
              <w:rPr>
                <w:rFonts w:ascii="Times New Roman" w:hAnsi="Times New Roman"/>
                <w:sz w:val="24"/>
              </w:rPr>
              <w:t>’</w:t>
            </w:r>
            <w:r>
              <w:rPr>
                <w:rFonts w:ascii="Times New Roman" w:hAnsi="Times New Roman"/>
                <w:sz w:val="24"/>
              </w:rPr>
              <w:t>article 92, paragraphe 2, point a), du règlement (UE) nº 575/2013, exprimé en pourcentage du montant total d</w:t>
            </w:r>
            <w:r w:rsidR="0057717F">
              <w:rPr>
                <w:rFonts w:ascii="Times New Roman" w:hAnsi="Times New Roman"/>
                <w:sz w:val="24"/>
              </w:rPr>
              <w:t>’</w:t>
            </w:r>
            <w:r>
              <w:rPr>
                <w:rFonts w:ascii="Times New Roman" w:hAnsi="Times New Roman"/>
                <w:sz w:val="24"/>
              </w:rPr>
              <w:t>exposition au risque calculé en excluant l</w:t>
            </w:r>
            <w:r w:rsidR="0057717F">
              <w:rPr>
                <w:rFonts w:ascii="Times New Roman" w:hAnsi="Times New Roman"/>
                <w:sz w:val="24"/>
              </w:rPr>
              <w:t>’</w:t>
            </w:r>
            <w:r>
              <w:rPr>
                <w:rFonts w:ascii="Times New Roman" w:hAnsi="Times New Roman"/>
                <w:sz w:val="24"/>
              </w:rPr>
              <w:t>impact du plancher de fonds propres, conformément à l</w:t>
            </w:r>
            <w:r w:rsidR="0057717F">
              <w:rPr>
                <w:rFonts w:ascii="Times New Roman" w:hAnsi="Times New Roman"/>
                <w:sz w:val="24"/>
              </w:rPr>
              <w:t>’</w:t>
            </w:r>
            <w:r>
              <w:rPr>
                <w:rFonts w:ascii="Times New Roman" w:hAnsi="Times New Roman"/>
                <w:sz w:val="24"/>
              </w:rPr>
              <w:t>article 92, paragraphe 4, du règlement (UE) nº 575/2013.</w:t>
            </w:r>
          </w:p>
        </w:tc>
      </w:tr>
      <w:tr w:rsidR="00232C88" w:rsidRPr="00232C88" w14:paraId="7836A7D8" w14:textId="77777777" w:rsidTr="65F04A31">
        <w:trPr>
          <w:trHeight w:val="557"/>
        </w:trPr>
        <w:tc>
          <w:tcPr>
            <w:tcW w:w="1384" w:type="dxa"/>
          </w:tcPr>
          <w:p w14:paraId="138571C7" w14:textId="77777777" w:rsidR="00EC3DC7" w:rsidRPr="00232C88" w:rsidRDefault="00475381" w:rsidP="00EC3DC7">
            <w:pPr>
              <w:pStyle w:val="Applicationdirecte"/>
              <w:spacing w:before="60"/>
              <w:jc w:val="center"/>
            </w:pPr>
            <w:r>
              <w:t>6</w:t>
            </w:r>
          </w:p>
        </w:tc>
        <w:tc>
          <w:tcPr>
            <w:tcW w:w="7655" w:type="dxa"/>
          </w:tcPr>
          <w:p w14:paraId="016AAD4C" w14:textId="77777777" w:rsidR="00475381" w:rsidRPr="00232C88" w:rsidRDefault="00475381" w:rsidP="00EC3DC7">
            <w:pPr>
              <w:spacing w:before="60" w:after="120"/>
              <w:jc w:val="both"/>
              <w:rPr>
                <w:rFonts w:ascii="Times New Roman" w:hAnsi="Times New Roman" w:cs="Times New Roman"/>
                <w:b/>
                <w:sz w:val="24"/>
              </w:rPr>
            </w:pPr>
            <w:r>
              <w:rPr>
                <w:rFonts w:ascii="Times New Roman" w:hAnsi="Times New Roman"/>
                <w:b/>
                <w:sz w:val="24"/>
              </w:rPr>
              <w:t>Ratio de fonds propres de catégorie 1 (%)</w:t>
            </w:r>
          </w:p>
          <w:p w14:paraId="7486F374" w14:textId="003BA093" w:rsidR="00EC3DC7" w:rsidRPr="00232C88" w:rsidRDefault="00EC3DC7" w:rsidP="00605635">
            <w:pPr>
              <w:spacing w:before="60" w:after="120"/>
              <w:jc w:val="both"/>
              <w:rPr>
                <w:rFonts w:ascii="Times New Roman" w:hAnsi="Times New Roman" w:cs="Times New Roman"/>
                <w:sz w:val="24"/>
              </w:rPr>
            </w:pPr>
            <w:r>
              <w:rPr>
                <w:rFonts w:ascii="Times New Roman" w:hAnsi="Times New Roman"/>
                <w:sz w:val="24"/>
              </w:rPr>
              <w:t>Le ratio de fonds propres de catégorie 1 est la valeur communiquée par les établissements à l’annexe VII des solutions informatiques de l</w:t>
            </w:r>
            <w:r w:rsidR="0057717F">
              <w:rPr>
                <w:rFonts w:ascii="Times New Roman" w:hAnsi="Times New Roman"/>
                <w:sz w:val="24"/>
              </w:rPr>
              <w:t>’</w:t>
            </w:r>
            <w:r>
              <w:rPr>
                <w:rFonts w:ascii="Times New Roman" w:hAnsi="Times New Roman"/>
                <w:sz w:val="24"/>
              </w:rPr>
              <w:t>ABE (ligne 62 du modèle EU CC1 Composition des fonds propres réglementaires)</w:t>
            </w:r>
          </w:p>
        </w:tc>
      </w:tr>
      <w:tr w:rsidR="00232C88" w:rsidRPr="00232C88" w14:paraId="51663248" w14:textId="77777777" w:rsidTr="00CC6BF2">
        <w:trPr>
          <w:trHeight w:val="557"/>
        </w:trPr>
        <w:tc>
          <w:tcPr>
            <w:tcW w:w="1384" w:type="dxa"/>
            <w:shd w:val="clear" w:color="auto" w:fill="D9D9D9" w:themeFill="background1" w:themeFillShade="D9"/>
          </w:tcPr>
          <w:p w14:paraId="0A767DCA" w14:textId="3ED65D39" w:rsidR="00C77B80" w:rsidRPr="00232C88" w:rsidRDefault="00C77B80" w:rsidP="00EC3DC7">
            <w:pPr>
              <w:pStyle w:val="Applicationdirecte"/>
              <w:spacing w:before="60"/>
              <w:jc w:val="center"/>
            </w:pPr>
            <w:r>
              <w:t>6a</w:t>
            </w:r>
          </w:p>
        </w:tc>
        <w:tc>
          <w:tcPr>
            <w:tcW w:w="7655" w:type="dxa"/>
            <w:shd w:val="clear" w:color="auto" w:fill="D9D9D9" w:themeFill="background1" w:themeFillShade="D9"/>
          </w:tcPr>
          <w:p w14:paraId="7EC47051" w14:textId="58A40805" w:rsidR="00C77B80" w:rsidRPr="00232C88" w:rsidRDefault="00C77B80" w:rsidP="00EC3DC7">
            <w:pPr>
              <w:spacing w:before="60" w:after="120"/>
              <w:jc w:val="both"/>
              <w:rPr>
                <w:rFonts w:ascii="Times New Roman" w:hAnsi="Times New Roman" w:cs="Times New Roman"/>
                <w:b/>
                <w:sz w:val="24"/>
              </w:rPr>
            </w:pPr>
            <w:r>
              <w:rPr>
                <w:rFonts w:ascii="Times New Roman" w:hAnsi="Times New Roman"/>
              </w:rPr>
              <w:t>Sans objet</w:t>
            </w:r>
          </w:p>
        </w:tc>
      </w:tr>
      <w:tr w:rsidR="00232C88" w:rsidRPr="00232C88" w14:paraId="65A04AA6" w14:textId="77777777" w:rsidTr="65F04A31">
        <w:trPr>
          <w:trHeight w:val="557"/>
        </w:trPr>
        <w:tc>
          <w:tcPr>
            <w:tcW w:w="1384" w:type="dxa"/>
          </w:tcPr>
          <w:p w14:paraId="693ACA6E" w14:textId="07A6683D" w:rsidR="00C77B80" w:rsidRPr="00232C88" w:rsidRDefault="00C77B80" w:rsidP="00EC3DC7">
            <w:pPr>
              <w:pStyle w:val="Applicationdirecte"/>
              <w:spacing w:before="60"/>
              <w:jc w:val="center"/>
            </w:pPr>
            <w:r>
              <w:t>6b</w:t>
            </w:r>
          </w:p>
        </w:tc>
        <w:tc>
          <w:tcPr>
            <w:tcW w:w="7655" w:type="dxa"/>
          </w:tcPr>
          <w:p w14:paraId="2E9727DE" w14:textId="57531F92" w:rsidR="0082753B" w:rsidRPr="00232C88" w:rsidRDefault="0082753B" w:rsidP="00EC3DC7">
            <w:pPr>
              <w:spacing w:before="60" w:after="120"/>
              <w:jc w:val="both"/>
              <w:rPr>
                <w:rFonts w:ascii="Times New Roman" w:hAnsi="Times New Roman" w:cs="Times New Roman"/>
                <w:b/>
                <w:sz w:val="24"/>
              </w:rPr>
            </w:pPr>
            <w:r>
              <w:rPr>
                <w:rFonts w:ascii="Times New Roman" w:hAnsi="Times New Roman"/>
                <w:b/>
                <w:sz w:val="24"/>
              </w:rPr>
              <w:t>Ratio de fonds propres de catégorie 1 par rapport au TREA sans application du plancher (%)</w:t>
            </w:r>
          </w:p>
          <w:p w14:paraId="0F74D0FB" w14:textId="3EE7A354" w:rsidR="00C77B80" w:rsidRPr="00232C88" w:rsidRDefault="006D6654" w:rsidP="006D6654">
            <w:pPr>
              <w:spacing w:before="60" w:after="120"/>
              <w:jc w:val="both"/>
              <w:rPr>
                <w:rFonts w:ascii="Times New Roman" w:hAnsi="Times New Roman" w:cs="Times New Roman"/>
                <w:sz w:val="24"/>
              </w:rPr>
            </w:pPr>
            <w:r>
              <w:rPr>
                <w:rFonts w:ascii="Times New Roman" w:hAnsi="Times New Roman"/>
                <w:sz w:val="24"/>
              </w:rPr>
              <w:t>Ratio de fonds propres de catégorie 1 tel que défini à l</w:t>
            </w:r>
            <w:r w:rsidR="0057717F">
              <w:rPr>
                <w:rFonts w:ascii="Times New Roman" w:hAnsi="Times New Roman"/>
                <w:sz w:val="24"/>
              </w:rPr>
              <w:t>’</w:t>
            </w:r>
            <w:r>
              <w:rPr>
                <w:rFonts w:ascii="Times New Roman" w:hAnsi="Times New Roman"/>
                <w:sz w:val="24"/>
              </w:rPr>
              <w:t>article 92, paragraphe 2, point b), du règlement (UE) nº 575/2013, exprimé en pourcentage du montant total d</w:t>
            </w:r>
            <w:r w:rsidR="0057717F">
              <w:rPr>
                <w:rFonts w:ascii="Times New Roman" w:hAnsi="Times New Roman"/>
                <w:sz w:val="24"/>
              </w:rPr>
              <w:t>’</w:t>
            </w:r>
            <w:r>
              <w:rPr>
                <w:rFonts w:ascii="Times New Roman" w:hAnsi="Times New Roman"/>
                <w:sz w:val="24"/>
              </w:rPr>
              <w:t>exposition au risque calculé en excluant l</w:t>
            </w:r>
            <w:r w:rsidR="0057717F">
              <w:rPr>
                <w:rFonts w:ascii="Times New Roman" w:hAnsi="Times New Roman"/>
                <w:sz w:val="24"/>
              </w:rPr>
              <w:t>’</w:t>
            </w:r>
            <w:r>
              <w:rPr>
                <w:rFonts w:ascii="Times New Roman" w:hAnsi="Times New Roman"/>
                <w:sz w:val="24"/>
              </w:rPr>
              <w:t>impact du plancher de fonds propres, conformément à l</w:t>
            </w:r>
            <w:r w:rsidR="0057717F">
              <w:rPr>
                <w:rFonts w:ascii="Times New Roman" w:hAnsi="Times New Roman"/>
                <w:sz w:val="24"/>
              </w:rPr>
              <w:t>’</w:t>
            </w:r>
            <w:r>
              <w:rPr>
                <w:rFonts w:ascii="Times New Roman" w:hAnsi="Times New Roman"/>
                <w:sz w:val="24"/>
              </w:rPr>
              <w:t>article 92, paragraphe 4, du règlement (UE) nº 575/2013.</w:t>
            </w:r>
          </w:p>
        </w:tc>
      </w:tr>
      <w:tr w:rsidR="00232C88" w:rsidRPr="00232C88" w14:paraId="43011D7B" w14:textId="77777777" w:rsidTr="65F04A31">
        <w:trPr>
          <w:trHeight w:val="557"/>
        </w:trPr>
        <w:tc>
          <w:tcPr>
            <w:tcW w:w="1384" w:type="dxa"/>
          </w:tcPr>
          <w:p w14:paraId="63D1F4D7" w14:textId="77777777" w:rsidR="00EC3DC7" w:rsidRPr="00232C88" w:rsidRDefault="00475381" w:rsidP="00475381">
            <w:pPr>
              <w:pStyle w:val="Applicationdirecte"/>
              <w:spacing w:before="60"/>
              <w:jc w:val="center"/>
            </w:pPr>
            <w:r>
              <w:t>7</w:t>
            </w:r>
          </w:p>
        </w:tc>
        <w:tc>
          <w:tcPr>
            <w:tcW w:w="7655" w:type="dxa"/>
          </w:tcPr>
          <w:p w14:paraId="08AAC130" w14:textId="77777777" w:rsidR="00475381" w:rsidRPr="00232C88" w:rsidRDefault="00475381" w:rsidP="00475381">
            <w:pPr>
              <w:spacing w:before="60" w:after="120"/>
              <w:jc w:val="both"/>
              <w:rPr>
                <w:rFonts w:ascii="Times New Roman" w:hAnsi="Times New Roman" w:cs="Times New Roman"/>
                <w:b/>
                <w:sz w:val="24"/>
              </w:rPr>
            </w:pPr>
            <w:r>
              <w:rPr>
                <w:rFonts w:ascii="Times New Roman" w:hAnsi="Times New Roman"/>
                <w:b/>
                <w:sz w:val="24"/>
              </w:rPr>
              <w:t>Ratio de fonds propres total (%)</w:t>
            </w:r>
          </w:p>
          <w:p w14:paraId="19C20331" w14:textId="3DAFA56C" w:rsidR="00EC3DC7" w:rsidRPr="00232C88" w:rsidRDefault="00EC3DC7" w:rsidP="00605635">
            <w:pPr>
              <w:spacing w:before="60" w:after="120"/>
              <w:jc w:val="both"/>
              <w:rPr>
                <w:rFonts w:ascii="Times New Roman" w:hAnsi="Times New Roman" w:cs="Times New Roman"/>
                <w:sz w:val="24"/>
              </w:rPr>
            </w:pPr>
            <w:r>
              <w:rPr>
                <w:rFonts w:ascii="Times New Roman" w:hAnsi="Times New Roman"/>
                <w:sz w:val="24"/>
              </w:rPr>
              <w:lastRenderedPageBreak/>
              <w:t>Le ratio de fonds propres total est la valeur communiquée par les établissements à l’annexe VII des solutions informatiques de l</w:t>
            </w:r>
            <w:r w:rsidR="0057717F">
              <w:rPr>
                <w:rFonts w:ascii="Times New Roman" w:hAnsi="Times New Roman"/>
                <w:sz w:val="24"/>
              </w:rPr>
              <w:t>’</w:t>
            </w:r>
            <w:r>
              <w:rPr>
                <w:rFonts w:ascii="Times New Roman" w:hAnsi="Times New Roman"/>
                <w:sz w:val="24"/>
              </w:rPr>
              <w:t>ABE (ligne 63 du modèle EU CC1 Composition des fonds propres réglementaires)</w:t>
            </w:r>
          </w:p>
        </w:tc>
      </w:tr>
      <w:tr w:rsidR="00232C88" w:rsidRPr="00232C88" w14:paraId="3497F846" w14:textId="77777777" w:rsidTr="00CC6BF2">
        <w:trPr>
          <w:trHeight w:val="557"/>
        </w:trPr>
        <w:tc>
          <w:tcPr>
            <w:tcW w:w="1384" w:type="dxa"/>
            <w:shd w:val="clear" w:color="auto" w:fill="D9D9D9" w:themeFill="background1" w:themeFillShade="D9"/>
          </w:tcPr>
          <w:p w14:paraId="6067F97B" w14:textId="60A7DA66" w:rsidR="00C77B80" w:rsidRPr="00232C88" w:rsidRDefault="00C77B80" w:rsidP="00475381">
            <w:pPr>
              <w:pStyle w:val="Applicationdirecte"/>
              <w:spacing w:before="60"/>
              <w:jc w:val="center"/>
            </w:pPr>
            <w:r>
              <w:lastRenderedPageBreak/>
              <w:t>7a</w:t>
            </w:r>
          </w:p>
        </w:tc>
        <w:tc>
          <w:tcPr>
            <w:tcW w:w="7655" w:type="dxa"/>
            <w:shd w:val="clear" w:color="auto" w:fill="D9D9D9" w:themeFill="background1" w:themeFillShade="D9"/>
          </w:tcPr>
          <w:p w14:paraId="0FDAD115" w14:textId="5A4CF36D" w:rsidR="00C77B80" w:rsidRPr="00232C88" w:rsidRDefault="00C77B80" w:rsidP="00475381">
            <w:pPr>
              <w:spacing w:before="60" w:after="120"/>
              <w:jc w:val="both"/>
              <w:rPr>
                <w:rFonts w:ascii="Times New Roman" w:hAnsi="Times New Roman" w:cs="Times New Roman"/>
                <w:b/>
                <w:sz w:val="24"/>
              </w:rPr>
            </w:pPr>
            <w:r>
              <w:rPr>
                <w:rFonts w:ascii="Times New Roman" w:hAnsi="Times New Roman"/>
              </w:rPr>
              <w:t>Sans objet</w:t>
            </w:r>
          </w:p>
        </w:tc>
      </w:tr>
      <w:tr w:rsidR="00232C88" w:rsidRPr="00232C88" w14:paraId="4795BFC4" w14:textId="77777777" w:rsidTr="65F04A31">
        <w:trPr>
          <w:trHeight w:val="557"/>
        </w:trPr>
        <w:tc>
          <w:tcPr>
            <w:tcW w:w="1384" w:type="dxa"/>
          </w:tcPr>
          <w:p w14:paraId="65A910C1" w14:textId="24F06232" w:rsidR="00C77B80" w:rsidRPr="00232C88" w:rsidRDefault="0082753B" w:rsidP="00475381">
            <w:pPr>
              <w:pStyle w:val="Applicationdirecte"/>
              <w:spacing w:before="60"/>
              <w:jc w:val="center"/>
            </w:pPr>
            <w:r>
              <w:t>7b</w:t>
            </w:r>
          </w:p>
        </w:tc>
        <w:tc>
          <w:tcPr>
            <w:tcW w:w="7655" w:type="dxa"/>
          </w:tcPr>
          <w:p w14:paraId="14B57CE4" w14:textId="77777777" w:rsidR="006D6654" w:rsidRPr="00232C88" w:rsidRDefault="006D6654" w:rsidP="00475381">
            <w:pPr>
              <w:spacing w:before="60" w:after="120"/>
              <w:jc w:val="both"/>
              <w:rPr>
                <w:rFonts w:ascii="Times New Roman" w:hAnsi="Times New Roman" w:cs="Times New Roman"/>
                <w:b/>
                <w:sz w:val="24"/>
              </w:rPr>
            </w:pPr>
            <w:r>
              <w:rPr>
                <w:rFonts w:ascii="Times New Roman" w:hAnsi="Times New Roman"/>
                <w:b/>
                <w:sz w:val="24"/>
              </w:rPr>
              <w:t>Ratio de fonds propres total par rapport au TREA sans application du plancher (%)</w:t>
            </w:r>
          </w:p>
          <w:p w14:paraId="21F4A0BE" w14:textId="30FDC690" w:rsidR="00C77B80" w:rsidRPr="00232C88" w:rsidRDefault="006D6654" w:rsidP="006D6654">
            <w:pPr>
              <w:spacing w:before="60" w:after="120"/>
              <w:jc w:val="both"/>
              <w:rPr>
                <w:rFonts w:ascii="Times New Roman" w:hAnsi="Times New Roman" w:cs="Times New Roman"/>
                <w:sz w:val="24"/>
              </w:rPr>
            </w:pPr>
            <w:r>
              <w:rPr>
                <w:rFonts w:ascii="Times New Roman" w:hAnsi="Times New Roman"/>
                <w:sz w:val="24"/>
              </w:rPr>
              <w:t>Ratio de fonds propres total tel que défini à l</w:t>
            </w:r>
            <w:r w:rsidR="0057717F">
              <w:rPr>
                <w:rFonts w:ascii="Times New Roman" w:hAnsi="Times New Roman"/>
                <w:sz w:val="24"/>
              </w:rPr>
              <w:t>’</w:t>
            </w:r>
            <w:r>
              <w:rPr>
                <w:rFonts w:ascii="Times New Roman" w:hAnsi="Times New Roman"/>
                <w:sz w:val="24"/>
              </w:rPr>
              <w:t>article 92, paragraphe 2, point c), du règlement (UE) nº 575/2013, exprimé en pourcentage du montant total d</w:t>
            </w:r>
            <w:r w:rsidR="0057717F">
              <w:rPr>
                <w:rFonts w:ascii="Times New Roman" w:hAnsi="Times New Roman"/>
                <w:sz w:val="24"/>
              </w:rPr>
              <w:t>’</w:t>
            </w:r>
            <w:r>
              <w:rPr>
                <w:rFonts w:ascii="Times New Roman" w:hAnsi="Times New Roman"/>
                <w:sz w:val="24"/>
              </w:rPr>
              <w:t>exposition au risque calculé en excluant l</w:t>
            </w:r>
            <w:r w:rsidR="0057717F">
              <w:rPr>
                <w:rFonts w:ascii="Times New Roman" w:hAnsi="Times New Roman"/>
                <w:sz w:val="24"/>
              </w:rPr>
              <w:t>’</w:t>
            </w:r>
            <w:r>
              <w:rPr>
                <w:rFonts w:ascii="Times New Roman" w:hAnsi="Times New Roman"/>
                <w:sz w:val="24"/>
              </w:rPr>
              <w:t>impact du plancher de fonds propres, conformément à l</w:t>
            </w:r>
            <w:r w:rsidR="0057717F">
              <w:rPr>
                <w:rFonts w:ascii="Times New Roman" w:hAnsi="Times New Roman"/>
                <w:sz w:val="24"/>
              </w:rPr>
              <w:t>’</w:t>
            </w:r>
            <w:r>
              <w:rPr>
                <w:rFonts w:ascii="Times New Roman" w:hAnsi="Times New Roman"/>
                <w:sz w:val="24"/>
              </w:rPr>
              <w:t>article 92, paragraphe 4, du règlement (UE) nº 575/2013.</w:t>
            </w:r>
          </w:p>
        </w:tc>
      </w:tr>
      <w:tr w:rsidR="00232C88" w:rsidRPr="00232C88" w14:paraId="3536040C" w14:textId="77777777" w:rsidTr="65F04A31">
        <w:trPr>
          <w:trHeight w:val="557"/>
        </w:trPr>
        <w:tc>
          <w:tcPr>
            <w:tcW w:w="1384" w:type="dxa"/>
          </w:tcPr>
          <w:p w14:paraId="1CD4D7BE" w14:textId="5AC0868B" w:rsidR="002D5755" w:rsidRPr="00232C88" w:rsidRDefault="002F1302" w:rsidP="002D5755">
            <w:pPr>
              <w:pStyle w:val="Applicationdirecte"/>
              <w:spacing w:before="60"/>
              <w:jc w:val="center"/>
            </w:pPr>
            <w:r>
              <w:t>EU 7d</w:t>
            </w:r>
          </w:p>
        </w:tc>
        <w:tc>
          <w:tcPr>
            <w:tcW w:w="7655" w:type="dxa"/>
          </w:tcPr>
          <w:p w14:paraId="2C65689E" w14:textId="168A8882" w:rsidR="002D5755" w:rsidRPr="00232C88" w:rsidRDefault="00974607" w:rsidP="002D5755">
            <w:pPr>
              <w:spacing w:before="60" w:after="120"/>
              <w:jc w:val="both"/>
              <w:rPr>
                <w:rFonts w:ascii="Times New Roman" w:hAnsi="Times New Roman" w:cs="Times New Roman"/>
                <w:b/>
                <w:sz w:val="24"/>
              </w:rPr>
            </w:pPr>
            <w:r>
              <w:rPr>
                <w:rFonts w:ascii="Times New Roman" w:hAnsi="Times New Roman"/>
                <w:b/>
                <w:sz w:val="24"/>
              </w:rPr>
              <w:t>Exigences de fonds propres supplémentaires pour faire face aux risques autres que le risque de levier excessif (%)</w:t>
            </w:r>
          </w:p>
          <w:p w14:paraId="496B5202" w14:textId="406185AC" w:rsidR="002D5755" w:rsidRPr="00232C88" w:rsidRDefault="6A3DBE6D" w:rsidP="4D769726">
            <w:pPr>
              <w:spacing w:before="60" w:after="120"/>
              <w:jc w:val="both"/>
              <w:rPr>
                <w:rFonts w:ascii="Times New Roman" w:hAnsi="Times New Roman" w:cs="Times New Roman"/>
                <w:sz w:val="24"/>
              </w:rPr>
            </w:pPr>
            <w:r>
              <w:rPr>
                <w:rFonts w:ascii="Times New Roman" w:hAnsi="Times New Roman"/>
                <w:sz w:val="24"/>
              </w:rPr>
              <w:t>Exigences de fonds propres supplémentaires pour faire face aux risques autres que le risque de levier excessif imposées par l’autorité compétente en vertu de l’article 104, paragraphe 1, point a), de la directive 2013/36/UE, exprimées en pourcentage du montant total d’exposition au risque.</w:t>
            </w:r>
          </w:p>
        </w:tc>
      </w:tr>
      <w:tr w:rsidR="00232C88" w:rsidRPr="00232C88" w14:paraId="7325A7E2" w14:textId="77777777" w:rsidTr="65F04A31">
        <w:trPr>
          <w:trHeight w:val="557"/>
        </w:trPr>
        <w:tc>
          <w:tcPr>
            <w:tcW w:w="1384" w:type="dxa"/>
          </w:tcPr>
          <w:p w14:paraId="74461AB8" w14:textId="5B8686E2" w:rsidR="002D5755" w:rsidRPr="00232C88" w:rsidRDefault="002F1302" w:rsidP="002D5755">
            <w:pPr>
              <w:pStyle w:val="Applicationdirecte"/>
              <w:spacing w:before="60"/>
              <w:jc w:val="center"/>
            </w:pPr>
            <w:r>
              <w:t>EU 7e</w:t>
            </w:r>
          </w:p>
        </w:tc>
        <w:tc>
          <w:tcPr>
            <w:tcW w:w="7655" w:type="dxa"/>
          </w:tcPr>
          <w:p w14:paraId="407C074B" w14:textId="466990AF" w:rsidR="002D5755" w:rsidRPr="00232C88" w:rsidRDefault="002B7ED3" w:rsidP="002D5755">
            <w:pPr>
              <w:spacing w:before="60" w:after="120"/>
              <w:jc w:val="both"/>
              <w:rPr>
                <w:rFonts w:ascii="Times New Roman" w:hAnsi="Times New Roman" w:cs="Times New Roman"/>
                <w:b/>
                <w:sz w:val="24"/>
              </w:rPr>
            </w:pPr>
            <w:r>
              <w:rPr>
                <w:rFonts w:ascii="Times New Roman" w:hAnsi="Times New Roman"/>
                <w:sz w:val="24"/>
              </w:rPr>
              <w:t xml:space="preserve">    </w:t>
            </w:r>
            <w:r>
              <w:rPr>
                <w:rFonts w:ascii="Times New Roman" w:hAnsi="Times New Roman"/>
                <w:b/>
                <w:sz w:val="24"/>
              </w:rPr>
              <w:t>dont: à satisfaire avec des fonds propres CET1 (points de pourcentage)</w:t>
            </w:r>
          </w:p>
          <w:p w14:paraId="7130AB39" w14:textId="7851E9C1" w:rsidR="003F72E2" w:rsidRPr="00232C88" w:rsidRDefault="37B2E115" w:rsidP="4D769726">
            <w:pPr>
              <w:spacing w:before="60" w:after="120"/>
              <w:jc w:val="both"/>
              <w:rPr>
                <w:rFonts w:ascii="Times New Roman" w:hAnsi="Times New Roman" w:cs="Times New Roman"/>
                <w:sz w:val="24"/>
              </w:rPr>
            </w:pPr>
            <w:r>
              <w:rPr>
                <w:rFonts w:ascii="Times New Roman" w:hAnsi="Times New Roman"/>
                <w:sz w:val="24"/>
              </w:rPr>
              <w:t>La partie des exigences de fonds propres supplémentaires pour faire face aux risques autres que le risque de levier excessif imposées par l’autorité compétente en vertu de l’article 104, paragraphe 1, point a), de la directive 2013/36/UE qui doit être couverte par des fonds propres de base de catégorie 1 conformément aux premier et troisième alinéas de l’article 104 </w:t>
            </w:r>
            <w:r>
              <w:rPr>
                <w:rFonts w:ascii="Times New Roman" w:hAnsi="Times New Roman"/>
                <w:i/>
                <w:sz w:val="24"/>
              </w:rPr>
              <w:t>bis</w:t>
            </w:r>
            <w:r>
              <w:rPr>
                <w:rFonts w:ascii="Times New Roman" w:hAnsi="Times New Roman"/>
                <w:sz w:val="24"/>
              </w:rPr>
              <w:t>, paragraphe 4.</w:t>
            </w:r>
          </w:p>
        </w:tc>
      </w:tr>
      <w:tr w:rsidR="00232C88" w:rsidRPr="00232C88" w14:paraId="0E6077DA" w14:textId="77777777" w:rsidTr="65F04A31">
        <w:trPr>
          <w:trHeight w:val="557"/>
        </w:trPr>
        <w:tc>
          <w:tcPr>
            <w:tcW w:w="1384" w:type="dxa"/>
          </w:tcPr>
          <w:p w14:paraId="06A684D0" w14:textId="0E73557C" w:rsidR="002D5755" w:rsidRPr="00232C88" w:rsidRDefault="002F1302" w:rsidP="002D5755">
            <w:pPr>
              <w:pStyle w:val="Applicationdirecte"/>
              <w:spacing w:before="60"/>
              <w:jc w:val="center"/>
            </w:pPr>
            <w:r>
              <w:t>EU 7f</w:t>
            </w:r>
          </w:p>
        </w:tc>
        <w:tc>
          <w:tcPr>
            <w:tcW w:w="7655" w:type="dxa"/>
          </w:tcPr>
          <w:p w14:paraId="3D41CED8" w14:textId="5A42D7CA" w:rsidR="002D5755" w:rsidRPr="00232C88" w:rsidRDefault="002B7ED3" w:rsidP="002D5755">
            <w:pPr>
              <w:spacing w:before="60" w:after="120"/>
              <w:jc w:val="both"/>
              <w:rPr>
                <w:rFonts w:ascii="Times New Roman" w:hAnsi="Times New Roman" w:cs="Times New Roman"/>
                <w:b/>
                <w:sz w:val="24"/>
              </w:rPr>
            </w:pPr>
            <w:r>
              <w:rPr>
                <w:rFonts w:ascii="Times New Roman" w:hAnsi="Times New Roman"/>
                <w:sz w:val="24"/>
              </w:rPr>
              <w:t xml:space="preserve">    </w:t>
            </w:r>
            <w:r>
              <w:rPr>
                <w:rFonts w:ascii="Times New Roman" w:hAnsi="Times New Roman"/>
                <w:b/>
                <w:sz w:val="24"/>
              </w:rPr>
              <w:t>dont: à satisfaire avec des fonds propres de catégorie 1 (points de pourcentage)</w:t>
            </w:r>
          </w:p>
          <w:p w14:paraId="20A8FF8D" w14:textId="79818759" w:rsidR="003F72E2" w:rsidRPr="00232C88" w:rsidRDefault="6A3DBE6D" w:rsidP="4D769726">
            <w:pPr>
              <w:spacing w:before="60" w:after="120"/>
              <w:jc w:val="both"/>
              <w:rPr>
                <w:rFonts w:ascii="Times New Roman" w:hAnsi="Times New Roman" w:cs="Times New Roman"/>
                <w:sz w:val="24"/>
              </w:rPr>
            </w:pPr>
            <w:r>
              <w:rPr>
                <w:rFonts w:ascii="Times New Roman" w:hAnsi="Times New Roman"/>
                <w:sz w:val="24"/>
              </w:rPr>
              <w:t>La partie des exigences de fonds propres supplémentaires pour faire face aux risques autres que le risque de levier excessif imposées par l’autorité compétente en vertu de l’article 104, paragraphe 1, point a), de la directive 2013/36/UE qui doit être couverte par des fonds propres de catégorie 1 conformément aux premier et troisième alinéas de l’article 104 </w:t>
            </w:r>
            <w:r>
              <w:rPr>
                <w:rFonts w:ascii="Times New Roman" w:hAnsi="Times New Roman"/>
                <w:i/>
                <w:sz w:val="24"/>
              </w:rPr>
              <w:t>bis</w:t>
            </w:r>
            <w:r>
              <w:rPr>
                <w:rFonts w:ascii="Times New Roman" w:hAnsi="Times New Roman"/>
                <w:sz w:val="24"/>
              </w:rPr>
              <w:t>, paragraphe 4.</w:t>
            </w:r>
          </w:p>
        </w:tc>
      </w:tr>
      <w:tr w:rsidR="00232C88" w:rsidRPr="00232C88" w14:paraId="4D2E0DD8" w14:textId="77777777" w:rsidTr="65F04A31">
        <w:trPr>
          <w:trHeight w:val="557"/>
        </w:trPr>
        <w:tc>
          <w:tcPr>
            <w:tcW w:w="1384" w:type="dxa"/>
          </w:tcPr>
          <w:p w14:paraId="25E29F71" w14:textId="185B7F00" w:rsidR="002D5755" w:rsidRPr="00232C88" w:rsidRDefault="002F1302" w:rsidP="002D5755">
            <w:pPr>
              <w:pStyle w:val="Applicationdirecte"/>
              <w:spacing w:before="60"/>
              <w:jc w:val="center"/>
            </w:pPr>
            <w:r>
              <w:t>EU 7g</w:t>
            </w:r>
          </w:p>
        </w:tc>
        <w:tc>
          <w:tcPr>
            <w:tcW w:w="7655" w:type="dxa"/>
          </w:tcPr>
          <w:p w14:paraId="020B8334" w14:textId="77777777" w:rsidR="002D5755" w:rsidRPr="00232C88" w:rsidRDefault="002D5755" w:rsidP="002D5755">
            <w:pPr>
              <w:spacing w:before="60" w:after="120"/>
              <w:jc w:val="both"/>
              <w:rPr>
                <w:rFonts w:ascii="Times New Roman" w:hAnsi="Times New Roman" w:cs="Times New Roman"/>
                <w:b/>
                <w:sz w:val="24"/>
              </w:rPr>
            </w:pPr>
            <w:r>
              <w:rPr>
                <w:rFonts w:ascii="Times New Roman" w:hAnsi="Times New Roman"/>
                <w:b/>
                <w:sz w:val="24"/>
              </w:rPr>
              <w:t>Exigences totales de fonds propres SREP (ratio TSCR) (%)</w:t>
            </w:r>
          </w:p>
          <w:p w14:paraId="0EB50A81" w14:textId="77CE0E9A" w:rsidR="003F72E2" w:rsidRPr="00677BB2" w:rsidRDefault="003F72E2" w:rsidP="00677BB2">
            <w:pPr>
              <w:pStyle w:val="InstructionsText"/>
            </w:pPr>
            <w:r>
              <w:t>La somme des valeurs déterminées aux points i) et ii) comme suit:</w:t>
            </w:r>
          </w:p>
          <w:p w14:paraId="5260BB93" w14:textId="1D865CC9" w:rsidR="003F72E2" w:rsidRPr="00677BB2" w:rsidRDefault="003F72E2" w:rsidP="00677BB2">
            <w:pPr>
              <w:pStyle w:val="InstructionsText"/>
              <w:numPr>
                <w:ilvl w:val="0"/>
                <w:numId w:val="12"/>
              </w:numPr>
            </w:pPr>
            <w:r>
              <w:t xml:space="preserve">le ratio de fonds propres total (8 %) prévu à l’article 92, paragraphe 1, point c), du règlement (UE) nº 575/2013; </w:t>
            </w:r>
          </w:p>
          <w:p w14:paraId="6408D689" w14:textId="542986D9" w:rsidR="003F72E2" w:rsidRPr="00677BB2" w:rsidRDefault="77E19EAF" w:rsidP="00677BB2">
            <w:pPr>
              <w:pStyle w:val="InstructionsText"/>
              <w:numPr>
                <w:ilvl w:val="0"/>
                <w:numId w:val="12"/>
              </w:numPr>
            </w:pPr>
            <w:r>
              <w:t xml:space="preserve">les exigences de fonds propres supplémentaires pour faire face aux risques autres que le risque de levier excessif (exigences du deuxième pilier – P2R) imposées par l’autorité compétente en vertu de l’article 104, paragraphe 1, point a), de la directive 2013/36/UE et déterminées conformément aux critères précisés </w:t>
            </w:r>
            <w:r>
              <w:lastRenderedPageBreak/>
              <w:t>dans les Orientations EBA/GL/2018/03</w:t>
            </w:r>
            <w:r w:rsidR="00D35D87" w:rsidRPr="00DB3BA4">
              <w:rPr>
                <w:rStyle w:val="FootnoteReference"/>
                <w:rFonts w:ascii="Times New Roman" w:hAnsi="Times New Roman"/>
                <w:b w:val="0"/>
                <w:bCs w:val="0"/>
                <w:i/>
              </w:rPr>
              <w:footnoteReference w:id="3"/>
            </w:r>
            <w:r>
              <w:t xml:space="preserve"> («EBA SREP GL»), exprimées en pourcentage du total des RWEA.</w:t>
            </w:r>
          </w:p>
          <w:p w14:paraId="421B2155" w14:textId="458E132C" w:rsidR="003F72E2" w:rsidRPr="00677BB2" w:rsidRDefault="003F72E2" w:rsidP="00677BB2">
            <w:pPr>
              <w:pStyle w:val="InstructionsText"/>
            </w:pPr>
            <w:r>
              <w:t>Cet élément doit correspondre à l’exigence de fonds propres SREP totale (ratio TSCR) telle que communiquée à l’établissement par l’autorité compétente. Le TSCR est défini aux sections 7.4 et 7.5 des orientations EBA SREP GL.</w:t>
            </w:r>
          </w:p>
          <w:p w14:paraId="16E68C5B" w14:textId="48726CC6" w:rsidR="009E1F4E" w:rsidRPr="00677BB2" w:rsidRDefault="009E1F4E" w:rsidP="00677BB2">
            <w:pPr>
              <w:pStyle w:val="InstructionsText"/>
            </w:pPr>
            <w:r>
              <w:t>Si l</w:t>
            </w:r>
            <w:r w:rsidR="0057717F">
              <w:t>’</w:t>
            </w:r>
            <w:r>
              <w:t>établissement est tenu d</w:t>
            </w:r>
            <w:r w:rsidR="0057717F">
              <w:t>’</w:t>
            </w:r>
            <w:r>
              <w:t>appliquer le plancher de fonds propres, les données déclarées correspondent au TSCR requis pour satisfaire aux exigences à la date de clôture compte tenu des dispositions de l</w:t>
            </w:r>
            <w:r w:rsidR="0057717F">
              <w:t>’</w:t>
            </w:r>
            <w:r>
              <w:t>article 104 </w:t>
            </w:r>
            <w:r>
              <w:rPr>
                <w:i/>
              </w:rPr>
              <w:t>bis</w:t>
            </w:r>
            <w:r>
              <w:t>, paragraphe 6, de la directive 2013/36 UE.</w:t>
            </w:r>
          </w:p>
          <w:p w14:paraId="25DA925F" w14:textId="75AE6807" w:rsidR="003F72E2" w:rsidRPr="00232C88" w:rsidRDefault="00704085" w:rsidP="00A239F6">
            <w:pPr>
              <w:spacing w:before="60" w:after="120"/>
              <w:jc w:val="both"/>
              <w:rPr>
                <w:rFonts w:ascii="Times New Roman" w:hAnsi="Times New Roman" w:cs="Times New Roman"/>
                <w:sz w:val="24"/>
              </w:rPr>
            </w:pPr>
            <w:r>
              <w:rPr>
                <w:rFonts w:ascii="Times New Roman" w:hAnsi="Times New Roman"/>
                <w:sz w:val="24"/>
              </w:rPr>
              <w:t>Si l</w:t>
            </w:r>
            <w:r w:rsidR="0057717F">
              <w:rPr>
                <w:rFonts w:ascii="Times New Roman" w:hAnsi="Times New Roman"/>
                <w:sz w:val="24"/>
              </w:rPr>
              <w:t>’</w:t>
            </w:r>
            <w:r>
              <w:rPr>
                <w:rFonts w:ascii="Times New Roman" w:hAnsi="Times New Roman"/>
                <w:sz w:val="24"/>
              </w:rPr>
              <w:t>autorité compétente n</w:t>
            </w:r>
            <w:r w:rsidR="0057717F">
              <w:rPr>
                <w:rFonts w:ascii="Times New Roman" w:hAnsi="Times New Roman"/>
                <w:sz w:val="24"/>
              </w:rPr>
              <w:t>’</w:t>
            </w:r>
            <w:r>
              <w:rPr>
                <w:rFonts w:ascii="Times New Roman" w:hAnsi="Times New Roman"/>
                <w:sz w:val="24"/>
              </w:rPr>
              <w:t>a pas communiqué d</w:t>
            </w:r>
            <w:r w:rsidR="0057717F">
              <w:rPr>
                <w:rFonts w:ascii="Times New Roman" w:hAnsi="Times New Roman"/>
                <w:sz w:val="24"/>
              </w:rPr>
              <w:t>’</w:t>
            </w:r>
            <w:r>
              <w:rPr>
                <w:rFonts w:ascii="Times New Roman" w:hAnsi="Times New Roman"/>
                <w:sz w:val="24"/>
              </w:rPr>
              <w:t>exigence de fonds propres supplémentaire pour faire face aux risques autres que le risque de levier excessif, seul l</w:t>
            </w:r>
            <w:r w:rsidR="0057717F">
              <w:rPr>
                <w:rFonts w:ascii="Times New Roman" w:hAnsi="Times New Roman"/>
                <w:sz w:val="24"/>
              </w:rPr>
              <w:t>’</w:t>
            </w:r>
            <w:r>
              <w:rPr>
                <w:rFonts w:ascii="Times New Roman" w:hAnsi="Times New Roman"/>
                <w:sz w:val="24"/>
              </w:rPr>
              <w:t>élément indiqué au point i) doit être fourni.</w:t>
            </w:r>
          </w:p>
        </w:tc>
      </w:tr>
      <w:tr w:rsidR="00232C88" w:rsidRPr="00232C88" w14:paraId="7516E1D9" w14:textId="77777777" w:rsidTr="65F04A31">
        <w:trPr>
          <w:trHeight w:val="557"/>
        </w:trPr>
        <w:tc>
          <w:tcPr>
            <w:tcW w:w="1384" w:type="dxa"/>
          </w:tcPr>
          <w:p w14:paraId="7AD5EE4F" w14:textId="77777777" w:rsidR="00475381" w:rsidRPr="00232C88" w:rsidRDefault="00475381" w:rsidP="00475381">
            <w:pPr>
              <w:pStyle w:val="Applicationdirecte"/>
              <w:spacing w:before="60"/>
              <w:jc w:val="center"/>
            </w:pPr>
            <w:r>
              <w:lastRenderedPageBreak/>
              <w:t>8</w:t>
            </w:r>
          </w:p>
        </w:tc>
        <w:tc>
          <w:tcPr>
            <w:tcW w:w="7655" w:type="dxa"/>
          </w:tcPr>
          <w:p w14:paraId="7C243A8A" w14:textId="77777777" w:rsidR="009D0637" w:rsidRPr="00232C88" w:rsidRDefault="00475381" w:rsidP="00475381">
            <w:pPr>
              <w:spacing w:before="60" w:after="120"/>
              <w:jc w:val="both"/>
              <w:rPr>
                <w:rFonts w:ascii="Times New Roman" w:hAnsi="Times New Roman" w:cs="Times New Roman"/>
                <w:b/>
                <w:sz w:val="24"/>
              </w:rPr>
            </w:pPr>
            <w:r>
              <w:rPr>
                <w:rFonts w:ascii="Times New Roman" w:hAnsi="Times New Roman"/>
                <w:b/>
                <w:sz w:val="24"/>
              </w:rPr>
              <w:t>Coussin de conservation des fonds propres (%)</w:t>
            </w:r>
          </w:p>
          <w:p w14:paraId="14E6CB6D" w14:textId="08A78286" w:rsidR="009D0637" w:rsidRPr="00232C88" w:rsidRDefault="3FBF28E0" w:rsidP="4D769726">
            <w:pPr>
              <w:spacing w:before="60" w:after="120"/>
              <w:jc w:val="both"/>
              <w:rPr>
                <w:rFonts w:ascii="Times New Roman" w:hAnsi="Times New Roman" w:cs="Times New Roman"/>
                <w:sz w:val="24"/>
              </w:rPr>
            </w:pPr>
            <w:r>
              <w:rPr>
                <w:rFonts w:ascii="Times New Roman" w:hAnsi="Times New Roman"/>
                <w:sz w:val="24"/>
              </w:rPr>
              <w:t>Montant des fonds propres que les établissements sont tenus de détenir conformément aux articles 128, paragraphe 1, et 129 de la directive 2013/36/UE, exprimé en pourcentage du total des RWEA.</w:t>
            </w:r>
          </w:p>
        </w:tc>
      </w:tr>
      <w:tr w:rsidR="00232C88" w:rsidRPr="00232C88" w14:paraId="7AFB85EC" w14:textId="77777777" w:rsidTr="65F04A31">
        <w:trPr>
          <w:trHeight w:val="557"/>
        </w:trPr>
        <w:tc>
          <w:tcPr>
            <w:tcW w:w="1384" w:type="dxa"/>
          </w:tcPr>
          <w:p w14:paraId="09E32617" w14:textId="77777777" w:rsidR="00475381" w:rsidRPr="00232C88" w:rsidRDefault="002F1302" w:rsidP="00475381">
            <w:pPr>
              <w:pStyle w:val="Applicationdirecte"/>
              <w:spacing w:before="60"/>
              <w:jc w:val="center"/>
            </w:pPr>
            <w:r>
              <w:t>EU 8a</w:t>
            </w:r>
          </w:p>
        </w:tc>
        <w:tc>
          <w:tcPr>
            <w:tcW w:w="7655" w:type="dxa"/>
          </w:tcPr>
          <w:p w14:paraId="6A38F554" w14:textId="459B36F2" w:rsidR="00475381" w:rsidRPr="00232C88" w:rsidRDefault="00475381" w:rsidP="00475381">
            <w:pPr>
              <w:spacing w:before="60" w:after="120"/>
              <w:jc w:val="both"/>
              <w:rPr>
                <w:rFonts w:ascii="Times New Roman" w:hAnsi="Times New Roman" w:cs="Times New Roman"/>
                <w:b/>
                <w:sz w:val="24"/>
              </w:rPr>
            </w:pPr>
            <w:r>
              <w:rPr>
                <w:rFonts w:ascii="Times New Roman" w:hAnsi="Times New Roman"/>
                <w:b/>
                <w:sz w:val="24"/>
              </w:rPr>
              <w:t>Coussin de conservation découlant du risque macroprudentiel ou systémique constaté au niveau d</w:t>
            </w:r>
            <w:r w:rsidR="0057717F">
              <w:rPr>
                <w:rFonts w:ascii="Times New Roman" w:hAnsi="Times New Roman"/>
                <w:b/>
                <w:sz w:val="24"/>
              </w:rPr>
              <w:t>’</w:t>
            </w:r>
            <w:r>
              <w:rPr>
                <w:rFonts w:ascii="Times New Roman" w:hAnsi="Times New Roman"/>
                <w:b/>
                <w:sz w:val="24"/>
              </w:rPr>
              <w:t>un État membre (%)</w:t>
            </w:r>
          </w:p>
          <w:p w14:paraId="26288177" w14:textId="7E210F32" w:rsidR="009D0637" w:rsidRPr="00232C88" w:rsidRDefault="009D0637" w:rsidP="0097538A">
            <w:pPr>
              <w:spacing w:before="60" w:after="120"/>
              <w:jc w:val="both"/>
              <w:rPr>
                <w:rFonts w:ascii="Times New Roman" w:hAnsi="Times New Roman" w:cs="Times New Roman"/>
                <w:sz w:val="24"/>
              </w:rPr>
            </w:pPr>
            <w:r>
              <w:rPr>
                <w:rFonts w:ascii="Times New Roman" w:hAnsi="Times New Roman"/>
                <w:sz w:val="24"/>
              </w:rPr>
              <w:t>Montant du coussin de conservation lié au risque macroprudentiel ou systémique constaté au niveau d’un État membre qui peut être exigé en vertu de l’article 458 du règlement (UE) nº 575/2013, en sus du coussin de conservation de fonds propres, exprimé en pourcentage du total des RWEA.</w:t>
            </w:r>
          </w:p>
        </w:tc>
      </w:tr>
      <w:tr w:rsidR="00232C88" w:rsidRPr="00232C88" w14:paraId="08946B6B" w14:textId="77777777" w:rsidTr="65F04A31">
        <w:trPr>
          <w:trHeight w:val="557"/>
        </w:trPr>
        <w:tc>
          <w:tcPr>
            <w:tcW w:w="1384" w:type="dxa"/>
          </w:tcPr>
          <w:p w14:paraId="1E4DAAD1" w14:textId="77777777" w:rsidR="00475381" w:rsidRPr="00232C88" w:rsidRDefault="00475381" w:rsidP="00475381">
            <w:pPr>
              <w:pStyle w:val="Applicationdirecte"/>
              <w:spacing w:before="60"/>
              <w:jc w:val="center"/>
            </w:pPr>
            <w:r>
              <w:t>9</w:t>
            </w:r>
          </w:p>
        </w:tc>
        <w:tc>
          <w:tcPr>
            <w:tcW w:w="7655" w:type="dxa"/>
          </w:tcPr>
          <w:p w14:paraId="249EE5F9" w14:textId="4C2AA262" w:rsidR="00475381" w:rsidRPr="00232C88" w:rsidRDefault="00475381" w:rsidP="00475381">
            <w:pPr>
              <w:spacing w:before="60" w:after="120"/>
              <w:jc w:val="both"/>
              <w:rPr>
                <w:rFonts w:ascii="Times New Roman" w:hAnsi="Times New Roman" w:cs="Times New Roman"/>
                <w:b/>
                <w:sz w:val="24"/>
              </w:rPr>
            </w:pPr>
            <w:r>
              <w:rPr>
                <w:rFonts w:ascii="Times New Roman" w:hAnsi="Times New Roman"/>
                <w:b/>
                <w:sz w:val="24"/>
              </w:rPr>
              <w:t>Coussin de fonds propres contracyclique spécifique à l</w:t>
            </w:r>
            <w:r w:rsidR="0057717F">
              <w:rPr>
                <w:rFonts w:ascii="Times New Roman" w:hAnsi="Times New Roman"/>
                <w:b/>
                <w:sz w:val="24"/>
              </w:rPr>
              <w:t>’</w:t>
            </w:r>
            <w:r>
              <w:rPr>
                <w:rFonts w:ascii="Times New Roman" w:hAnsi="Times New Roman"/>
                <w:b/>
                <w:sz w:val="24"/>
              </w:rPr>
              <w:t>établissement (%)</w:t>
            </w:r>
          </w:p>
          <w:p w14:paraId="7EE95752" w14:textId="147B2D83" w:rsidR="008C672C" w:rsidRPr="00677BB2" w:rsidRDefault="59C8E997" w:rsidP="00677BB2">
            <w:pPr>
              <w:pStyle w:val="InstructionsText"/>
            </w:pPr>
            <w:r>
              <w:t>Montant des fonds propres que les établissements sont tenus de détenir conformément à l</w:t>
            </w:r>
            <w:r w:rsidR="0057717F">
              <w:t>’</w:t>
            </w:r>
            <w:r>
              <w:t>article 128, paragraphe 2, à l</w:t>
            </w:r>
            <w:r w:rsidR="0057717F">
              <w:t>’</w:t>
            </w:r>
            <w:r>
              <w:t>article 130 et aux articles 135 à 140 de la directive 2013/36/UE, exprimé en pourcentage du total des RWEA.</w:t>
            </w:r>
          </w:p>
          <w:p w14:paraId="58C7EB22" w14:textId="2947DC9F" w:rsidR="008C672C" w:rsidRPr="00232C88" w:rsidRDefault="008C672C" w:rsidP="002635C4">
            <w:pPr>
              <w:spacing w:before="60" w:after="120"/>
              <w:jc w:val="both"/>
              <w:rPr>
                <w:rFonts w:ascii="Times New Roman" w:hAnsi="Times New Roman" w:cs="Times New Roman"/>
                <w:sz w:val="24"/>
              </w:rPr>
            </w:pPr>
            <w:r>
              <w:rPr>
                <w:rFonts w:ascii="Times New Roman" w:hAnsi="Times New Roman"/>
                <w:sz w:val="24"/>
              </w:rPr>
              <w:t>Ce pourcentage reflète le montant de fonds propres nécessaire pour satisfaire aux exigences respectives de coussin de fonds propres à la date de déclaration.</w:t>
            </w:r>
          </w:p>
        </w:tc>
      </w:tr>
      <w:tr w:rsidR="00232C88" w:rsidRPr="00232C88" w14:paraId="5668949F" w14:textId="77777777" w:rsidTr="65F04A31">
        <w:trPr>
          <w:trHeight w:val="557"/>
        </w:trPr>
        <w:tc>
          <w:tcPr>
            <w:tcW w:w="1384" w:type="dxa"/>
          </w:tcPr>
          <w:p w14:paraId="40E9A935" w14:textId="77777777" w:rsidR="00475381" w:rsidRPr="00232C88" w:rsidRDefault="002F1302" w:rsidP="00475381">
            <w:pPr>
              <w:pStyle w:val="Applicationdirecte"/>
              <w:spacing w:before="60"/>
              <w:jc w:val="center"/>
            </w:pPr>
            <w:r>
              <w:t>EU 9a</w:t>
            </w:r>
          </w:p>
        </w:tc>
        <w:tc>
          <w:tcPr>
            <w:tcW w:w="7655" w:type="dxa"/>
          </w:tcPr>
          <w:p w14:paraId="5F0D3F14" w14:textId="77777777" w:rsidR="00475381" w:rsidRPr="00232C88" w:rsidRDefault="00475381" w:rsidP="00475381">
            <w:pPr>
              <w:spacing w:before="60" w:after="120"/>
              <w:jc w:val="both"/>
              <w:rPr>
                <w:rFonts w:ascii="Times New Roman" w:hAnsi="Times New Roman" w:cs="Times New Roman"/>
                <w:b/>
                <w:sz w:val="24"/>
              </w:rPr>
            </w:pPr>
            <w:r>
              <w:rPr>
                <w:rFonts w:ascii="Times New Roman" w:hAnsi="Times New Roman"/>
                <w:b/>
                <w:sz w:val="24"/>
              </w:rPr>
              <w:t>Coussin pour le risque systémique (%)</w:t>
            </w:r>
          </w:p>
          <w:p w14:paraId="1A39C087" w14:textId="59FFAEFD" w:rsidR="008C672C" w:rsidRPr="00677BB2" w:rsidRDefault="59C8E997" w:rsidP="00677BB2">
            <w:pPr>
              <w:pStyle w:val="InstructionsText"/>
            </w:pPr>
            <w:r>
              <w:t>Montant des fonds propres que les établissements sont tenus de détenir conformément à l</w:t>
            </w:r>
            <w:r w:rsidR="0057717F">
              <w:t>’</w:t>
            </w:r>
            <w:r>
              <w:t>article 128, paragraphe 5, et aux articles 133 et 134 de la directive 2013/36/UE, exprimé en pourcentage du total des RWEA.</w:t>
            </w:r>
          </w:p>
          <w:p w14:paraId="349BC1DA" w14:textId="39EEC453" w:rsidR="008C672C" w:rsidRPr="00232C88" w:rsidRDefault="008C672C" w:rsidP="002635C4">
            <w:pPr>
              <w:spacing w:before="60" w:after="120"/>
              <w:jc w:val="both"/>
              <w:rPr>
                <w:rFonts w:ascii="Times New Roman" w:hAnsi="Times New Roman" w:cs="Times New Roman"/>
                <w:sz w:val="24"/>
              </w:rPr>
            </w:pPr>
            <w:r>
              <w:rPr>
                <w:rFonts w:ascii="Times New Roman" w:hAnsi="Times New Roman"/>
                <w:sz w:val="24"/>
              </w:rPr>
              <w:t>Ce pourcentage reflète le montant de fonds propres nécessaire pour satisfaire aux exigences respectives de coussin de fonds propres à la date de déclaration.</w:t>
            </w:r>
          </w:p>
        </w:tc>
      </w:tr>
      <w:tr w:rsidR="00232C88" w:rsidRPr="00232C88" w14:paraId="7ED5CB15" w14:textId="77777777" w:rsidTr="65F04A31">
        <w:trPr>
          <w:trHeight w:val="557"/>
        </w:trPr>
        <w:tc>
          <w:tcPr>
            <w:tcW w:w="1384" w:type="dxa"/>
          </w:tcPr>
          <w:p w14:paraId="051A7C18" w14:textId="77777777" w:rsidR="00475381" w:rsidRPr="00232C88" w:rsidRDefault="00475381" w:rsidP="00475381">
            <w:pPr>
              <w:pStyle w:val="Applicationdirecte"/>
              <w:spacing w:before="60"/>
              <w:jc w:val="center"/>
            </w:pPr>
            <w:r>
              <w:t>10</w:t>
            </w:r>
          </w:p>
        </w:tc>
        <w:tc>
          <w:tcPr>
            <w:tcW w:w="7655" w:type="dxa"/>
          </w:tcPr>
          <w:p w14:paraId="64176082" w14:textId="45D8DFE1" w:rsidR="00475381" w:rsidRPr="00232C88" w:rsidRDefault="00475381" w:rsidP="00475381">
            <w:pPr>
              <w:spacing w:before="60" w:after="120"/>
              <w:jc w:val="both"/>
              <w:rPr>
                <w:rFonts w:ascii="Times New Roman" w:hAnsi="Times New Roman" w:cs="Times New Roman"/>
                <w:b/>
                <w:sz w:val="24"/>
              </w:rPr>
            </w:pPr>
            <w:r>
              <w:rPr>
                <w:rFonts w:ascii="Times New Roman" w:hAnsi="Times New Roman"/>
                <w:b/>
                <w:sz w:val="24"/>
              </w:rPr>
              <w:t>Coussin pour les établissements d</w:t>
            </w:r>
            <w:r w:rsidR="0057717F">
              <w:rPr>
                <w:rFonts w:ascii="Times New Roman" w:hAnsi="Times New Roman"/>
                <w:b/>
                <w:sz w:val="24"/>
              </w:rPr>
              <w:t>’</w:t>
            </w:r>
            <w:r>
              <w:rPr>
                <w:rFonts w:ascii="Times New Roman" w:hAnsi="Times New Roman"/>
                <w:b/>
                <w:sz w:val="24"/>
              </w:rPr>
              <w:t>importance systémique mondiale (%)</w:t>
            </w:r>
          </w:p>
          <w:p w14:paraId="6FDE597A" w14:textId="37028005" w:rsidR="00F16314" w:rsidRPr="00677BB2" w:rsidRDefault="564F8672" w:rsidP="00677BB2">
            <w:pPr>
              <w:pStyle w:val="InstructionsText"/>
            </w:pPr>
            <w:r>
              <w:lastRenderedPageBreak/>
              <w:t>Montant des fonds propres que les établissements sont tenus de détenir conformément aux articles 128, paragraphe 3, et à l</w:t>
            </w:r>
            <w:r w:rsidR="0057717F">
              <w:t>’</w:t>
            </w:r>
            <w:r>
              <w:t>article 131 de la directive 2013/36/UE, exprimé en pourcentage du total des RWEA.</w:t>
            </w:r>
          </w:p>
          <w:p w14:paraId="401B9FFF" w14:textId="0D3B7616" w:rsidR="00F16314" w:rsidRPr="00232C88" w:rsidRDefault="00F16314" w:rsidP="002635C4">
            <w:pPr>
              <w:spacing w:before="60" w:after="120"/>
              <w:jc w:val="both"/>
              <w:rPr>
                <w:rFonts w:ascii="Times New Roman" w:hAnsi="Times New Roman" w:cs="Times New Roman"/>
                <w:sz w:val="24"/>
              </w:rPr>
            </w:pPr>
            <w:r>
              <w:rPr>
                <w:rFonts w:ascii="Times New Roman" w:hAnsi="Times New Roman"/>
                <w:sz w:val="24"/>
              </w:rPr>
              <w:t>Ce pourcentage reflète le montant de fonds propres nécessaire pour satisfaire aux exigences respectives de coussin de fonds propres à la date de déclaration.</w:t>
            </w:r>
          </w:p>
        </w:tc>
      </w:tr>
      <w:tr w:rsidR="00232C88" w:rsidRPr="00232C88" w14:paraId="4FAC19E0" w14:textId="77777777" w:rsidTr="65F04A31">
        <w:trPr>
          <w:trHeight w:val="557"/>
        </w:trPr>
        <w:tc>
          <w:tcPr>
            <w:tcW w:w="1384" w:type="dxa"/>
          </w:tcPr>
          <w:p w14:paraId="6ADCCF79" w14:textId="77777777" w:rsidR="00BB2F0A" w:rsidRPr="00232C88" w:rsidRDefault="002F1302" w:rsidP="00BB2F0A">
            <w:pPr>
              <w:pStyle w:val="Applicationdirecte"/>
              <w:spacing w:before="60"/>
              <w:jc w:val="center"/>
            </w:pPr>
            <w:r>
              <w:lastRenderedPageBreak/>
              <w:t>EU 10a</w:t>
            </w:r>
          </w:p>
        </w:tc>
        <w:tc>
          <w:tcPr>
            <w:tcW w:w="7655" w:type="dxa"/>
          </w:tcPr>
          <w:p w14:paraId="3410560F" w14:textId="7BB385AD" w:rsidR="00BB2F0A" w:rsidRPr="00232C88" w:rsidRDefault="00BB2F0A" w:rsidP="00BB2F0A">
            <w:pPr>
              <w:spacing w:before="60" w:after="120"/>
              <w:jc w:val="both"/>
              <w:rPr>
                <w:rFonts w:ascii="Times New Roman" w:hAnsi="Times New Roman" w:cs="Times New Roman"/>
                <w:b/>
                <w:sz w:val="24"/>
              </w:rPr>
            </w:pPr>
            <w:r>
              <w:rPr>
                <w:rFonts w:ascii="Times New Roman" w:hAnsi="Times New Roman"/>
                <w:b/>
                <w:sz w:val="24"/>
              </w:rPr>
              <w:t>Coussin pour les autres établissements d</w:t>
            </w:r>
            <w:r w:rsidR="0057717F">
              <w:rPr>
                <w:rFonts w:ascii="Times New Roman" w:hAnsi="Times New Roman"/>
                <w:b/>
                <w:sz w:val="24"/>
              </w:rPr>
              <w:t>’</w:t>
            </w:r>
            <w:r>
              <w:rPr>
                <w:rFonts w:ascii="Times New Roman" w:hAnsi="Times New Roman"/>
                <w:b/>
                <w:sz w:val="24"/>
              </w:rPr>
              <w:t>importance systémique (%)</w:t>
            </w:r>
          </w:p>
          <w:p w14:paraId="71C25616" w14:textId="2C80B82C" w:rsidR="00F16314" w:rsidRPr="00232C88" w:rsidRDefault="564F8672" w:rsidP="4D769726">
            <w:pPr>
              <w:spacing w:before="60" w:after="120"/>
              <w:jc w:val="both"/>
              <w:rPr>
                <w:rFonts w:ascii="Times New Roman" w:hAnsi="Times New Roman" w:cs="Times New Roman"/>
                <w:sz w:val="24"/>
              </w:rPr>
            </w:pPr>
            <w:r>
              <w:rPr>
                <w:rFonts w:ascii="Times New Roman" w:hAnsi="Times New Roman"/>
                <w:sz w:val="24"/>
              </w:rPr>
              <w:t>Montant des fonds propres que les établissements sont tenus de détenir conformément aux articles 128, paragraphe 4, et 131 de la directive 2013/36/UE, exprimé en pourcentage du total des RWEA.</w:t>
            </w:r>
          </w:p>
          <w:p w14:paraId="476D85A0" w14:textId="40C01166" w:rsidR="00F16314" w:rsidRPr="00232C88" w:rsidRDefault="00F16314" w:rsidP="002635C4">
            <w:pPr>
              <w:spacing w:before="60" w:after="120"/>
              <w:jc w:val="both"/>
              <w:rPr>
                <w:rFonts w:ascii="Times New Roman" w:hAnsi="Times New Roman" w:cs="Times New Roman"/>
                <w:sz w:val="24"/>
              </w:rPr>
            </w:pPr>
            <w:r>
              <w:rPr>
                <w:rFonts w:ascii="Times New Roman" w:hAnsi="Times New Roman"/>
                <w:sz w:val="24"/>
              </w:rPr>
              <w:t>Ce pourcentage reflète le montant de fonds propres nécessaire pour satisfaire aux exigences respectives de coussin de fonds propres à la date de déclaration.</w:t>
            </w:r>
          </w:p>
        </w:tc>
      </w:tr>
      <w:tr w:rsidR="00232C88" w:rsidRPr="00232C88" w14:paraId="5C215ABD" w14:textId="77777777" w:rsidTr="65F04A31">
        <w:trPr>
          <w:trHeight w:val="557"/>
        </w:trPr>
        <w:tc>
          <w:tcPr>
            <w:tcW w:w="1384" w:type="dxa"/>
          </w:tcPr>
          <w:p w14:paraId="18697C8C" w14:textId="77777777" w:rsidR="00BB2F0A" w:rsidRPr="00232C88" w:rsidRDefault="00BB2F0A" w:rsidP="00BB2F0A">
            <w:pPr>
              <w:pStyle w:val="Applicationdirecte"/>
              <w:spacing w:before="60"/>
              <w:jc w:val="center"/>
            </w:pPr>
            <w:r>
              <w:t>11</w:t>
            </w:r>
          </w:p>
        </w:tc>
        <w:tc>
          <w:tcPr>
            <w:tcW w:w="7655" w:type="dxa"/>
          </w:tcPr>
          <w:p w14:paraId="21DBB5FE" w14:textId="77777777" w:rsidR="00BB2F0A" w:rsidRPr="00232C88" w:rsidRDefault="00BB2F0A" w:rsidP="00BB2F0A">
            <w:pPr>
              <w:spacing w:before="60" w:after="120"/>
              <w:jc w:val="both"/>
              <w:rPr>
                <w:rFonts w:ascii="Times New Roman" w:hAnsi="Times New Roman" w:cs="Times New Roman"/>
                <w:b/>
                <w:sz w:val="24"/>
              </w:rPr>
            </w:pPr>
            <w:r>
              <w:rPr>
                <w:rFonts w:ascii="Times New Roman" w:hAnsi="Times New Roman"/>
                <w:b/>
                <w:sz w:val="24"/>
              </w:rPr>
              <w:t>Exigence globale de coussin (%)</w:t>
            </w:r>
          </w:p>
          <w:p w14:paraId="04E18E6B" w14:textId="4A787EA6" w:rsidR="00F16314" w:rsidRPr="00232C88" w:rsidRDefault="009D10AD" w:rsidP="4D769726">
            <w:pPr>
              <w:spacing w:before="60" w:after="120"/>
              <w:jc w:val="both"/>
              <w:rPr>
                <w:rFonts w:ascii="Times New Roman" w:hAnsi="Times New Roman" w:cs="Times New Roman"/>
                <w:sz w:val="24"/>
              </w:rPr>
            </w:pPr>
            <w:r>
              <w:rPr>
                <w:rFonts w:ascii="Times New Roman" w:hAnsi="Times New Roman"/>
                <w:sz w:val="24"/>
              </w:rPr>
              <w:t xml:space="preserve">Conformément à l’article </w:t>
            </w:r>
            <w:r w:rsidR="00D70314">
              <w:rPr>
                <w:rFonts w:ascii="Times New Roman" w:hAnsi="Times New Roman"/>
                <w:sz w:val="24"/>
              </w:rPr>
              <w:t>128</w:t>
            </w:r>
            <w:r>
              <w:rPr>
                <w:rFonts w:ascii="Times New Roman" w:hAnsi="Times New Roman"/>
                <w:sz w:val="24"/>
              </w:rPr>
              <w:t>, point 6), de la directive 2013/36/UE, exprimé en pourcentage du total des RWEA.</w:t>
            </w:r>
          </w:p>
        </w:tc>
      </w:tr>
      <w:tr w:rsidR="00232C88" w:rsidRPr="00232C88" w14:paraId="699D0388" w14:textId="77777777" w:rsidTr="65F04A31">
        <w:trPr>
          <w:trHeight w:val="557"/>
        </w:trPr>
        <w:tc>
          <w:tcPr>
            <w:tcW w:w="1384" w:type="dxa"/>
          </w:tcPr>
          <w:p w14:paraId="06A2E386" w14:textId="77777777" w:rsidR="00BB2F0A" w:rsidRPr="00232C88" w:rsidRDefault="002F1302" w:rsidP="00BB2F0A">
            <w:pPr>
              <w:pStyle w:val="Applicationdirecte"/>
              <w:spacing w:before="60"/>
              <w:jc w:val="center"/>
            </w:pPr>
            <w:r>
              <w:t>EU 11a</w:t>
            </w:r>
          </w:p>
        </w:tc>
        <w:tc>
          <w:tcPr>
            <w:tcW w:w="7655" w:type="dxa"/>
          </w:tcPr>
          <w:p w14:paraId="31FF3D82" w14:textId="77777777" w:rsidR="00BB2F0A" w:rsidRPr="00232C88" w:rsidRDefault="00BB2F0A" w:rsidP="00BB2F0A">
            <w:pPr>
              <w:spacing w:before="60" w:after="120"/>
              <w:jc w:val="both"/>
              <w:rPr>
                <w:rFonts w:ascii="Times New Roman" w:hAnsi="Times New Roman" w:cs="Times New Roman"/>
                <w:b/>
                <w:sz w:val="24"/>
              </w:rPr>
            </w:pPr>
            <w:r>
              <w:rPr>
                <w:rFonts w:ascii="Times New Roman" w:hAnsi="Times New Roman"/>
                <w:b/>
                <w:sz w:val="24"/>
              </w:rPr>
              <w:t>Exigences globales de fonds propres (OCR) (%)</w:t>
            </w:r>
          </w:p>
          <w:p w14:paraId="27E7760D" w14:textId="77777777" w:rsidR="003F72E2" w:rsidRPr="00677BB2" w:rsidRDefault="003F72E2" w:rsidP="00677BB2">
            <w:pPr>
              <w:pStyle w:val="InstructionsText"/>
            </w:pPr>
            <w:r>
              <w:t>La somme des points i) et ii) suivants:</w:t>
            </w:r>
          </w:p>
          <w:p w14:paraId="75A891AF" w14:textId="77777777" w:rsidR="003F72E2" w:rsidRPr="00677BB2" w:rsidRDefault="003F72E2" w:rsidP="00677BB2">
            <w:pPr>
              <w:pStyle w:val="InstructionsText"/>
              <w:numPr>
                <w:ilvl w:val="0"/>
                <w:numId w:val="13"/>
              </w:numPr>
            </w:pPr>
            <w:r>
              <w:t>le ratio TSCR visé à la ligne EU 7d;</w:t>
            </w:r>
          </w:p>
          <w:p w14:paraId="5EE9D2EB" w14:textId="1239145E" w:rsidR="003F72E2" w:rsidRPr="00677BB2" w:rsidRDefault="77E19EAF" w:rsidP="00677BB2">
            <w:pPr>
              <w:pStyle w:val="InstructionsText"/>
              <w:numPr>
                <w:ilvl w:val="0"/>
                <w:numId w:val="13"/>
              </w:numPr>
            </w:pPr>
            <w:r>
              <w:t>dans la mesure où elle est légalement applicable, l’exigence globale de coussin de fonds propres visée à l’article 128, point 6), de la directive 2013/36/UE.</w:t>
            </w:r>
          </w:p>
          <w:p w14:paraId="4B4D7463" w14:textId="23124FA5" w:rsidR="003F72E2" w:rsidRPr="00677BB2" w:rsidRDefault="003F72E2" w:rsidP="00677BB2">
            <w:pPr>
              <w:pStyle w:val="InstructionsText"/>
            </w:pPr>
            <w:r>
              <w:t>Cet élément doit correspondre à l’exigence globale de fonds propres (OCR) telle que définie à la section 1.2 des orientations SREP de l</w:t>
            </w:r>
            <w:r w:rsidR="0057717F">
              <w:t>’</w:t>
            </w:r>
            <w:r>
              <w:t>ABE.</w:t>
            </w:r>
          </w:p>
          <w:p w14:paraId="7576CCD5" w14:textId="428F5627" w:rsidR="003F72E2" w:rsidRPr="00232C88" w:rsidRDefault="00704085" w:rsidP="003F72E2">
            <w:pPr>
              <w:spacing w:before="60" w:after="120"/>
              <w:jc w:val="both"/>
              <w:rPr>
                <w:rFonts w:ascii="Times New Roman" w:hAnsi="Times New Roman" w:cs="Times New Roman"/>
                <w:sz w:val="24"/>
              </w:rPr>
            </w:pPr>
            <w:r>
              <w:rPr>
                <w:rFonts w:ascii="Times New Roman" w:hAnsi="Times New Roman"/>
                <w:sz w:val="24"/>
              </w:rPr>
              <w:t>Si aucune exigence de coussin n</w:t>
            </w:r>
            <w:r w:rsidR="0057717F">
              <w:rPr>
                <w:rFonts w:ascii="Times New Roman" w:hAnsi="Times New Roman"/>
                <w:sz w:val="24"/>
              </w:rPr>
              <w:t>’</w:t>
            </w:r>
            <w:r>
              <w:rPr>
                <w:rFonts w:ascii="Times New Roman" w:hAnsi="Times New Roman"/>
                <w:sz w:val="24"/>
              </w:rPr>
              <w:t>est applicable, seul l</w:t>
            </w:r>
            <w:r w:rsidR="0057717F">
              <w:rPr>
                <w:rFonts w:ascii="Times New Roman" w:hAnsi="Times New Roman"/>
                <w:sz w:val="24"/>
              </w:rPr>
              <w:t>’</w:t>
            </w:r>
            <w:r>
              <w:rPr>
                <w:rFonts w:ascii="Times New Roman" w:hAnsi="Times New Roman"/>
                <w:sz w:val="24"/>
              </w:rPr>
              <w:t>élément visé au point i) est communiqué.</w:t>
            </w:r>
          </w:p>
        </w:tc>
      </w:tr>
      <w:tr w:rsidR="00232C88" w:rsidRPr="00232C88" w14:paraId="0C274874" w14:textId="77777777" w:rsidTr="65F04A31">
        <w:trPr>
          <w:trHeight w:val="557"/>
        </w:trPr>
        <w:tc>
          <w:tcPr>
            <w:tcW w:w="1384" w:type="dxa"/>
          </w:tcPr>
          <w:p w14:paraId="479D77DC" w14:textId="77777777" w:rsidR="00BB2F0A" w:rsidRPr="00232C88" w:rsidRDefault="00BB2F0A" w:rsidP="00BB2F0A">
            <w:pPr>
              <w:pStyle w:val="Applicationdirecte"/>
              <w:spacing w:before="60"/>
              <w:jc w:val="center"/>
            </w:pPr>
            <w:r>
              <w:t>12</w:t>
            </w:r>
          </w:p>
        </w:tc>
        <w:tc>
          <w:tcPr>
            <w:tcW w:w="7655" w:type="dxa"/>
          </w:tcPr>
          <w:p w14:paraId="7F0C0BA2" w14:textId="77777777" w:rsidR="009947D6" w:rsidRPr="00232C88" w:rsidRDefault="00BB2F0A" w:rsidP="00BB2F0A">
            <w:pPr>
              <w:spacing w:before="60" w:after="120"/>
              <w:jc w:val="both"/>
              <w:rPr>
                <w:rFonts w:ascii="Times New Roman" w:hAnsi="Times New Roman" w:cs="Times New Roman"/>
                <w:b/>
                <w:sz w:val="24"/>
              </w:rPr>
            </w:pPr>
            <w:r>
              <w:rPr>
                <w:rFonts w:ascii="Times New Roman" w:hAnsi="Times New Roman"/>
                <w:b/>
                <w:sz w:val="24"/>
              </w:rPr>
              <w:t>Fonds propres CET1 disponibles après le respect des exigences totales de fonds propres SREP (%)</w:t>
            </w:r>
          </w:p>
        </w:tc>
      </w:tr>
      <w:tr w:rsidR="00232C88" w:rsidRPr="00232C88" w14:paraId="49BB5E23" w14:textId="77777777" w:rsidTr="65F04A31">
        <w:trPr>
          <w:trHeight w:val="557"/>
        </w:trPr>
        <w:tc>
          <w:tcPr>
            <w:tcW w:w="1384" w:type="dxa"/>
          </w:tcPr>
          <w:p w14:paraId="5A1354B1" w14:textId="77777777" w:rsidR="00BB2F0A" w:rsidRPr="00232C88" w:rsidRDefault="00BB2F0A" w:rsidP="00BB2F0A">
            <w:pPr>
              <w:pStyle w:val="Applicationdirecte"/>
              <w:spacing w:before="60"/>
              <w:jc w:val="center"/>
            </w:pPr>
            <w:r>
              <w:t>13</w:t>
            </w:r>
          </w:p>
        </w:tc>
        <w:tc>
          <w:tcPr>
            <w:tcW w:w="7655" w:type="dxa"/>
          </w:tcPr>
          <w:p w14:paraId="32A5003D" w14:textId="06248F32" w:rsidR="00BB2F0A" w:rsidRPr="00232C88" w:rsidRDefault="002E24A1" w:rsidP="00BB2F0A">
            <w:pPr>
              <w:spacing w:before="60" w:after="120"/>
              <w:jc w:val="both"/>
              <w:rPr>
                <w:rFonts w:ascii="Times New Roman" w:hAnsi="Times New Roman" w:cs="Times New Roman"/>
                <w:b/>
                <w:sz w:val="24"/>
              </w:rPr>
            </w:pPr>
            <w:r>
              <w:rPr>
                <w:rFonts w:ascii="Times New Roman" w:hAnsi="Times New Roman"/>
                <w:b/>
                <w:sz w:val="24"/>
              </w:rPr>
              <w:t>Mesure de l’exposition totale</w:t>
            </w:r>
          </w:p>
          <w:p w14:paraId="7F06FA40" w14:textId="05144BCF" w:rsidR="00BB2F0A" w:rsidRPr="00232C88" w:rsidRDefault="00A239F6" w:rsidP="00A239F6">
            <w:pPr>
              <w:spacing w:before="60" w:after="120"/>
              <w:jc w:val="both"/>
              <w:rPr>
                <w:rFonts w:ascii="Times New Roman" w:hAnsi="Times New Roman" w:cs="Times New Roman"/>
                <w:sz w:val="24"/>
              </w:rPr>
            </w:pPr>
            <w:r>
              <w:rPr>
                <w:rFonts w:ascii="Times New Roman" w:hAnsi="Times New Roman"/>
                <w:sz w:val="24"/>
              </w:rPr>
              <w:t>Mesure de l’exposition totale correspondant au montant communiqué par les établissements à l’annexe XI des solutions informatiques de l</w:t>
            </w:r>
            <w:r w:rsidR="0057717F">
              <w:rPr>
                <w:rFonts w:ascii="Times New Roman" w:hAnsi="Times New Roman"/>
                <w:sz w:val="24"/>
              </w:rPr>
              <w:t>’</w:t>
            </w:r>
            <w:r>
              <w:rPr>
                <w:rFonts w:ascii="Times New Roman" w:hAnsi="Times New Roman"/>
                <w:sz w:val="24"/>
              </w:rPr>
              <w:t xml:space="preserve">ABE (ligne 24 du modèle EU LR2 </w:t>
            </w:r>
            <w:r w:rsidR="0057717F">
              <w:rPr>
                <w:rFonts w:ascii="Times New Roman" w:hAnsi="Times New Roman"/>
                <w:sz w:val="24"/>
              </w:rPr>
              <w:t>—</w:t>
            </w:r>
            <w:r>
              <w:rPr>
                <w:rFonts w:ascii="Times New Roman" w:hAnsi="Times New Roman"/>
                <w:sz w:val="24"/>
              </w:rPr>
              <w:t xml:space="preserve"> LRCom: Ratio de levier — déclaration commune).</w:t>
            </w:r>
          </w:p>
        </w:tc>
      </w:tr>
      <w:tr w:rsidR="00232C88" w:rsidRPr="00232C88" w14:paraId="196409C3" w14:textId="77777777" w:rsidTr="65F04A31">
        <w:trPr>
          <w:trHeight w:val="557"/>
        </w:trPr>
        <w:tc>
          <w:tcPr>
            <w:tcW w:w="1384" w:type="dxa"/>
          </w:tcPr>
          <w:p w14:paraId="34174C57" w14:textId="77777777" w:rsidR="00BB2F0A" w:rsidRPr="00232C88" w:rsidRDefault="00BB2F0A" w:rsidP="00BB2F0A">
            <w:pPr>
              <w:pStyle w:val="Applicationdirecte"/>
              <w:spacing w:before="60"/>
              <w:jc w:val="center"/>
            </w:pPr>
            <w:r>
              <w:t>14</w:t>
            </w:r>
          </w:p>
        </w:tc>
        <w:tc>
          <w:tcPr>
            <w:tcW w:w="7655" w:type="dxa"/>
          </w:tcPr>
          <w:p w14:paraId="7CD88775" w14:textId="77777777" w:rsidR="00BB2F0A" w:rsidRPr="00232C88" w:rsidRDefault="00BB2F0A" w:rsidP="00BB2F0A">
            <w:pPr>
              <w:spacing w:before="60" w:after="120"/>
              <w:jc w:val="both"/>
              <w:rPr>
                <w:rFonts w:ascii="Times New Roman" w:hAnsi="Times New Roman" w:cs="Times New Roman"/>
                <w:b/>
                <w:sz w:val="24"/>
              </w:rPr>
            </w:pPr>
            <w:r>
              <w:rPr>
                <w:rFonts w:ascii="Times New Roman" w:hAnsi="Times New Roman"/>
                <w:b/>
                <w:sz w:val="24"/>
              </w:rPr>
              <w:t>Ratio de levier (%)</w:t>
            </w:r>
          </w:p>
          <w:p w14:paraId="19D19C40" w14:textId="54824E83" w:rsidR="00BB2F0A" w:rsidRPr="00232C88" w:rsidRDefault="00BB2F0A" w:rsidP="00416DAD">
            <w:pPr>
              <w:spacing w:before="60" w:after="120"/>
              <w:jc w:val="both"/>
              <w:rPr>
                <w:rFonts w:ascii="Times New Roman" w:hAnsi="Times New Roman" w:cs="Times New Roman"/>
                <w:sz w:val="24"/>
              </w:rPr>
            </w:pPr>
            <w:r>
              <w:rPr>
                <w:rFonts w:ascii="Times New Roman" w:hAnsi="Times New Roman"/>
                <w:sz w:val="24"/>
              </w:rPr>
              <w:t>Mesure de l’exposition totale correspondant au montant communiqué par les établissements à l’annexe XI</w:t>
            </w:r>
            <w:r>
              <w:t xml:space="preserve"> </w:t>
            </w:r>
            <w:bookmarkStart w:id="10" w:name="_Hlk169692988"/>
            <w:r>
              <w:rPr>
                <w:rFonts w:ascii="Times New Roman" w:hAnsi="Times New Roman"/>
                <w:sz w:val="24"/>
              </w:rPr>
              <w:t>des solutions informatiques de l</w:t>
            </w:r>
            <w:r w:rsidR="0057717F">
              <w:rPr>
                <w:rFonts w:ascii="Times New Roman" w:hAnsi="Times New Roman"/>
                <w:sz w:val="24"/>
              </w:rPr>
              <w:t>’</w:t>
            </w:r>
            <w:r>
              <w:rPr>
                <w:rFonts w:ascii="Times New Roman" w:hAnsi="Times New Roman"/>
                <w:sz w:val="24"/>
              </w:rPr>
              <w:t>ABE</w:t>
            </w:r>
            <w:bookmarkEnd w:id="10"/>
            <w:r>
              <w:rPr>
                <w:rFonts w:ascii="Times New Roman" w:hAnsi="Times New Roman"/>
                <w:sz w:val="24"/>
              </w:rPr>
              <w:t xml:space="preserve"> (ligne 25 du modèle EU LR2 </w:t>
            </w:r>
            <w:r w:rsidR="0057717F">
              <w:rPr>
                <w:rFonts w:ascii="Times New Roman" w:hAnsi="Times New Roman"/>
                <w:sz w:val="24"/>
              </w:rPr>
              <w:t>—</w:t>
            </w:r>
            <w:r>
              <w:rPr>
                <w:rFonts w:ascii="Times New Roman" w:hAnsi="Times New Roman"/>
                <w:sz w:val="24"/>
              </w:rPr>
              <w:t xml:space="preserve"> LRCom: Ratio de levier — déclaration commune).</w:t>
            </w:r>
          </w:p>
        </w:tc>
      </w:tr>
      <w:tr w:rsidR="00232C88" w:rsidRPr="00232C88" w14:paraId="4B0B4246" w14:textId="77777777" w:rsidTr="65F04A31">
        <w:trPr>
          <w:trHeight w:val="557"/>
        </w:trPr>
        <w:tc>
          <w:tcPr>
            <w:tcW w:w="1384" w:type="dxa"/>
          </w:tcPr>
          <w:p w14:paraId="2DD72E65" w14:textId="373D5569" w:rsidR="00505188" w:rsidRPr="00232C88" w:rsidRDefault="00505188" w:rsidP="00275B5E">
            <w:pPr>
              <w:pStyle w:val="Applicationdirecte"/>
              <w:spacing w:before="60"/>
              <w:jc w:val="center"/>
            </w:pPr>
            <w:r>
              <w:t>EU 14a</w:t>
            </w:r>
          </w:p>
        </w:tc>
        <w:tc>
          <w:tcPr>
            <w:tcW w:w="7655" w:type="dxa"/>
          </w:tcPr>
          <w:p w14:paraId="331BA724" w14:textId="344E5468" w:rsidR="00505188" w:rsidRPr="00232C88" w:rsidRDefault="00505188" w:rsidP="001C2D18">
            <w:pPr>
              <w:spacing w:before="60" w:after="120"/>
              <w:jc w:val="both"/>
              <w:rPr>
                <w:rFonts w:ascii="Times New Roman" w:hAnsi="Times New Roman" w:cs="Times New Roman"/>
                <w:b/>
                <w:sz w:val="24"/>
              </w:rPr>
            </w:pPr>
            <w:r>
              <w:rPr>
                <w:rFonts w:ascii="Times New Roman" w:hAnsi="Times New Roman"/>
                <w:b/>
                <w:sz w:val="24"/>
              </w:rPr>
              <w:t xml:space="preserve">Exigences de fonds propres supplémentaires pour faire face au risque de levier excessif (%) </w:t>
            </w:r>
          </w:p>
          <w:p w14:paraId="4884A9B8" w14:textId="32CF04C9" w:rsidR="00597D20" w:rsidRPr="00232C88" w:rsidRDefault="49BBA50F" w:rsidP="4D769726">
            <w:pPr>
              <w:spacing w:before="60" w:after="120"/>
              <w:jc w:val="both"/>
              <w:rPr>
                <w:rFonts w:ascii="Times New Roman" w:eastAsia="Book Antiqua" w:hAnsi="Times New Roman" w:cs="Times New Roman"/>
                <w:sz w:val="24"/>
                <w:shd w:val="clear" w:color="auto" w:fill="FFFFFF"/>
              </w:rPr>
            </w:pPr>
            <w:r>
              <w:rPr>
                <w:rFonts w:ascii="Times New Roman" w:hAnsi="Times New Roman"/>
                <w:sz w:val="24"/>
                <w:shd w:val="clear" w:color="auto" w:fill="FFFFFF"/>
              </w:rPr>
              <w:t>Exigences</w:t>
            </w:r>
            <w:r>
              <w:rPr>
                <w:rFonts w:ascii="Times New Roman" w:hAnsi="Times New Roman"/>
                <w:sz w:val="24"/>
              </w:rPr>
              <w:t xml:space="preserve"> de</w:t>
            </w:r>
            <w:r>
              <w:rPr>
                <w:rFonts w:ascii="Times New Roman" w:hAnsi="Times New Roman"/>
                <w:sz w:val="24"/>
                <w:shd w:val="clear" w:color="auto" w:fill="FFFFFF"/>
              </w:rPr>
              <w:t xml:space="preserve"> fonds propres</w:t>
            </w:r>
            <w:r>
              <w:rPr>
                <w:rFonts w:ascii="Times New Roman" w:hAnsi="Times New Roman"/>
                <w:sz w:val="24"/>
              </w:rPr>
              <w:t xml:space="preserve"> supplémentaires </w:t>
            </w:r>
            <w:r>
              <w:rPr>
                <w:rFonts w:ascii="Times New Roman" w:hAnsi="Times New Roman"/>
                <w:sz w:val="24"/>
                <w:shd w:val="clear" w:color="auto" w:fill="FFFFFF"/>
              </w:rPr>
              <w:t>pour faire face au risque de levier excessif</w:t>
            </w:r>
            <w:r>
              <w:rPr>
                <w:rFonts w:ascii="Times New Roman" w:hAnsi="Times New Roman"/>
                <w:sz w:val="24"/>
              </w:rPr>
              <w:t xml:space="preserve"> imposées par l’autorité compétente en vertu de l’article 104, </w:t>
            </w:r>
            <w:r>
              <w:rPr>
                <w:rFonts w:ascii="Times New Roman" w:hAnsi="Times New Roman"/>
                <w:sz w:val="24"/>
              </w:rPr>
              <w:lastRenderedPageBreak/>
              <w:t xml:space="preserve">paragraphe 1, point a), de la directive 2013/36/UE, </w:t>
            </w:r>
            <w:r>
              <w:rPr>
                <w:rFonts w:ascii="Times New Roman" w:hAnsi="Times New Roman"/>
                <w:sz w:val="24"/>
                <w:shd w:val="clear" w:color="auto" w:fill="FFFFFF"/>
              </w:rPr>
              <w:t xml:space="preserve">exprimées en pourcentage de la mesure de l’exposition totale </w:t>
            </w:r>
          </w:p>
          <w:p w14:paraId="46E7F0BC" w14:textId="08DDADBD" w:rsidR="000C1BEC" w:rsidRPr="00232C88" w:rsidRDefault="00597D20" w:rsidP="00597D20">
            <w:pPr>
              <w:spacing w:before="60" w:after="120"/>
              <w:jc w:val="both"/>
              <w:rPr>
                <w:rFonts w:ascii="Times New Roman" w:hAnsi="Times New Roman" w:cs="Times New Roman"/>
                <w:sz w:val="24"/>
              </w:rPr>
            </w:pPr>
            <w:r>
              <w:rPr>
                <w:rFonts w:ascii="Times New Roman" w:hAnsi="Times New Roman"/>
                <w:sz w:val="24"/>
              </w:rPr>
              <w:t>Exigences de fonds propres supplémentaires correspondant à la valeur communiquée par les établissements à l’annexe XI des solutions informatiques de l</w:t>
            </w:r>
            <w:r w:rsidR="0057717F">
              <w:rPr>
                <w:rFonts w:ascii="Times New Roman" w:hAnsi="Times New Roman"/>
                <w:sz w:val="24"/>
              </w:rPr>
              <w:t>’</w:t>
            </w:r>
            <w:r>
              <w:rPr>
                <w:rFonts w:ascii="Times New Roman" w:hAnsi="Times New Roman"/>
                <w:sz w:val="24"/>
              </w:rPr>
              <w:t xml:space="preserve">ABE (ligne EU-26a du modèle EU LR2 </w:t>
            </w:r>
            <w:r w:rsidR="0057717F">
              <w:rPr>
                <w:rFonts w:ascii="Times New Roman" w:hAnsi="Times New Roman"/>
                <w:sz w:val="24"/>
              </w:rPr>
              <w:t>—</w:t>
            </w:r>
            <w:r>
              <w:rPr>
                <w:rFonts w:ascii="Times New Roman" w:hAnsi="Times New Roman"/>
                <w:sz w:val="24"/>
              </w:rPr>
              <w:t xml:space="preserve"> LRCom: Ratio de levier — déclaration commune).</w:t>
            </w:r>
          </w:p>
        </w:tc>
      </w:tr>
      <w:tr w:rsidR="00232C88" w:rsidRPr="00232C88" w14:paraId="36EBE00D" w14:textId="77777777" w:rsidTr="65F04A31">
        <w:trPr>
          <w:trHeight w:val="557"/>
        </w:trPr>
        <w:tc>
          <w:tcPr>
            <w:tcW w:w="1384" w:type="dxa"/>
          </w:tcPr>
          <w:p w14:paraId="09FA5971" w14:textId="32273074" w:rsidR="00505188" w:rsidRPr="00232C88" w:rsidRDefault="00505188" w:rsidP="00597D20">
            <w:pPr>
              <w:pStyle w:val="Applicationdirecte"/>
              <w:spacing w:before="60"/>
              <w:jc w:val="center"/>
            </w:pPr>
            <w:r>
              <w:lastRenderedPageBreak/>
              <w:t>EU 14b</w:t>
            </w:r>
          </w:p>
        </w:tc>
        <w:tc>
          <w:tcPr>
            <w:tcW w:w="7655" w:type="dxa"/>
          </w:tcPr>
          <w:p w14:paraId="2B7D35CB" w14:textId="5C222559" w:rsidR="00381E59" w:rsidRPr="00232C88" w:rsidRDefault="002B7ED3" w:rsidP="00597D20">
            <w:pPr>
              <w:spacing w:before="60" w:after="120"/>
              <w:jc w:val="both"/>
              <w:rPr>
                <w:rFonts w:ascii="Times New Roman" w:hAnsi="Times New Roman" w:cs="Times New Roman"/>
                <w:b/>
                <w:sz w:val="24"/>
              </w:rPr>
            </w:pPr>
            <w:r>
              <w:rPr>
                <w:rFonts w:ascii="Times New Roman" w:hAnsi="Times New Roman"/>
                <w:sz w:val="24"/>
              </w:rPr>
              <w:t xml:space="preserve">    </w:t>
            </w:r>
            <w:r>
              <w:rPr>
                <w:rFonts w:ascii="Times New Roman" w:hAnsi="Times New Roman"/>
                <w:b/>
                <w:sz w:val="24"/>
              </w:rPr>
              <w:t>dont: à satisfaire avec des fonds propres CET1 (points de pourcentage)</w:t>
            </w:r>
          </w:p>
          <w:p w14:paraId="4E1932EC" w14:textId="4AF7540F" w:rsidR="00597D20" w:rsidRPr="00232C88" w:rsidRDefault="49BBA50F" w:rsidP="4D769726">
            <w:pPr>
              <w:spacing w:before="60" w:after="120"/>
              <w:jc w:val="both"/>
              <w:rPr>
                <w:rFonts w:ascii="Times New Roman" w:eastAsia="Book Antiqua" w:hAnsi="Times New Roman" w:cs="Times New Roman"/>
                <w:sz w:val="24"/>
                <w:shd w:val="clear" w:color="auto" w:fill="FFFFFF"/>
              </w:rPr>
            </w:pPr>
            <w:r>
              <w:rPr>
                <w:rFonts w:ascii="Times New Roman" w:hAnsi="Times New Roman"/>
                <w:sz w:val="24"/>
                <w:shd w:val="clear" w:color="auto" w:fill="FFFFFF"/>
              </w:rPr>
              <w:t>La part des exigences</w:t>
            </w:r>
            <w:r>
              <w:rPr>
                <w:rFonts w:ascii="Times New Roman" w:hAnsi="Times New Roman"/>
                <w:sz w:val="24"/>
              </w:rPr>
              <w:t xml:space="preserve"> de fonds propres supplémentaires</w:t>
            </w:r>
            <w:r>
              <w:rPr>
                <w:rFonts w:ascii="Times New Roman" w:hAnsi="Times New Roman"/>
                <w:sz w:val="24"/>
                <w:shd w:val="clear" w:color="auto" w:fill="FFFFFF"/>
              </w:rPr>
              <w:t xml:space="preserve"> pour faire face au risque de levier excessif</w:t>
            </w:r>
            <w:r>
              <w:rPr>
                <w:rFonts w:ascii="Times New Roman" w:hAnsi="Times New Roman"/>
                <w:sz w:val="24"/>
              </w:rPr>
              <w:t xml:space="preserve"> imposées par l’autorité compétente en vertu de l’article 104, paragraphe 1, point a), de la directive 2013/36/UE, </w:t>
            </w:r>
            <w:r>
              <w:rPr>
                <w:rFonts w:ascii="Times New Roman" w:hAnsi="Times New Roman"/>
                <w:sz w:val="24"/>
                <w:shd w:val="clear" w:color="auto" w:fill="FFFFFF"/>
              </w:rPr>
              <w:t>qui doit être couverte par des CET1 conformément à l’article 104 </w:t>
            </w:r>
            <w:r>
              <w:rPr>
                <w:rFonts w:ascii="Times New Roman" w:hAnsi="Times New Roman"/>
                <w:i/>
                <w:sz w:val="24"/>
                <w:shd w:val="clear" w:color="auto" w:fill="FFFFFF"/>
              </w:rPr>
              <w:t>bis</w:t>
            </w:r>
            <w:r>
              <w:rPr>
                <w:rFonts w:ascii="Times New Roman" w:hAnsi="Times New Roman"/>
                <w:sz w:val="24"/>
                <w:shd w:val="clear" w:color="auto" w:fill="FFFFFF"/>
              </w:rPr>
              <w:t xml:space="preserve">, paragraphe 4, troisième alinéa </w:t>
            </w:r>
          </w:p>
          <w:p w14:paraId="68D46321" w14:textId="4D6F8120" w:rsidR="000C1BEC" w:rsidRPr="00232C88" w:rsidRDefault="00597D20" w:rsidP="000C1BEC">
            <w:pPr>
              <w:spacing w:before="60" w:after="120"/>
              <w:jc w:val="both"/>
              <w:rPr>
                <w:rFonts w:ascii="Times New Roman" w:hAnsi="Times New Roman" w:cs="Times New Roman"/>
                <w:sz w:val="24"/>
              </w:rPr>
            </w:pPr>
            <w:r>
              <w:rPr>
                <w:rFonts w:ascii="Times New Roman" w:hAnsi="Times New Roman"/>
                <w:sz w:val="24"/>
              </w:rPr>
              <w:t>Exigences de fonds propres supplémentaires correspondant à la valeur communiquée par les établissements à l’annexe XI des solutions informatiques de l</w:t>
            </w:r>
            <w:r w:rsidR="0057717F">
              <w:rPr>
                <w:rFonts w:ascii="Times New Roman" w:hAnsi="Times New Roman"/>
                <w:sz w:val="24"/>
              </w:rPr>
              <w:t>’</w:t>
            </w:r>
            <w:r>
              <w:rPr>
                <w:rFonts w:ascii="Times New Roman" w:hAnsi="Times New Roman"/>
                <w:sz w:val="24"/>
              </w:rPr>
              <w:t xml:space="preserve">ABE (ligne EU-26b du modèle EU LR2 </w:t>
            </w:r>
            <w:r w:rsidR="0057717F">
              <w:rPr>
                <w:rFonts w:ascii="Times New Roman" w:hAnsi="Times New Roman"/>
                <w:sz w:val="24"/>
              </w:rPr>
              <w:t>—</w:t>
            </w:r>
            <w:r>
              <w:rPr>
                <w:rFonts w:ascii="Times New Roman" w:hAnsi="Times New Roman"/>
                <w:sz w:val="24"/>
              </w:rPr>
              <w:t xml:space="preserve"> LRCom: Ratio de levier — déclaration commune).</w:t>
            </w:r>
          </w:p>
        </w:tc>
      </w:tr>
      <w:tr w:rsidR="00232C88" w:rsidRPr="00232C88" w14:paraId="2D7EE809" w14:textId="77777777" w:rsidTr="65F04A31">
        <w:trPr>
          <w:trHeight w:val="557"/>
        </w:trPr>
        <w:tc>
          <w:tcPr>
            <w:tcW w:w="1384" w:type="dxa"/>
          </w:tcPr>
          <w:p w14:paraId="649507C9" w14:textId="0BF1E1F1" w:rsidR="00505188" w:rsidRPr="00232C88" w:rsidRDefault="00505188" w:rsidP="00597D20">
            <w:pPr>
              <w:pStyle w:val="Applicationdirecte"/>
              <w:spacing w:before="60"/>
              <w:jc w:val="center"/>
            </w:pPr>
            <w:r>
              <w:t>EU 14c</w:t>
            </w:r>
          </w:p>
        </w:tc>
        <w:tc>
          <w:tcPr>
            <w:tcW w:w="7655" w:type="dxa"/>
          </w:tcPr>
          <w:p w14:paraId="4458837C" w14:textId="180D2C07" w:rsidR="00505188" w:rsidRPr="00232C88" w:rsidRDefault="00505188" w:rsidP="001C2D18">
            <w:pPr>
              <w:spacing w:before="60" w:after="120"/>
              <w:jc w:val="both"/>
              <w:rPr>
                <w:rFonts w:ascii="Times New Roman" w:hAnsi="Times New Roman" w:cs="Times New Roman"/>
                <w:b/>
                <w:sz w:val="24"/>
              </w:rPr>
            </w:pPr>
            <w:r>
              <w:rPr>
                <w:rFonts w:ascii="Times New Roman" w:hAnsi="Times New Roman"/>
                <w:b/>
                <w:sz w:val="24"/>
              </w:rPr>
              <w:t>Exigences de ratio de levier SREP totales (%)</w:t>
            </w:r>
          </w:p>
          <w:p w14:paraId="12B9013E" w14:textId="77777777" w:rsidR="00505188" w:rsidRPr="00677BB2" w:rsidRDefault="00505188" w:rsidP="00677BB2">
            <w:pPr>
              <w:pStyle w:val="InstructionsText"/>
            </w:pPr>
            <w:r>
              <w:t>La somme des points i) et ii) suivants:</w:t>
            </w:r>
          </w:p>
          <w:p w14:paraId="5E716F27" w14:textId="0373DF56" w:rsidR="00505188" w:rsidRPr="00677BB2" w:rsidRDefault="00D96782" w:rsidP="00677BB2">
            <w:pPr>
              <w:pStyle w:val="InstructionsText"/>
            </w:pPr>
            <w:r>
              <w:t>i) l’exigence minimale de ratio de levier tel que visée à l’article 92, paragraphe 1, point d), du règlement (UE) nº 575/2013 ou l’exigence de ratio de levier ajusté calculée conformément à l’article 429 </w:t>
            </w:r>
            <w:r>
              <w:rPr>
                <w:i/>
              </w:rPr>
              <w:t>bis</w:t>
            </w:r>
            <w:r>
              <w:t xml:space="preserve">, paragraphe 7, du règlement (UE) nº 575/2013, selon le cas; </w:t>
            </w:r>
          </w:p>
          <w:p w14:paraId="40C21DE2" w14:textId="58271C4B" w:rsidR="00505188" w:rsidRPr="00677BB2" w:rsidRDefault="00D96782" w:rsidP="00677BB2">
            <w:pPr>
              <w:pStyle w:val="InstructionsText"/>
            </w:pPr>
            <w:r>
              <w:t>ii) les exigences de fonds propres supplémentaires pour faire face au risque de levier excessif (exigences du deuxième pilier – P2R) imposées par l’autorité compétente en vertu de l’article 104, paragraphe 1, point a), de la directive 2013/36/UE, exprimées en pourcentage de la mesure de l’exposition totale</w:t>
            </w:r>
          </w:p>
          <w:p w14:paraId="72014476" w14:textId="72428B13" w:rsidR="00505188" w:rsidRPr="00677BB2" w:rsidRDefault="00505188" w:rsidP="00677BB2">
            <w:pPr>
              <w:pStyle w:val="InstructionsText"/>
            </w:pPr>
            <w:r>
              <w:t>Cet élément correspond à l’exigence de ratio de levier SREP total (TSLRR) communiquée à l’établissement par l’autorité compétente.</w:t>
            </w:r>
          </w:p>
          <w:p w14:paraId="35AC4925" w14:textId="7D83C47D" w:rsidR="00505188" w:rsidRPr="00232C88" w:rsidRDefault="00505188" w:rsidP="00A44A20">
            <w:pPr>
              <w:spacing w:before="60" w:after="120"/>
              <w:jc w:val="both"/>
              <w:rPr>
                <w:rFonts w:ascii="Times New Roman" w:hAnsi="Times New Roman" w:cs="Times New Roman"/>
                <w:sz w:val="24"/>
              </w:rPr>
            </w:pPr>
            <w:r>
              <w:rPr>
                <w:rFonts w:ascii="Times New Roman" w:hAnsi="Times New Roman"/>
                <w:sz w:val="24"/>
              </w:rPr>
              <w:t>Si l’autorité compétente n</w:t>
            </w:r>
            <w:r w:rsidR="0057717F">
              <w:rPr>
                <w:rFonts w:ascii="Times New Roman" w:hAnsi="Times New Roman"/>
                <w:sz w:val="24"/>
              </w:rPr>
              <w:t>’</w:t>
            </w:r>
            <w:r>
              <w:rPr>
                <w:rFonts w:ascii="Times New Roman" w:hAnsi="Times New Roman"/>
                <w:sz w:val="24"/>
              </w:rPr>
              <w:t>impose pas d</w:t>
            </w:r>
            <w:r w:rsidR="0057717F">
              <w:rPr>
                <w:rFonts w:ascii="Times New Roman" w:hAnsi="Times New Roman"/>
                <w:sz w:val="24"/>
              </w:rPr>
              <w:t>’</w:t>
            </w:r>
            <w:r>
              <w:rPr>
                <w:rFonts w:ascii="Times New Roman" w:hAnsi="Times New Roman"/>
                <w:sz w:val="24"/>
              </w:rPr>
              <w:t>exigence de fonds propres supplémentaire pour faire face au risque de levier excessif, seul l</w:t>
            </w:r>
            <w:r w:rsidR="0057717F">
              <w:rPr>
                <w:rFonts w:ascii="Times New Roman" w:hAnsi="Times New Roman"/>
                <w:sz w:val="24"/>
              </w:rPr>
              <w:t>’</w:t>
            </w:r>
            <w:r>
              <w:rPr>
                <w:rFonts w:ascii="Times New Roman" w:hAnsi="Times New Roman"/>
                <w:sz w:val="24"/>
              </w:rPr>
              <w:t>élément visé au point i) est communiqué.</w:t>
            </w:r>
          </w:p>
        </w:tc>
      </w:tr>
      <w:tr w:rsidR="00232C88" w:rsidRPr="00232C88" w14:paraId="3B5E2E48" w14:textId="77777777" w:rsidTr="65F04A31">
        <w:trPr>
          <w:trHeight w:val="557"/>
        </w:trPr>
        <w:tc>
          <w:tcPr>
            <w:tcW w:w="1384" w:type="dxa"/>
          </w:tcPr>
          <w:p w14:paraId="789861B4" w14:textId="0838E1F8" w:rsidR="00505188" w:rsidRPr="00232C88" w:rsidRDefault="00505188" w:rsidP="00597D20">
            <w:pPr>
              <w:pStyle w:val="Applicationdirecte"/>
              <w:spacing w:before="60"/>
              <w:jc w:val="center"/>
            </w:pPr>
            <w:r>
              <w:t>EU 14d</w:t>
            </w:r>
          </w:p>
        </w:tc>
        <w:tc>
          <w:tcPr>
            <w:tcW w:w="7655" w:type="dxa"/>
          </w:tcPr>
          <w:p w14:paraId="08E93EB0" w14:textId="1CAE83B8" w:rsidR="00505188" w:rsidRPr="00232C88" w:rsidRDefault="00BB3630" w:rsidP="00677BB2">
            <w:pPr>
              <w:pStyle w:val="InstructionsText"/>
            </w:pPr>
            <w:r>
              <w:t>Exigence de coussin lié au ratio de levier (%)</w:t>
            </w:r>
          </w:p>
          <w:p w14:paraId="0A30AE70" w14:textId="646BA176" w:rsidR="00641F64" w:rsidRPr="00232C88" w:rsidRDefault="00641F64" w:rsidP="004A2B2B">
            <w:pPr>
              <w:spacing w:before="60" w:after="120"/>
              <w:jc w:val="both"/>
              <w:rPr>
                <w:rFonts w:ascii="Times New Roman" w:hAnsi="Times New Roman" w:cs="Times New Roman"/>
                <w:sz w:val="24"/>
              </w:rPr>
            </w:pPr>
            <w:r>
              <w:rPr>
                <w:rFonts w:ascii="Times New Roman" w:hAnsi="Times New Roman"/>
                <w:sz w:val="24"/>
              </w:rPr>
              <w:t>Article 92, paragraphe 1 </w:t>
            </w:r>
            <w:r>
              <w:rPr>
                <w:rFonts w:ascii="Times New Roman" w:hAnsi="Times New Roman"/>
                <w:i/>
                <w:sz w:val="24"/>
              </w:rPr>
              <w:t>bis</w:t>
            </w:r>
            <w:r>
              <w:rPr>
                <w:rFonts w:ascii="Times New Roman" w:hAnsi="Times New Roman"/>
                <w:sz w:val="24"/>
              </w:rPr>
              <w:t>, du règlement (UE) nº 575/2013.</w:t>
            </w:r>
          </w:p>
          <w:p w14:paraId="7716A8FF" w14:textId="5FCDFB1D" w:rsidR="00505188" w:rsidRPr="00232C88" w:rsidRDefault="00505188" w:rsidP="004A2B2B">
            <w:pPr>
              <w:spacing w:before="60" w:after="120"/>
              <w:jc w:val="both"/>
              <w:rPr>
                <w:rFonts w:ascii="Times New Roman" w:hAnsi="Times New Roman" w:cs="Times New Roman"/>
                <w:sz w:val="24"/>
              </w:rPr>
            </w:pPr>
            <w:r>
              <w:rPr>
                <w:rFonts w:ascii="Times New Roman" w:hAnsi="Times New Roman"/>
                <w:sz w:val="24"/>
              </w:rPr>
              <w:t>Coussin de ratio de levier applicable correspondant au montant communiqué par les établissements à l’annexe XI des solutions informatiques de l</w:t>
            </w:r>
            <w:r w:rsidR="0057717F">
              <w:rPr>
                <w:rFonts w:ascii="Times New Roman" w:hAnsi="Times New Roman"/>
                <w:sz w:val="24"/>
              </w:rPr>
              <w:t>’</w:t>
            </w:r>
            <w:r>
              <w:rPr>
                <w:rFonts w:ascii="Times New Roman" w:hAnsi="Times New Roman"/>
                <w:sz w:val="24"/>
              </w:rPr>
              <w:t xml:space="preserve">ABE (ligne 27 du modèle EU LR2 </w:t>
            </w:r>
            <w:r w:rsidR="0057717F">
              <w:rPr>
                <w:rFonts w:ascii="Times New Roman" w:hAnsi="Times New Roman"/>
                <w:sz w:val="24"/>
              </w:rPr>
              <w:t>—</w:t>
            </w:r>
            <w:r>
              <w:rPr>
                <w:rFonts w:ascii="Times New Roman" w:hAnsi="Times New Roman"/>
                <w:sz w:val="24"/>
              </w:rPr>
              <w:t xml:space="preserve"> LRCom: Ratio de levier — déclaration commune)</w:t>
            </w:r>
          </w:p>
        </w:tc>
      </w:tr>
      <w:tr w:rsidR="00232C88" w:rsidRPr="00232C88" w14:paraId="3FACD115" w14:textId="77777777" w:rsidTr="65F04A31">
        <w:trPr>
          <w:trHeight w:val="557"/>
        </w:trPr>
        <w:tc>
          <w:tcPr>
            <w:tcW w:w="1384" w:type="dxa"/>
          </w:tcPr>
          <w:p w14:paraId="27224C83" w14:textId="4B369FBD" w:rsidR="00505188" w:rsidRPr="00232C88" w:rsidRDefault="00505188" w:rsidP="00597D20">
            <w:pPr>
              <w:pStyle w:val="Applicationdirecte"/>
              <w:spacing w:before="60"/>
              <w:jc w:val="center"/>
            </w:pPr>
            <w:r>
              <w:t>EU 14e</w:t>
            </w:r>
          </w:p>
        </w:tc>
        <w:tc>
          <w:tcPr>
            <w:tcW w:w="7655" w:type="dxa"/>
          </w:tcPr>
          <w:p w14:paraId="69DDF496" w14:textId="1D586C01" w:rsidR="00505188" w:rsidRPr="00232C88" w:rsidRDefault="00505188" w:rsidP="001C2D18">
            <w:pPr>
              <w:spacing w:before="60" w:after="120"/>
              <w:jc w:val="both"/>
              <w:rPr>
                <w:rFonts w:ascii="Times New Roman" w:hAnsi="Times New Roman" w:cs="Times New Roman"/>
                <w:b/>
                <w:sz w:val="24"/>
              </w:rPr>
            </w:pPr>
            <w:r>
              <w:rPr>
                <w:rFonts w:ascii="Times New Roman" w:hAnsi="Times New Roman"/>
                <w:b/>
                <w:sz w:val="24"/>
              </w:rPr>
              <w:t>Exigence de ratio de levier globale (%)</w:t>
            </w:r>
          </w:p>
          <w:p w14:paraId="02FD04C6" w14:textId="7E32495C" w:rsidR="00505188" w:rsidRPr="00232C88" w:rsidRDefault="00505188" w:rsidP="00597D20">
            <w:pPr>
              <w:spacing w:before="60" w:after="120"/>
              <w:jc w:val="both"/>
              <w:rPr>
                <w:rFonts w:ascii="Times New Roman" w:hAnsi="Times New Roman" w:cs="Times New Roman"/>
                <w:sz w:val="24"/>
              </w:rPr>
            </w:pPr>
            <w:r>
              <w:rPr>
                <w:rFonts w:ascii="Times New Roman" w:hAnsi="Times New Roman"/>
                <w:sz w:val="24"/>
              </w:rPr>
              <w:t>Somme des lignes EU 14c et EU 14d</w:t>
            </w:r>
          </w:p>
        </w:tc>
      </w:tr>
      <w:tr w:rsidR="00232C88" w:rsidRPr="00232C88" w14:paraId="7772A699" w14:textId="77777777" w:rsidTr="65F04A31">
        <w:trPr>
          <w:trHeight w:val="557"/>
        </w:trPr>
        <w:tc>
          <w:tcPr>
            <w:tcW w:w="1384" w:type="dxa"/>
          </w:tcPr>
          <w:p w14:paraId="63DDF276" w14:textId="77777777" w:rsidR="00BB2F0A" w:rsidRPr="00232C88" w:rsidRDefault="00BB2F0A" w:rsidP="00BB2F0A">
            <w:pPr>
              <w:pStyle w:val="Applicationdirecte"/>
              <w:spacing w:before="60"/>
              <w:jc w:val="center"/>
            </w:pPr>
            <w:r>
              <w:lastRenderedPageBreak/>
              <w:t>15</w:t>
            </w:r>
          </w:p>
        </w:tc>
        <w:tc>
          <w:tcPr>
            <w:tcW w:w="7655" w:type="dxa"/>
          </w:tcPr>
          <w:p w14:paraId="54AB95EC" w14:textId="77777777" w:rsidR="00BB2F0A" w:rsidRPr="00232C88" w:rsidRDefault="00BB2F0A" w:rsidP="00BB2F0A">
            <w:pPr>
              <w:spacing w:before="60" w:after="120"/>
              <w:jc w:val="both"/>
              <w:rPr>
                <w:rFonts w:ascii="Times New Roman" w:hAnsi="Times New Roman" w:cs="Times New Roman"/>
                <w:b/>
                <w:sz w:val="24"/>
              </w:rPr>
            </w:pPr>
            <w:bookmarkStart w:id="11" w:name="OLE_LINK1"/>
            <w:r>
              <w:rPr>
                <w:rFonts w:ascii="Times New Roman" w:hAnsi="Times New Roman"/>
                <w:b/>
                <w:sz w:val="24"/>
              </w:rPr>
              <w:t>Actifs liquides de qualité élevée (HQLA) totaux (valeur pondérée -moyenne)</w:t>
            </w:r>
          </w:p>
          <w:bookmarkEnd w:id="11"/>
          <w:p w14:paraId="55A35EA4" w14:textId="793083C0" w:rsidR="00910181" w:rsidRPr="00232C88" w:rsidRDefault="00910181" w:rsidP="002635C4">
            <w:pPr>
              <w:spacing w:before="60" w:after="120"/>
              <w:jc w:val="both"/>
              <w:rPr>
                <w:rFonts w:ascii="Times New Roman" w:hAnsi="Times New Roman" w:cs="Times New Roman"/>
                <w:sz w:val="24"/>
              </w:rPr>
            </w:pPr>
            <w:r>
              <w:rPr>
                <w:rFonts w:ascii="Times New Roman" w:hAnsi="Times New Roman"/>
                <w:sz w:val="24"/>
              </w:rPr>
              <w:t>Les établissements déclarent comme valeur pondérée la valeur de leurs actifs liquides au sens de l’article 9 du règlement délégué (UE) 2015/61 de la Commission</w:t>
            </w:r>
            <w:r w:rsidR="00704085" w:rsidRPr="00232C88">
              <w:rPr>
                <w:rStyle w:val="FootnoteReference"/>
                <w:rFonts w:ascii="Times New Roman" w:hAnsi="Times New Roman" w:cs="Times New Roman"/>
              </w:rPr>
              <w:footnoteReference w:id="4"/>
            </w:r>
            <w:r>
              <w:rPr>
                <w:rFonts w:ascii="Times New Roman" w:hAnsi="Times New Roman"/>
                <w:sz w:val="24"/>
              </w:rPr>
              <w:t>, avant l’application du mécanisme d’ajustement prévu à l’article 17, paragraphe 2, du règlement délégué (UE) 2015/61.</w:t>
            </w:r>
          </w:p>
        </w:tc>
      </w:tr>
      <w:tr w:rsidR="00232C88" w:rsidRPr="00232C88" w14:paraId="6672E84C" w14:textId="77777777" w:rsidTr="65F04A31">
        <w:trPr>
          <w:trHeight w:val="557"/>
        </w:trPr>
        <w:tc>
          <w:tcPr>
            <w:tcW w:w="1384" w:type="dxa"/>
          </w:tcPr>
          <w:p w14:paraId="046E2071" w14:textId="77777777" w:rsidR="009008FD" w:rsidRPr="00232C88" w:rsidRDefault="009008FD" w:rsidP="009008FD">
            <w:pPr>
              <w:pStyle w:val="Applicationdirecte"/>
              <w:spacing w:before="60"/>
              <w:jc w:val="center"/>
            </w:pPr>
            <w:r>
              <w:t>EU 16a</w:t>
            </w:r>
          </w:p>
        </w:tc>
        <w:tc>
          <w:tcPr>
            <w:tcW w:w="7655" w:type="dxa"/>
          </w:tcPr>
          <w:p w14:paraId="0FDF2F0C" w14:textId="77777777" w:rsidR="00F829DE" w:rsidRPr="00232C88" w:rsidRDefault="00F829DE" w:rsidP="009008FD">
            <w:pPr>
              <w:spacing w:before="60" w:after="120"/>
              <w:jc w:val="both"/>
              <w:rPr>
                <w:rFonts w:ascii="Times New Roman" w:hAnsi="Times New Roman" w:cs="Times New Roman"/>
                <w:b/>
                <w:sz w:val="24"/>
              </w:rPr>
            </w:pPr>
            <w:r>
              <w:rPr>
                <w:rFonts w:ascii="Times New Roman" w:hAnsi="Times New Roman"/>
                <w:b/>
                <w:sz w:val="24"/>
              </w:rPr>
              <w:t xml:space="preserve">Sorties de trésorerie — Valeur pondérée totale </w:t>
            </w:r>
          </w:p>
          <w:p w14:paraId="001CA858" w14:textId="0F7BBE48" w:rsidR="009008FD" w:rsidRPr="00232C88" w:rsidRDefault="009008FD" w:rsidP="009008FD">
            <w:pPr>
              <w:spacing w:before="60" w:after="120"/>
              <w:jc w:val="both"/>
              <w:rPr>
                <w:rFonts w:ascii="Times New Roman" w:hAnsi="Times New Roman" w:cs="Times New Roman"/>
                <w:sz w:val="24"/>
              </w:rPr>
            </w:pPr>
            <w:r>
              <w:rPr>
                <w:rFonts w:ascii="Times New Roman" w:hAnsi="Times New Roman"/>
                <w:sz w:val="24"/>
              </w:rPr>
              <w:t xml:space="preserve">Les établissements déclarent la somme de la valeur pondérée de leurs sorties de trésorerie, tel qu’indiquée à l’annexe XIII (ligne 16 du modèle EU LIQ1 </w:t>
            </w:r>
            <w:r w:rsidR="0057717F">
              <w:rPr>
                <w:rFonts w:ascii="Times New Roman" w:hAnsi="Times New Roman"/>
                <w:sz w:val="24"/>
              </w:rPr>
              <w:t>—</w:t>
            </w:r>
            <w:r>
              <w:rPr>
                <w:rFonts w:ascii="Times New Roman" w:hAnsi="Times New Roman"/>
                <w:sz w:val="24"/>
              </w:rPr>
              <w:t xml:space="preserve"> Informations quantitatives sur le ratio de couverture des besoins de liquidité (LCR)).</w:t>
            </w:r>
          </w:p>
        </w:tc>
      </w:tr>
      <w:tr w:rsidR="00232C88" w:rsidRPr="00232C88" w14:paraId="768D7A46" w14:textId="77777777" w:rsidTr="65F04A31">
        <w:trPr>
          <w:trHeight w:val="557"/>
        </w:trPr>
        <w:tc>
          <w:tcPr>
            <w:tcW w:w="1384" w:type="dxa"/>
          </w:tcPr>
          <w:p w14:paraId="61468B84" w14:textId="77777777" w:rsidR="009008FD" w:rsidRPr="00232C88" w:rsidRDefault="009008FD" w:rsidP="009008FD">
            <w:pPr>
              <w:pStyle w:val="Applicationdirecte"/>
              <w:spacing w:before="60"/>
              <w:jc w:val="center"/>
            </w:pPr>
            <w:r>
              <w:t>EU 16b</w:t>
            </w:r>
          </w:p>
        </w:tc>
        <w:tc>
          <w:tcPr>
            <w:tcW w:w="7655" w:type="dxa"/>
          </w:tcPr>
          <w:p w14:paraId="6A63425C" w14:textId="77777777" w:rsidR="00F829DE" w:rsidRPr="00232C88" w:rsidRDefault="00F829DE" w:rsidP="009008FD">
            <w:pPr>
              <w:spacing w:before="60" w:after="120"/>
              <w:jc w:val="both"/>
              <w:rPr>
                <w:rFonts w:ascii="Times New Roman" w:hAnsi="Times New Roman" w:cs="Times New Roman"/>
                <w:b/>
                <w:sz w:val="24"/>
              </w:rPr>
            </w:pPr>
            <w:r>
              <w:rPr>
                <w:rFonts w:ascii="Times New Roman" w:hAnsi="Times New Roman"/>
                <w:b/>
                <w:sz w:val="24"/>
              </w:rPr>
              <w:t xml:space="preserve">Entrées de trésorerie — Valeur pondérée totale </w:t>
            </w:r>
          </w:p>
          <w:p w14:paraId="7CF5A37A" w14:textId="29FD5A91" w:rsidR="009008FD" w:rsidRPr="00232C88" w:rsidRDefault="009008FD" w:rsidP="009008FD">
            <w:pPr>
              <w:spacing w:before="60" w:after="120"/>
              <w:jc w:val="both"/>
              <w:rPr>
                <w:rFonts w:ascii="Times New Roman" w:hAnsi="Times New Roman" w:cs="Times New Roman"/>
                <w:sz w:val="24"/>
              </w:rPr>
            </w:pPr>
            <w:r>
              <w:rPr>
                <w:rFonts w:ascii="Times New Roman" w:hAnsi="Times New Roman"/>
                <w:sz w:val="24"/>
              </w:rPr>
              <w:t>Les établissements déclarent la somme de la valeur pondérée de leurs entrées de trésorerie, tel qu’indiquée à l’annexe XIII (ligne 20 du modèle EU LIQ1 — Informations quantitatives sur le ratio de couverture des besoins de liquidité (LCR)).</w:t>
            </w:r>
          </w:p>
        </w:tc>
      </w:tr>
      <w:tr w:rsidR="00232C88" w:rsidRPr="00232C88" w14:paraId="3D802B5C" w14:textId="77777777" w:rsidTr="65F04A31">
        <w:trPr>
          <w:trHeight w:val="557"/>
        </w:trPr>
        <w:tc>
          <w:tcPr>
            <w:tcW w:w="1384" w:type="dxa"/>
          </w:tcPr>
          <w:p w14:paraId="2C98D27B" w14:textId="77777777" w:rsidR="00BB2F0A" w:rsidRPr="00232C88" w:rsidRDefault="00BB2F0A" w:rsidP="00BB2F0A">
            <w:pPr>
              <w:pStyle w:val="Applicationdirecte"/>
              <w:spacing w:before="60"/>
              <w:jc w:val="center"/>
            </w:pPr>
            <w:r>
              <w:t>16</w:t>
            </w:r>
          </w:p>
        </w:tc>
        <w:tc>
          <w:tcPr>
            <w:tcW w:w="7655" w:type="dxa"/>
          </w:tcPr>
          <w:p w14:paraId="7DCF86AE" w14:textId="77777777" w:rsidR="00BB2F0A" w:rsidRPr="00232C88" w:rsidRDefault="00BB2F0A" w:rsidP="00BB2F0A">
            <w:pPr>
              <w:spacing w:before="60" w:after="120"/>
              <w:jc w:val="both"/>
              <w:rPr>
                <w:rFonts w:ascii="Times New Roman" w:hAnsi="Times New Roman" w:cs="Times New Roman"/>
                <w:b/>
                <w:sz w:val="24"/>
              </w:rPr>
            </w:pPr>
            <w:r>
              <w:rPr>
                <w:rFonts w:ascii="Times New Roman" w:hAnsi="Times New Roman"/>
                <w:b/>
                <w:sz w:val="24"/>
              </w:rPr>
              <w:t>Sorties de trésorerie nettes totales (valeur ajustée)</w:t>
            </w:r>
          </w:p>
          <w:p w14:paraId="1D6EC4CA" w14:textId="77777777" w:rsidR="00910181" w:rsidRPr="00232C88" w:rsidRDefault="00910181" w:rsidP="00DA590B">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Les établissements déclarent comme valeur ajustée leurs sorties nettes de trésorerie, qui sont égales au total de leurs sorties de trésorerie, moins la réduction correspondant aux entrées de trésorerie entièrement exemptées, moins la réduction correspondant aux entrées de trésorerie soumises au plafond de 90 %, moins la réduction correspondant aux entrées de trésorerie soumises au plafond de 75 %. </w:t>
            </w:r>
          </w:p>
        </w:tc>
      </w:tr>
      <w:tr w:rsidR="00232C88" w:rsidRPr="00232C88" w14:paraId="55C376D8" w14:textId="77777777" w:rsidTr="65F04A31">
        <w:trPr>
          <w:trHeight w:val="557"/>
        </w:trPr>
        <w:tc>
          <w:tcPr>
            <w:tcW w:w="1384" w:type="dxa"/>
          </w:tcPr>
          <w:p w14:paraId="790C482D" w14:textId="77777777" w:rsidR="00BB2F0A" w:rsidRPr="00232C88" w:rsidRDefault="00BB2F0A" w:rsidP="00BB2F0A">
            <w:pPr>
              <w:pStyle w:val="Applicationdirecte"/>
              <w:spacing w:before="60"/>
              <w:jc w:val="center"/>
            </w:pPr>
            <w:r>
              <w:t>17</w:t>
            </w:r>
          </w:p>
        </w:tc>
        <w:tc>
          <w:tcPr>
            <w:tcW w:w="7655" w:type="dxa"/>
          </w:tcPr>
          <w:p w14:paraId="6739EBCB" w14:textId="77777777" w:rsidR="00BB2F0A" w:rsidRPr="00232C88" w:rsidRDefault="00BB2F0A" w:rsidP="00BB2F0A">
            <w:pPr>
              <w:spacing w:before="60" w:after="120"/>
              <w:jc w:val="both"/>
              <w:rPr>
                <w:rFonts w:ascii="Times New Roman" w:hAnsi="Times New Roman" w:cs="Times New Roman"/>
                <w:b/>
                <w:sz w:val="24"/>
              </w:rPr>
            </w:pPr>
            <w:r>
              <w:rPr>
                <w:rFonts w:ascii="Times New Roman" w:hAnsi="Times New Roman"/>
                <w:b/>
                <w:sz w:val="24"/>
              </w:rPr>
              <w:t>Ratio de couverture des besoins de liquidité (%)</w:t>
            </w:r>
          </w:p>
          <w:p w14:paraId="3417B7EB" w14:textId="101E0602" w:rsidR="00910181" w:rsidRPr="00232C88" w:rsidRDefault="00910181" w:rsidP="00910181">
            <w:pPr>
              <w:autoSpaceDE w:val="0"/>
              <w:autoSpaceDN w:val="0"/>
              <w:adjustRightInd w:val="0"/>
              <w:jc w:val="both"/>
              <w:rPr>
                <w:rFonts w:ascii="Times New Roman" w:hAnsi="Times New Roman" w:cs="Times New Roman"/>
                <w:sz w:val="24"/>
              </w:rPr>
            </w:pPr>
            <w:r>
              <w:rPr>
                <w:rFonts w:ascii="Times New Roman" w:hAnsi="Times New Roman"/>
                <w:sz w:val="24"/>
              </w:rPr>
              <w:t>Les établissements déclarent comme valeur ajustée le pourcentage de l’élément «ratio de couverture des besoins de liquidité (%)» au sens de l’article 4, paragraphe 1, du règlement délégué (UE) 2015/61.</w:t>
            </w:r>
          </w:p>
          <w:p w14:paraId="0CF77ECD" w14:textId="77777777" w:rsidR="00910181" w:rsidRPr="00232C88" w:rsidRDefault="00910181" w:rsidP="00910181">
            <w:pPr>
              <w:autoSpaceDE w:val="0"/>
              <w:autoSpaceDN w:val="0"/>
              <w:adjustRightInd w:val="0"/>
              <w:jc w:val="both"/>
              <w:rPr>
                <w:rFonts w:ascii="Times New Roman" w:hAnsi="Times New Roman" w:cs="Times New Roman"/>
                <w:sz w:val="24"/>
              </w:rPr>
            </w:pPr>
          </w:p>
          <w:p w14:paraId="0DC83C71" w14:textId="77777777" w:rsidR="00910181" w:rsidRPr="00232C88" w:rsidRDefault="00910181" w:rsidP="00DA590B">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Le ratio de couverture des besoins de liquidité est égal au ratio entre le coussin de liquidité de l’établissement de crédit et ses sorties nettes de trésorerie sur une période de tensions de 30 jours calendaires, et est exprimé en pourcentage. </w:t>
            </w:r>
          </w:p>
        </w:tc>
      </w:tr>
      <w:tr w:rsidR="00232C88" w:rsidRPr="00232C88" w14:paraId="62773DDF" w14:textId="77777777" w:rsidTr="65F04A31">
        <w:trPr>
          <w:trHeight w:val="557"/>
        </w:trPr>
        <w:tc>
          <w:tcPr>
            <w:tcW w:w="1384" w:type="dxa"/>
          </w:tcPr>
          <w:p w14:paraId="46B3145C" w14:textId="77777777" w:rsidR="00BB2F0A" w:rsidRPr="00232C88" w:rsidRDefault="00BB2F0A" w:rsidP="00BB2F0A">
            <w:pPr>
              <w:pStyle w:val="Applicationdirecte"/>
              <w:spacing w:before="60"/>
              <w:jc w:val="center"/>
            </w:pPr>
            <w:r>
              <w:t>18</w:t>
            </w:r>
          </w:p>
        </w:tc>
        <w:tc>
          <w:tcPr>
            <w:tcW w:w="7655" w:type="dxa"/>
          </w:tcPr>
          <w:p w14:paraId="5F20E9BB" w14:textId="77777777" w:rsidR="00BB2F0A" w:rsidRPr="00232C88" w:rsidRDefault="009501D6" w:rsidP="00BB2F0A">
            <w:pPr>
              <w:spacing w:before="60" w:after="120"/>
              <w:jc w:val="both"/>
              <w:rPr>
                <w:rFonts w:ascii="Times New Roman" w:hAnsi="Times New Roman" w:cs="Times New Roman"/>
                <w:b/>
                <w:sz w:val="24"/>
              </w:rPr>
            </w:pPr>
            <w:r>
              <w:rPr>
                <w:rFonts w:ascii="Times New Roman" w:hAnsi="Times New Roman"/>
                <w:b/>
                <w:sz w:val="24"/>
              </w:rPr>
              <w:t>Financement stable disponible total</w:t>
            </w:r>
          </w:p>
          <w:p w14:paraId="0CB3A2BF" w14:textId="3492B08F" w:rsidR="009501D6" w:rsidRPr="00232C88" w:rsidRDefault="009501D6" w:rsidP="00AF5BC7">
            <w:pPr>
              <w:autoSpaceDE w:val="0"/>
              <w:autoSpaceDN w:val="0"/>
              <w:adjustRightInd w:val="0"/>
              <w:spacing w:after="120"/>
              <w:jc w:val="both"/>
              <w:rPr>
                <w:rFonts w:ascii="Times New Roman" w:hAnsi="Times New Roman" w:cs="Times New Roman"/>
                <w:sz w:val="24"/>
              </w:rPr>
            </w:pPr>
            <w:r>
              <w:rPr>
                <w:rFonts w:ascii="Times New Roman" w:hAnsi="Times New Roman"/>
                <w:sz w:val="24"/>
              </w:rPr>
              <w:t>Les établissements déclarent le montant du financement stable disponible, calculé conformément à la sixième partie, titre IV, chapitre 3, du règlement (UE) nº 575/2013, tel que communiqué à l’annexe XIII des solutions informatiques de l</w:t>
            </w:r>
            <w:r w:rsidR="0057717F">
              <w:rPr>
                <w:rFonts w:ascii="Times New Roman" w:hAnsi="Times New Roman"/>
                <w:sz w:val="24"/>
              </w:rPr>
              <w:t>’</w:t>
            </w:r>
            <w:r>
              <w:rPr>
                <w:rFonts w:ascii="Times New Roman" w:hAnsi="Times New Roman"/>
                <w:sz w:val="24"/>
              </w:rPr>
              <w:t>ABE (ligne 14 du modèle EU LIQ2 – ratio de financement stable net).</w:t>
            </w:r>
          </w:p>
        </w:tc>
      </w:tr>
      <w:tr w:rsidR="00232C88" w:rsidRPr="00232C88" w14:paraId="196BD2E3" w14:textId="77777777" w:rsidTr="65F04A31">
        <w:trPr>
          <w:trHeight w:val="557"/>
        </w:trPr>
        <w:tc>
          <w:tcPr>
            <w:tcW w:w="1384" w:type="dxa"/>
          </w:tcPr>
          <w:p w14:paraId="138D6E9A" w14:textId="77777777" w:rsidR="00BB2F0A" w:rsidRPr="00232C88" w:rsidRDefault="00BB2F0A" w:rsidP="00BB2F0A">
            <w:pPr>
              <w:pStyle w:val="Applicationdirecte"/>
              <w:spacing w:before="60"/>
              <w:jc w:val="center"/>
            </w:pPr>
            <w:r>
              <w:lastRenderedPageBreak/>
              <w:t>19</w:t>
            </w:r>
          </w:p>
        </w:tc>
        <w:tc>
          <w:tcPr>
            <w:tcW w:w="7655" w:type="dxa"/>
          </w:tcPr>
          <w:p w14:paraId="33D8D493" w14:textId="77777777" w:rsidR="00EA38FE" w:rsidRPr="00232C88" w:rsidRDefault="009501D6" w:rsidP="00EA38FE">
            <w:pPr>
              <w:spacing w:before="60" w:after="120"/>
              <w:jc w:val="both"/>
              <w:rPr>
                <w:rFonts w:ascii="Times New Roman" w:hAnsi="Times New Roman" w:cs="Times New Roman"/>
                <w:b/>
                <w:sz w:val="24"/>
              </w:rPr>
            </w:pPr>
            <w:r>
              <w:rPr>
                <w:rFonts w:ascii="Times New Roman" w:hAnsi="Times New Roman"/>
                <w:b/>
                <w:sz w:val="24"/>
              </w:rPr>
              <w:t>Financement stable requis total</w:t>
            </w:r>
          </w:p>
          <w:p w14:paraId="205FE1F2" w14:textId="6F64DC24" w:rsidR="009501D6" w:rsidRPr="00232C88" w:rsidRDefault="1BE56CD4" w:rsidP="4D769726">
            <w:pPr>
              <w:spacing w:before="60" w:after="120"/>
              <w:jc w:val="both"/>
              <w:rPr>
                <w:rFonts w:ascii="Times New Roman" w:hAnsi="Times New Roman" w:cs="Times New Roman"/>
                <w:sz w:val="24"/>
              </w:rPr>
            </w:pPr>
            <w:r>
              <w:rPr>
                <w:rFonts w:ascii="Times New Roman" w:hAnsi="Times New Roman"/>
                <w:sz w:val="24"/>
              </w:rPr>
              <w:t>Les établissements déclarent le montant du financement stable disponible, calculé conformément à la sixième partie, titre IV, chapitre 4, du règlement (UE) nº 575/2013, tel que communiqué à l’annexe XIII des solutions informatiques de l</w:t>
            </w:r>
            <w:r w:rsidR="0057717F">
              <w:rPr>
                <w:rFonts w:ascii="Times New Roman" w:hAnsi="Times New Roman"/>
                <w:sz w:val="24"/>
              </w:rPr>
              <w:t>’</w:t>
            </w:r>
            <w:r>
              <w:rPr>
                <w:rFonts w:ascii="Times New Roman" w:hAnsi="Times New Roman"/>
                <w:sz w:val="24"/>
              </w:rPr>
              <w:t>ABE (ligne 33 du modèle EU LIQ2 – ratio de financement stable net).</w:t>
            </w:r>
          </w:p>
        </w:tc>
      </w:tr>
      <w:tr w:rsidR="00BB2F0A" w:rsidRPr="00232C88" w14:paraId="5F0D3785" w14:textId="77777777" w:rsidTr="65F04A31">
        <w:trPr>
          <w:trHeight w:val="557"/>
        </w:trPr>
        <w:tc>
          <w:tcPr>
            <w:tcW w:w="1384" w:type="dxa"/>
          </w:tcPr>
          <w:p w14:paraId="58861D5D" w14:textId="77777777" w:rsidR="00BB2F0A" w:rsidRPr="00232C88" w:rsidRDefault="00BB2F0A" w:rsidP="00BB2F0A">
            <w:pPr>
              <w:pStyle w:val="Applicationdirecte"/>
              <w:spacing w:before="60"/>
              <w:jc w:val="center"/>
            </w:pPr>
            <w:r>
              <w:t>20</w:t>
            </w:r>
          </w:p>
        </w:tc>
        <w:tc>
          <w:tcPr>
            <w:tcW w:w="7655" w:type="dxa"/>
          </w:tcPr>
          <w:p w14:paraId="2C215CE4" w14:textId="77777777" w:rsidR="00BB2F0A" w:rsidRPr="00232C88" w:rsidRDefault="00EA38FE" w:rsidP="00BB2F0A">
            <w:pPr>
              <w:spacing w:before="60" w:after="120"/>
              <w:jc w:val="both"/>
              <w:rPr>
                <w:rFonts w:ascii="Times New Roman" w:hAnsi="Times New Roman" w:cs="Times New Roman"/>
                <w:b/>
                <w:sz w:val="24"/>
              </w:rPr>
            </w:pPr>
            <w:r>
              <w:rPr>
                <w:rFonts w:ascii="Times New Roman" w:hAnsi="Times New Roman"/>
                <w:b/>
                <w:sz w:val="24"/>
              </w:rPr>
              <w:t>Ratio NSFR (%)</w:t>
            </w:r>
          </w:p>
          <w:p w14:paraId="16F56415" w14:textId="38BDB2CE" w:rsidR="00EA38FE" w:rsidRPr="00232C88" w:rsidRDefault="00EA38FE" w:rsidP="0097538A">
            <w:pPr>
              <w:spacing w:before="60" w:after="120"/>
              <w:jc w:val="both"/>
              <w:rPr>
                <w:rFonts w:ascii="Times New Roman" w:hAnsi="Times New Roman" w:cs="Times New Roman"/>
                <w:sz w:val="24"/>
              </w:rPr>
            </w:pPr>
            <w:r>
              <w:rPr>
                <w:rFonts w:ascii="Times New Roman" w:hAnsi="Times New Roman"/>
                <w:sz w:val="24"/>
              </w:rPr>
              <w:t>Ratio de financement stable net (NSFR) calculé conformément à l</w:t>
            </w:r>
            <w:r w:rsidR="0057717F">
              <w:rPr>
                <w:rFonts w:ascii="Times New Roman" w:hAnsi="Times New Roman"/>
                <w:sz w:val="24"/>
              </w:rPr>
              <w:t>’</w:t>
            </w:r>
            <w:r>
              <w:rPr>
                <w:rFonts w:ascii="Times New Roman" w:hAnsi="Times New Roman"/>
                <w:sz w:val="24"/>
              </w:rPr>
              <w:t>article 428 </w:t>
            </w:r>
            <w:r>
              <w:rPr>
                <w:rFonts w:ascii="Times New Roman" w:hAnsi="Times New Roman"/>
                <w:i/>
                <w:sz w:val="24"/>
              </w:rPr>
              <w:t>ter</w:t>
            </w:r>
            <w:r>
              <w:rPr>
                <w:rFonts w:ascii="Times New Roman" w:hAnsi="Times New Roman"/>
                <w:sz w:val="24"/>
              </w:rPr>
              <w:t xml:space="preserve"> du règlement (UE) nº 575/2013.</w:t>
            </w:r>
          </w:p>
        </w:tc>
      </w:tr>
    </w:tbl>
    <w:p w14:paraId="6083358E" w14:textId="77777777" w:rsidR="00206A6B" w:rsidRPr="00232C88" w:rsidRDefault="00206A6B" w:rsidP="00D845D4">
      <w:pPr>
        <w:spacing w:after="120"/>
        <w:jc w:val="both"/>
        <w:rPr>
          <w:rFonts w:ascii="Times New Roman" w:hAnsi="Times New Roman" w:cs="Times New Roman"/>
          <w:b/>
          <w:sz w:val="24"/>
        </w:rPr>
      </w:pPr>
    </w:p>
    <w:p w14:paraId="29C2CA92" w14:textId="55EE1568" w:rsidR="00206A6B" w:rsidRPr="00232C88" w:rsidRDefault="00BD36EC" w:rsidP="00D845D4">
      <w:pPr>
        <w:spacing w:after="120"/>
        <w:jc w:val="both"/>
        <w:rPr>
          <w:rFonts w:ascii="Times New Roman" w:hAnsi="Times New Roman" w:cs="Times New Roman"/>
          <w:sz w:val="24"/>
        </w:rPr>
      </w:pPr>
      <w:r>
        <w:rPr>
          <w:rFonts w:ascii="Times New Roman" w:hAnsi="Times New Roman"/>
          <w:b/>
          <w:sz w:val="24"/>
        </w:rPr>
        <w:t xml:space="preserve">Modèle EU INS1 — Participations dans l’assurance: </w:t>
      </w:r>
      <w:r>
        <w:rPr>
          <w:rFonts w:ascii="Times New Roman" w:hAnsi="Times New Roman"/>
          <w:sz w:val="24"/>
        </w:rPr>
        <w:t>Format fixe</w:t>
      </w:r>
    </w:p>
    <w:p w14:paraId="385CC150" w14:textId="3B3D9F17" w:rsidR="00B10EE4" w:rsidRPr="00232C88" w:rsidRDefault="00BA25D7" w:rsidP="009260D6">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Les établissements appliquent les instructions fournies ci-dessous dans la présente annexe pour compléter le modèle EU INS1 présenté à l’annexe I, en application de l’article 438, point f), du règlement (UE) nº 575/2013.</w:t>
      </w:r>
    </w:p>
    <w:p w14:paraId="5970EF08" w14:textId="77777777" w:rsidR="00295952" w:rsidRPr="00452214" w:rsidRDefault="00295952" w:rsidP="00D845D4">
      <w:pPr>
        <w:pStyle w:val="Titlelevel2"/>
        <w:spacing w:before="120" w:after="120"/>
        <w:jc w:val="both"/>
        <w:rPr>
          <w:rFonts w:ascii="Times New Roman" w:hAnsi="Times New Roman" w:cs="Times New Roman"/>
          <w:color w:val="auto"/>
          <w:sz w:val="24"/>
          <w:lang w:val="fr-BE"/>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32C88" w:rsidRPr="00232C88" w14:paraId="700DB559"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bookmarkEnd w:id="0"/>
          <w:bookmarkEnd w:id="1"/>
          <w:bookmarkEnd w:id="2"/>
          <w:bookmarkEnd w:id="3"/>
          <w:bookmarkEnd w:id="4"/>
          <w:bookmarkEnd w:id="5"/>
          <w:bookmarkEnd w:id="6"/>
          <w:bookmarkEnd w:id="7"/>
          <w:bookmarkEnd w:id="8"/>
          <w:bookmarkEnd w:id="9"/>
          <w:p w14:paraId="5C8EDEFF" w14:textId="77777777" w:rsidR="00295952" w:rsidRPr="00232C88" w:rsidRDefault="00295952" w:rsidP="00B2180A">
            <w:pPr>
              <w:rPr>
                <w:rFonts w:ascii="Times New Roman" w:hAnsi="Times New Roman" w:cs="Times New Roman"/>
                <w:b/>
                <w:sz w:val="24"/>
              </w:rPr>
            </w:pPr>
            <w:r>
              <w:rPr>
                <w:rFonts w:ascii="Times New Roman" w:hAnsi="Times New Roman"/>
                <w:b/>
                <w:sz w:val="24"/>
              </w:rPr>
              <w:t>Références juridiques et instructions</w:t>
            </w:r>
          </w:p>
        </w:tc>
      </w:tr>
      <w:tr w:rsidR="00232C88" w:rsidRPr="00232C88" w14:paraId="2A1948D0" w14:textId="77777777" w:rsidTr="00B2180A">
        <w:trPr>
          <w:trHeight w:val="238"/>
        </w:trPr>
        <w:tc>
          <w:tcPr>
            <w:tcW w:w="1384" w:type="dxa"/>
            <w:shd w:val="clear" w:color="auto" w:fill="D9D9D9" w:themeFill="background1" w:themeFillShade="D9"/>
          </w:tcPr>
          <w:p w14:paraId="58F319EE" w14:textId="77777777" w:rsidR="00295952" w:rsidRPr="00232C88" w:rsidRDefault="00295952" w:rsidP="00B2180A">
            <w:pPr>
              <w:autoSpaceDE w:val="0"/>
              <w:autoSpaceDN w:val="0"/>
              <w:adjustRightInd w:val="0"/>
              <w:rPr>
                <w:rFonts w:ascii="Times New Roman" w:hAnsi="Times New Roman" w:cs="Times New Roman"/>
                <w:b/>
                <w:sz w:val="24"/>
              </w:rPr>
            </w:pPr>
            <w:r>
              <w:rPr>
                <w:rFonts w:ascii="Times New Roman" w:hAnsi="Times New Roman"/>
                <w:b/>
                <w:sz w:val="24"/>
              </w:rPr>
              <w:t>Numéro de la colonne</w:t>
            </w:r>
          </w:p>
        </w:tc>
        <w:tc>
          <w:tcPr>
            <w:tcW w:w="7655" w:type="dxa"/>
            <w:shd w:val="clear" w:color="auto" w:fill="D9D9D9" w:themeFill="background1" w:themeFillShade="D9"/>
          </w:tcPr>
          <w:p w14:paraId="0136B062" w14:textId="77777777" w:rsidR="00295952" w:rsidRPr="00232C88" w:rsidRDefault="00295952" w:rsidP="00B2180A">
            <w:pPr>
              <w:autoSpaceDE w:val="0"/>
              <w:autoSpaceDN w:val="0"/>
              <w:adjustRightInd w:val="0"/>
              <w:rPr>
                <w:rFonts w:ascii="Times New Roman" w:hAnsi="Times New Roman" w:cs="Times New Roman"/>
                <w:sz w:val="24"/>
              </w:rPr>
            </w:pPr>
            <w:r>
              <w:rPr>
                <w:rFonts w:ascii="Times New Roman" w:hAnsi="Times New Roman"/>
                <w:b/>
                <w:sz w:val="24"/>
              </w:rPr>
              <w:t>Explication</w:t>
            </w:r>
          </w:p>
        </w:tc>
      </w:tr>
      <w:tr w:rsidR="00232C88" w:rsidRPr="00232C88" w14:paraId="0F136ACE" w14:textId="77777777" w:rsidTr="00B2180A">
        <w:trPr>
          <w:trHeight w:val="680"/>
        </w:trPr>
        <w:tc>
          <w:tcPr>
            <w:tcW w:w="1384" w:type="dxa"/>
          </w:tcPr>
          <w:p w14:paraId="270B29A8" w14:textId="77777777" w:rsidR="00295952" w:rsidRPr="00232C88" w:rsidRDefault="00295952" w:rsidP="00B2180A">
            <w:pPr>
              <w:pStyle w:val="Applicationdirecte"/>
              <w:spacing w:before="60"/>
              <w:jc w:val="center"/>
            </w:pPr>
            <w:r>
              <w:t>a</w:t>
            </w:r>
          </w:p>
        </w:tc>
        <w:tc>
          <w:tcPr>
            <w:tcW w:w="7655" w:type="dxa"/>
            <w:vAlign w:val="center"/>
          </w:tcPr>
          <w:p w14:paraId="7249EC0E" w14:textId="77777777" w:rsidR="00295952" w:rsidRPr="00726C67" w:rsidRDefault="00295952" w:rsidP="00B2180A">
            <w:pPr>
              <w:spacing w:before="60" w:after="120"/>
              <w:jc w:val="both"/>
              <w:rPr>
                <w:rFonts w:ascii="Times New Roman" w:hAnsi="Times New Roman" w:cs="Times New Roman"/>
                <w:b/>
                <w:bCs/>
                <w:sz w:val="24"/>
              </w:rPr>
            </w:pPr>
            <w:r>
              <w:rPr>
                <w:rFonts w:ascii="Times New Roman" w:hAnsi="Times New Roman"/>
                <w:b/>
                <w:sz w:val="24"/>
              </w:rPr>
              <w:t>Valeur exposée au risque</w:t>
            </w:r>
          </w:p>
          <w:p w14:paraId="18F1CB5D" w14:textId="190541F5" w:rsidR="00295952" w:rsidRPr="00232C88" w:rsidRDefault="00295952" w:rsidP="0097538A">
            <w:pPr>
              <w:spacing w:before="60" w:after="120"/>
              <w:jc w:val="both"/>
              <w:rPr>
                <w:rFonts w:ascii="Times New Roman" w:hAnsi="Times New Roman" w:cs="Times New Roman"/>
                <w:sz w:val="24"/>
              </w:rPr>
            </w:pPr>
            <w:r>
              <w:rPr>
                <w:rFonts w:ascii="Times New Roman" w:hAnsi="Times New Roman"/>
                <w:sz w:val="24"/>
              </w:rPr>
              <w:t>Valeur exposée au risque des instruments de fonds propres détenus dans toute entreprise d’assurance ou de réassurance ou société holding d’assurance que les établissements ne déduisent pas de leurs fonds propres en vertu de l’article 49 du règlement (UE) nº 575/2013 lorsqu’ils calculent leurs exigences de fonds propres sur une base individuelle, sous-consolidée ou consolidée.</w:t>
            </w:r>
          </w:p>
        </w:tc>
      </w:tr>
      <w:tr w:rsidR="00295952" w:rsidRPr="00232C88" w14:paraId="61334455" w14:textId="77777777" w:rsidTr="00B2180A">
        <w:trPr>
          <w:trHeight w:val="680"/>
        </w:trPr>
        <w:tc>
          <w:tcPr>
            <w:tcW w:w="1384" w:type="dxa"/>
          </w:tcPr>
          <w:p w14:paraId="76F52744" w14:textId="77777777" w:rsidR="00295952" w:rsidRPr="00232C88" w:rsidRDefault="00295952" w:rsidP="00B2180A">
            <w:pPr>
              <w:pStyle w:val="Applicationdirecte"/>
              <w:spacing w:before="60"/>
              <w:jc w:val="center"/>
            </w:pPr>
            <w:r>
              <w:t>b</w:t>
            </w:r>
          </w:p>
        </w:tc>
        <w:tc>
          <w:tcPr>
            <w:tcW w:w="7655" w:type="dxa"/>
            <w:vAlign w:val="center"/>
          </w:tcPr>
          <w:p w14:paraId="35F05204" w14:textId="21F04E81" w:rsidR="00295952" w:rsidRPr="00726C67" w:rsidRDefault="00295952" w:rsidP="00B2180A">
            <w:pPr>
              <w:spacing w:before="60" w:after="120"/>
              <w:jc w:val="both"/>
              <w:rPr>
                <w:rFonts w:ascii="Times New Roman" w:hAnsi="Times New Roman" w:cs="Times New Roman"/>
                <w:b/>
                <w:bCs/>
                <w:sz w:val="24"/>
              </w:rPr>
            </w:pPr>
            <w:r>
              <w:rPr>
                <w:rFonts w:ascii="Times New Roman" w:hAnsi="Times New Roman"/>
                <w:b/>
                <w:sz w:val="24"/>
              </w:rPr>
              <w:t>Montant d’exposition au risque</w:t>
            </w:r>
          </w:p>
          <w:p w14:paraId="5F873619" w14:textId="5E8DFA33" w:rsidR="00295952" w:rsidRPr="00232C88" w:rsidRDefault="00295952" w:rsidP="00282104">
            <w:pPr>
              <w:spacing w:before="60" w:after="120"/>
              <w:jc w:val="both"/>
              <w:rPr>
                <w:rFonts w:ascii="Times New Roman" w:hAnsi="Times New Roman" w:cs="Times New Roman"/>
                <w:sz w:val="24"/>
              </w:rPr>
            </w:pPr>
            <w:r>
              <w:rPr>
                <w:rFonts w:ascii="Times New Roman" w:hAnsi="Times New Roman"/>
                <w:sz w:val="24"/>
              </w:rPr>
              <w:t>Montant d</w:t>
            </w:r>
            <w:r w:rsidR="0057717F">
              <w:rPr>
                <w:rFonts w:ascii="Times New Roman" w:hAnsi="Times New Roman"/>
                <w:sz w:val="24"/>
              </w:rPr>
              <w:t>’</w:t>
            </w:r>
            <w:r>
              <w:rPr>
                <w:rFonts w:ascii="Times New Roman" w:hAnsi="Times New Roman"/>
                <w:sz w:val="24"/>
              </w:rPr>
              <w:t>exposition au risque des instruments de fonds propres détenus dans toute entreprise d’assurance ou de réassurance ou société holding d’assurance que les établissements ne déduisent pas de leurs fonds propres en vertu de l’article 49 du règlement (UE) nº 575/2013 lorsqu’ils calculent leurs exigences de fonds propres sur une base individuelle, sous-consolidée ou consolidée.</w:t>
            </w:r>
          </w:p>
        </w:tc>
      </w:tr>
    </w:tbl>
    <w:p w14:paraId="06D15643" w14:textId="77777777" w:rsidR="00FE0C92" w:rsidRPr="00232C88" w:rsidRDefault="00FE0C92" w:rsidP="00E258D8">
      <w:pPr>
        <w:tabs>
          <w:tab w:val="left" w:pos="1430"/>
        </w:tabs>
        <w:rPr>
          <w:rFonts w:ascii="Times New Roman" w:hAnsi="Times New Roman" w:cs="Times New Roman"/>
          <w:sz w:val="24"/>
        </w:rPr>
      </w:pPr>
    </w:p>
    <w:p w14:paraId="27E6F29A" w14:textId="13823E59" w:rsidR="00295952" w:rsidRPr="00232C88" w:rsidRDefault="00295952" w:rsidP="00295952">
      <w:pPr>
        <w:spacing w:after="120"/>
        <w:jc w:val="both"/>
        <w:rPr>
          <w:rFonts w:ascii="Times New Roman" w:hAnsi="Times New Roman" w:cs="Times New Roman"/>
          <w:sz w:val="24"/>
        </w:rPr>
      </w:pPr>
      <w:r>
        <w:rPr>
          <w:rFonts w:ascii="Times New Roman" w:hAnsi="Times New Roman"/>
          <w:b/>
          <w:sz w:val="24"/>
        </w:rPr>
        <w:t xml:space="preserve">Modèle EU INS2 — Conglomérats financiers </w:t>
      </w:r>
      <w:r w:rsidR="0057717F">
        <w:rPr>
          <w:rFonts w:ascii="Times New Roman" w:hAnsi="Times New Roman"/>
          <w:b/>
          <w:sz w:val="24"/>
        </w:rPr>
        <w:t>—</w:t>
      </w:r>
      <w:r>
        <w:rPr>
          <w:rFonts w:ascii="Times New Roman" w:hAnsi="Times New Roman"/>
          <w:b/>
          <w:sz w:val="24"/>
        </w:rPr>
        <w:t xml:space="preserve"> Informations sur les fonds propres et le ratio d’adéquation des fonds propres. </w:t>
      </w:r>
      <w:r>
        <w:rPr>
          <w:rFonts w:ascii="Times New Roman" w:hAnsi="Times New Roman"/>
          <w:sz w:val="24"/>
        </w:rPr>
        <w:t>Format fixe</w:t>
      </w:r>
    </w:p>
    <w:p w14:paraId="61F5C281" w14:textId="0AFFF562" w:rsidR="00295952" w:rsidRPr="00232C88" w:rsidRDefault="00295952" w:rsidP="009260D6">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Les établissements appliquent les instructions fournies ci-dessous dans la présente annexe pour compléter le modèle EU INS2 présenté à l’annexe I des solutions informatiques de l</w:t>
      </w:r>
      <w:r w:rsidR="0057717F">
        <w:rPr>
          <w:rFonts w:ascii="Times New Roman" w:hAnsi="Times New Roman"/>
          <w:color w:val="auto"/>
          <w:sz w:val="24"/>
        </w:rPr>
        <w:t>’</w:t>
      </w:r>
      <w:r>
        <w:rPr>
          <w:rFonts w:ascii="Times New Roman" w:hAnsi="Times New Roman"/>
          <w:color w:val="auto"/>
          <w:sz w:val="24"/>
        </w:rPr>
        <w:t>ABE, en application de l’article 438, point g), du règlement (UE) nº 575/2013.</w:t>
      </w:r>
    </w:p>
    <w:p w14:paraId="2C33B06C" w14:textId="77777777" w:rsidR="00295952" w:rsidRPr="00452214" w:rsidRDefault="00295952" w:rsidP="00295952">
      <w:pPr>
        <w:pStyle w:val="Titlelevel2"/>
        <w:spacing w:before="120" w:after="120"/>
        <w:jc w:val="both"/>
        <w:rPr>
          <w:rFonts w:ascii="Times New Roman" w:hAnsi="Times New Roman" w:cs="Times New Roman"/>
          <w:color w:val="auto"/>
          <w:sz w:val="24"/>
          <w:lang w:val="fr-BE"/>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32C88" w:rsidRPr="00232C88" w14:paraId="6E9180F0"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03E5BE" w14:textId="77777777" w:rsidR="00295952" w:rsidRPr="00232C88" w:rsidRDefault="00295952" w:rsidP="00B2180A">
            <w:pPr>
              <w:rPr>
                <w:rFonts w:ascii="Times New Roman" w:hAnsi="Times New Roman" w:cs="Times New Roman"/>
                <w:b/>
                <w:sz w:val="24"/>
              </w:rPr>
            </w:pPr>
            <w:r>
              <w:rPr>
                <w:rFonts w:ascii="Times New Roman" w:hAnsi="Times New Roman"/>
                <w:b/>
                <w:sz w:val="24"/>
              </w:rPr>
              <w:t>Références juridiques et instructions</w:t>
            </w:r>
          </w:p>
        </w:tc>
      </w:tr>
      <w:tr w:rsidR="00232C88" w:rsidRPr="00232C88" w14:paraId="38931EE1" w14:textId="77777777" w:rsidTr="00B2180A">
        <w:trPr>
          <w:trHeight w:val="238"/>
        </w:trPr>
        <w:tc>
          <w:tcPr>
            <w:tcW w:w="1384" w:type="dxa"/>
            <w:shd w:val="clear" w:color="auto" w:fill="D9D9D9" w:themeFill="background1" w:themeFillShade="D9"/>
          </w:tcPr>
          <w:p w14:paraId="5F0C6C00" w14:textId="77777777" w:rsidR="00295952" w:rsidRPr="00232C88" w:rsidRDefault="00295952" w:rsidP="00B2180A">
            <w:pPr>
              <w:autoSpaceDE w:val="0"/>
              <w:autoSpaceDN w:val="0"/>
              <w:adjustRightInd w:val="0"/>
              <w:rPr>
                <w:rFonts w:ascii="Times New Roman" w:hAnsi="Times New Roman" w:cs="Times New Roman"/>
                <w:b/>
                <w:sz w:val="24"/>
              </w:rPr>
            </w:pPr>
            <w:r>
              <w:rPr>
                <w:rFonts w:ascii="Times New Roman" w:hAnsi="Times New Roman"/>
                <w:b/>
                <w:sz w:val="24"/>
              </w:rPr>
              <w:lastRenderedPageBreak/>
              <w:t>Numéro de la ligne</w:t>
            </w:r>
          </w:p>
        </w:tc>
        <w:tc>
          <w:tcPr>
            <w:tcW w:w="7655" w:type="dxa"/>
            <w:shd w:val="clear" w:color="auto" w:fill="D9D9D9" w:themeFill="background1" w:themeFillShade="D9"/>
          </w:tcPr>
          <w:p w14:paraId="7A981CBB" w14:textId="77777777" w:rsidR="00295952" w:rsidRPr="00232C88" w:rsidRDefault="00295952" w:rsidP="00B2180A">
            <w:pPr>
              <w:autoSpaceDE w:val="0"/>
              <w:autoSpaceDN w:val="0"/>
              <w:adjustRightInd w:val="0"/>
              <w:rPr>
                <w:rFonts w:ascii="Times New Roman" w:hAnsi="Times New Roman" w:cs="Times New Roman"/>
                <w:sz w:val="24"/>
              </w:rPr>
            </w:pPr>
            <w:r>
              <w:rPr>
                <w:rFonts w:ascii="Times New Roman" w:hAnsi="Times New Roman"/>
                <w:b/>
                <w:sz w:val="24"/>
              </w:rPr>
              <w:t>Explication</w:t>
            </w:r>
          </w:p>
        </w:tc>
      </w:tr>
      <w:tr w:rsidR="00232C88" w:rsidRPr="00232C88" w14:paraId="06B27C97" w14:textId="77777777" w:rsidTr="00B2180A">
        <w:trPr>
          <w:trHeight w:val="680"/>
        </w:trPr>
        <w:tc>
          <w:tcPr>
            <w:tcW w:w="1384" w:type="dxa"/>
          </w:tcPr>
          <w:p w14:paraId="7F147BC5" w14:textId="77777777" w:rsidR="00295952" w:rsidRPr="00232C88" w:rsidRDefault="00295952" w:rsidP="00B2180A">
            <w:pPr>
              <w:pStyle w:val="Applicationdirecte"/>
              <w:spacing w:before="60"/>
              <w:jc w:val="center"/>
            </w:pPr>
            <w:r>
              <w:t>1</w:t>
            </w:r>
          </w:p>
        </w:tc>
        <w:tc>
          <w:tcPr>
            <w:tcW w:w="7655" w:type="dxa"/>
            <w:vAlign w:val="center"/>
          </w:tcPr>
          <w:p w14:paraId="4FDD3332" w14:textId="34430A5B" w:rsidR="00295952" w:rsidRPr="00232C88" w:rsidRDefault="00295952" w:rsidP="00B2180A">
            <w:pPr>
              <w:spacing w:before="60" w:after="120"/>
              <w:jc w:val="both"/>
              <w:rPr>
                <w:rFonts w:ascii="Times New Roman" w:hAnsi="Times New Roman" w:cs="Times New Roman"/>
                <w:b/>
                <w:bCs/>
                <w:sz w:val="24"/>
              </w:rPr>
            </w:pPr>
            <w:r>
              <w:rPr>
                <w:rFonts w:ascii="Times New Roman" w:hAnsi="Times New Roman"/>
                <w:b/>
                <w:sz w:val="24"/>
              </w:rPr>
              <w:t xml:space="preserve">Exigences complémentaires de fonds propres du conglomérat financier (montant) </w:t>
            </w:r>
          </w:p>
          <w:p w14:paraId="7401DE1A" w14:textId="40167C3D" w:rsidR="00295952" w:rsidRPr="00232C88" w:rsidRDefault="000A3A4A" w:rsidP="00704085">
            <w:pPr>
              <w:spacing w:before="60" w:after="120"/>
              <w:jc w:val="both"/>
              <w:rPr>
                <w:rFonts w:ascii="Times New Roman" w:hAnsi="Times New Roman" w:cs="Times New Roman"/>
                <w:sz w:val="24"/>
              </w:rPr>
            </w:pPr>
            <w:r>
              <w:rPr>
                <w:rFonts w:ascii="Times New Roman" w:hAnsi="Times New Roman"/>
                <w:sz w:val="24"/>
              </w:rPr>
              <w:t>Le montant des exigences supplémentaires de fonds propres du conglomérat financier calculé conformément à l’article 6 de la directive 2002/87/CE du Parlement européen et du Conseil</w:t>
            </w:r>
            <w:r w:rsidR="00F515D4" w:rsidRPr="00232C88">
              <w:rPr>
                <w:rStyle w:val="FootnoteReference"/>
                <w:rFonts w:ascii="Times New Roman" w:hAnsi="Times New Roman" w:cs="Times New Roman"/>
              </w:rPr>
              <w:footnoteReference w:id="5"/>
            </w:r>
            <w:r>
              <w:rPr>
                <w:rFonts w:ascii="Times New Roman" w:hAnsi="Times New Roman"/>
                <w:sz w:val="24"/>
              </w:rPr>
              <w:t>, et à l’annexe I de ladite directive lorsque les méthodes 1 ou 2 décrites à l’annexe I sont appliquées.</w:t>
            </w:r>
          </w:p>
        </w:tc>
      </w:tr>
      <w:tr w:rsidR="00295952" w:rsidRPr="00232C88" w14:paraId="1857A276" w14:textId="77777777" w:rsidTr="00B2180A">
        <w:trPr>
          <w:trHeight w:val="680"/>
        </w:trPr>
        <w:tc>
          <w:tcPr>
            <w:tcW w:w="1384" w:type="dxa"/>
          </w:tcPr>
          <w:p w14:paraId="08626B20" w14:textId="77777777" w:rsidR="00295952" w:rsidRPr="00232C88" w:rsidRDefault="00295952" w:rsidP="00B2180A">
            <w:pPr>
              <w:pStyle w:val="Applicationdirecte"/>
              <w:spacing w:before="60"/>
              <w:jc w:val="center"/>
            </w:pPr>
            <w:r>
              <w:t>2</w:t>
            </w:r>
          </w:p>
        </w:tc>
        <w:tc>
          <w:tcPr>
            <w:tcW w:w="7655" w:type="dxa"/>
            <w:vAlign w:val="center"/>
          </w:tcPr>
          <w:p w14:paraId="42B45BEE" w14:textId="6DB4E098" w:rsidR="00295952" w:rsidRPr="00232C88" w:rsidRDefault="00295952" w:rsidP="00B2180A">
            <w:pPr>
              <w:spacing w:before="60" w:after="120"/>
              <w:jc w:val="both"/>
              <w:rPr>
                <w:rFonts w:ascii="Times New Roman" w:hAnsi="Times New Roman" w:cs="Times New Roman"/>
                <w:b/>
                <w:bCs/>
                <w:sz w:val="24"/>
              </w:rPr>
            </w:pPr>
            <w:r>
              <w:rPr>
                <w:rFonts w:ascii="Times New Roman" w:hAnsi="Times New Roman"/>
                <w:b/>
                <w:sz w:val="24"/>
              </w:rPr>
              <w:t>Ratio d</w:t>
            </w:r>
            <w:r w:rsidR="0057717F">
              <w:rPr>
                <w:rFonts w:ascii="Times New Roman" w:hAnsi="Times New Roman"/>
                <w:b/>
                <w:sz w:val="24"/>
              </w:rPr>
              <w:t>’</w:t>
            </w:r>
            <w:r>
              <w:rPr>
                <w:rFonts w:ascii="Times New Roman" w:hAnsi="Times New Roman"/>
                <w:b/>
                <w:sz w:val="24"/>
              </w:rPr>
              <w:t>adéquation des fonds propres du conglomérat financier (%)</w:t>
            </w:r>
          </w:p>
          <w:p w14:paraId="1C3780DF" w14:textId="2B1ECEB3" w:rsidR="00295952" w:rsidRPr="00232C88" w:rsidRDefault="00295952" w:rsidP="00704085">
            <w:pPr>
              <w:spacing w:before="60" w:after="120"/>
              <w:jc w:val="both"/>
              <w:rPr>
                <w:rFonts w:ascii="Times New Roman" w:hAnsi="Times New Roman" w:cs="Times New Roman"/>
                <w:sz w:val="24"/>
              </w:rPr>
            </w:pPr>
            <w:r>
              <w:rPr>
                <w:rFonts w:ascii="Times New Roman" w:hAnsi="Times New Roman"/>
                <w:sz w:val="24"/>
              </w:rPr>
              <w:t>Le ratio d’adéquation des fonds propres du conglomérat financier calculé conformément à l’article 6 de la directive 2002/87/CE et à l’annexe I de ladite directive lorsque les méthodes 1 ou 2 décrites à l’annexe I sont appliquées.</w:t>
            </w:r>
          </w:p>
        </w:tc>
      </w:tr>
    </w:tbl>
    <w:p w14:paraId="75004C3A" w14:textId="77777777" w:rsidR="00295952" w:rsidRPr="00232C88" w:rsidRDefault="00295952" w:rsidP="00E258D8">
      <w:pPr>
        <w:tabs>
          <w:tab w:val="left" w:pos="1430"/>
        </w:tabs>
        <w:rPr>
          <w:rFonts w:ascii="Times New Roman" w:hAnsi="Times New Roman" w:cs="Times New Roman"/>
          <w:b/>
          <w:sz w:val="24"/>
        </w:rPr>
      </w:pPr>
    </w:p>
    <w:p w14:paraId="2779323A" w14:textId="324B2CE0" w:rsidR="00D15B1C" w:rsidRPr="00232C88" w:rsidRDefault="00D15B1C" w:rsidP="00E258D8">
      <w:pPr>
        <w:tabs>
          <w:tab w:val="left" w:pos="1430"/>
        </w:tabs>
        <w:rPr>
          <w:rFonts w:ascii="Times New Roman" w:hAnsi="Times New Roman" w:cs="Times New Roman"/>
          <w:b/>
          <w:sz w:val="24"/>
        </w:rPr>
      </w:pPr>
      <w:r>
        <w:rPr>
          <w:rFonts w:ascii="Times New Roman" w:hAnsi="Times New Roman"/>
          <w:b/>
          <w:sz w:val="24"/>
        </w:rPr>
        <w:t xml:space="preserve">Tableau EU OVC — Informations ICAAP </w:t>
      </w:r>
      <w:r>
        <w:rPr>
          <w:rFonts w:ascii="Times New Roman" w:hAnsi="Times New Roman"/>
          <w:sz w:val="24"/>
        </w:rPr>
        <w:t>Format flexible.</w:t>
      </w:r>
    </w:p>
    <w:p w14:paraId="6F8896EF" w14:textId="77777777" w:rsidR="00D15B1C" w:rsidRPr="00232C88" w:rsidRDefault="00D15B1C" w:rsidP="00E258D8">
      <w:pPr>
        <w:tabs>
          <w:tab w:val="left" w:pos="1430"/>
        </w:tabs>
        <w:rPr>
          <w:rFonts w:ascii="Times New Roman" w:hAnsi="Times New Roman" w:cs="Times New Roman"/>
          <w:b/>
          <w:sz w:val="24"/>
        </w:rPr>
      </w:pPr>
    </w:p>
    <w:p w14:paraId="6613540B" w14:textId="6F754927" w:rsidR="00D15B1C" w:rsidRPr="00232C88" w:rsidRDefault="00D15B1C" w:rsidP="009260D6">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Les établissements appliquent les instructions fournies ci-dessous dans la présente annexe pour compléter le tableau EU OVC, tel que présenté à l’annexe I, en application de l’article 438, points a) et c), du règlement (UE) nº 575/2013.</w:t>
      </w:r>
    </w:p>
    <w:p w14:paraId="32023AC9" w14:textId="77777777" w:rsidR="00D15B1C" w:rsidRPr="00232C88" w:rsidRDefault="00D15B1C" w:rsidP="00E258D8">
      <w:pPr>
        <w:tabs>
          <w:tab w:val="left" w:pos="1430"/>
        </w:tabs>
        <w:rPr>
          <w:rFonts w:ascii="Times New Roman" w:hAnsi="Times New Roman" w:cs="Times New Roman"/>
          <w:b/>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32C88" w:rsidRPr="00232C88" w14:paraId="09F4A28B"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96101B" w14:textId="77777777" w:rsidR="00D15B1C" w:rsidRPr="00232C88" w:rsidRDefault="00D15B1C" w:rsidP="00B2180A">
            <w:pPr>
              <w:rPr>
                <w:rFonts w:ascii="Times New Roman" w:hAnsi="Times New Roman" w:cs="Times New Roman"/>
                <w:b/>
                <w:sz w:val="24"/>
              </w:rPr>
            </w:pPr>
            <w:r>
              <w:rPr>
                <w:rFonts w:ascii="Times New Roman" w:hAnsi="Times New Roman"/>
                <w:b/>
                <w:sz w:val="24"/>
              </w:rPr>
              <w:t>Références juridiques et instructions</w:t>
            </w:r>
          </w:p>
        </w:tc>
      </w:tr>
      <w:tr w:rsidR="00232C88" w:rsidRPr="00232C88" w14:paraId="6CAC9422" w14:textId="77777777" w:rsidTr="00B2180A">
        <w:trPr>
          <w:trHeight w:val="238"/>
        </w:trPr>
        <w:tc>
          <w:tcPr>
            <w:tcW w:w="1384" w:type="dxa"/>
            <w:shd w:val="clear" w:color="auto" w:fill="D9D9D9" w:themeFill="background1" w:themeFillShade="D9"/>
          </w:tcPr>
          <w:p w14:paraId="090C73F5" w14:textId="77777777" w:rsidR="00D15B1C" w:rsidRPr="00232C88" w:rsidRDefault="00D15B1C" w:rsidP="00B2180A">
            <w:pPr>
              <w:autoSpaceDE w:val="0"/>
              <w:autoSpaceDN w:val="0"/>
              <w:adjustRightInd w:val="0"/>
              <w:rPr>
                <w:rFonts w:ascii="Times New Roman" w:hAnsi="Times New Roman" w:cs="Times New Roman"/>
                <w:b/>
                <w:sz w:val="24"/>
              </w:rPr>
            </w:pPr>
            <w:r>
              <w:rPr>
                <w:rFonts w:ascii="Times New Roman" w:hAnsi="Times New Roman"/>
                <w:b/>
                <w:sz w:val="24"/>
              </w:rPr>
              <w:t>Numéro de la ligne</w:t>
            </w:r>
          </w:p>
        </w:tc>
        <w:tc>
          <w:tcPr>
            <w:tcW w:w="7655" w:type="dxa"/>
            <w:shd w:val="clear" w:color="auto" w:fill="D9D9D9" w:themeFill="background1" w:themeFillShade="D9"/>
          </w:tcPr>
          <w:p w14:paraId="3DC94017" w14:textId="77777777" w:rsidR="00D15B1C" w:rsidRPr="00232C88" w:rsidRDefault="00D15B1C" w:rsidP="00B2180A">
            <w:pPr>
              <w:autoSpaceDE w:val="0"/>
              <w:autoSpaceDN w:val="0"/>
              <w:adjustRightInd w:val="0"/>
              <w:rPr>
                <w:rFonts w:ascii="Times New Roman" w:hAnsi="Times New Roman" w:cs="Times New Roman"/>
                <w:sz w:val="24"/>
              </w:rPr>
            </w:pPr>
            <w:r>
              <w:rPr>
                <w:rFonts w:ascii="Times New Roman" w:hAnsi="Times New Roman"/>
                <w:b/>
                <w:sz w:val="24"/>
              </w:rPr>
              <w:t>Explication</w:t>
            </w:r>
          </w:p>
        </w:tc>
      </w:tr>
      <w:tr w:rsidR="00232C88" w:rsidRPr="00232C88" w14:paraId="53740EA1" w14:textId="77777777" w:rsidTr="00B2180A">
        <w:trPr>
          <w:trHeight w:val="680"/>
        </w:trPr>
        <w:tc>
          <w:tcPr>
            <w:tcW w:w="1384" w:type="dxa"/>
          </w:tcPr>
          <w:p w14:paraId="33BBDE21" w14:textId="2466B35E" w:rsidR="00D15B1C" w:rsidRPr="00232C88" w:rsidRDefault="00D85025" w:rsidP="00B2180A">
            <w:pPr>
              <w:pStyle w:val="Applicationdirecte"/>
              <w:spacing w:before="60"/>
              <w:jc w:val="center"/>
            </w:pPr>
            <w:r>
              <w:t>a)</w:t>
            </w:r>
          </w:p>
        </w:tc>
        <w:tc>
          <w:tcPr>
            <w:tcW w:w="7655" w:type="dxa"/>
            <w:vAlign w:val="center"/>
          </w:tcPr>
          <w:p w14:paraId="4945628B" w14:textId="11E7D91F" w:rsidR="00B05624" w:rsidRPr="00232C88" w:rsidRDefault="00B05624" w:rsidP="00B2180A">
            <w:pPr>
              <w:spacing w:before="60" w:after="120"/>
              <w:jc w:val="both"/>
              <w:rPr>
                <w:rFonts w:ascii="Times New Roman" w:hAnsi="Times New Roman" w:cs="Times New Roman"/>
                <w:b/>
                <w:bCs/>
                <w:sz w:val="24"/>
              </w:rPr>
            </w:pPr>
            <w:r>
              <w:rPr>
                <w:rFonts w:ascii="Times New Roman" w:hAnsi="Times New Roman"/>
                <w:b/>
                <w:sz w:val="24"/>
              </w:rPr>
              <w:t>Méthode d’évaluation de l</w:t>
            </w:r>
            <w:r w:rsidR="0057717F">
              <w:rPr>
                <w:rFonts w:ascii="Times New Roman" w:hAnsi="Times New Roman"/>
                <w:b/>
                <w:sz w:val="24"/>
              </w:rPr>
              <w:t>’</w:t>
            </w:r>
            <w:r>
              <w:rPr>
                <w:rFonts w:ascii="Times New Roman" w:hAnsi="Times New Roman"/>
                <w:b/>
                <w:sz w:val="24"/>
              </w:rPr>
              <w:t>adéquation de leurs fonds propres</w:t>
            </w:r>
          </w:p>
          <w:p w14:paraId="05E23E13" w14:textId="77777777" w:rsidR="00D15B1C" w:rsidRPr="00232C88" w:rsidRDefault="00B05624" w:rsidP="00B05624">
            <w:pPr>
              <w:spacing w:before="60" w:after="120"/>
              <w:jc w:val="both"/>
              <w:rPr>
                <w:rFonts w:ascii="Times New Roman" w:hAnsi="Times New Roman" w:cs="Times New Roman"/>
                <w:sz w:val="24"/>
              </w:rPr>
            </w:pPr>
            <w:r>
              <w:rPr>
                <w:rFonts w:ascii="Times New Roman" w:hAnsi="Times New Roman"/>
                <w:sz w:val="24"/>
              </w:rPr>
              <w:t>Les établissements publient un résumé de leur méthode d’évaluation de l’adéquation de leur capital interne pour soutenir les activités actuelles et futures.</w:t>
            </w:r>
          </w:p>
        </w:tc>
      </w:tr>
      <w:tr w:rsidR="00D15B1C" w:rsidRPr="00232C88" w14:paraId="3EB24671" w14:textId="77777777" w:rsidTr="00B2180A">
        <w:trPr>
          <w:trHeight w:val="680"/>
        </w:trPr>
        <w:tc>
          <w:tcPr>
            <w:tcW w:w="1384" w:type="dxa"/>
          </w:tcPr>
          <w:p w14:paraId="26622B61" w14:textId="577E7939" w:rsidR="00D15B1C" w:rsidRPr="00232C88" w:rsidRDefault="00D85025" w:rsidP="00B2180A">
            <w:pPr>
              <w:pStyle w:val="Applicationdirecte"/>
              <w:spacing w:before="60"/>
              <w:jc w:val="center"/>
            </w:pPr>
            <w:r>
              <w:t>b)</w:t>
            </w:r>
          </w:p>
        </w:tc>
        <w:tc>
          <w:tcPr>
            <w:tcW w:w="7655" w:type="dxa"/>
            <w:vAlign w:val="center"/>
          </w:tcPr>
          <w:p w14:paraId="1F26E981" w14:textId="19C12445" w:rsidR="00B05624" w:rsidRPr="00232C88" w:rsidRDefault="00B05624" w:rsidP="00B2180A">
            <w:pPr>
              <w:spacing w:before="60" w:after="120"/>
              <w:jc w:val="both"/>
              <w:rPr>
                <w:rFonts w:ascii="Times New Roman" w:hAnsi="Times New Roman" w:cs="Times New Roman"/>
                <w:b/>
                <w:bCs/>
                <w:sz w:val="24"/>
              </w:rPr>
            </w:pPr>
            <w:r>
              <w:rPr>
                <w:rFonts w:ascii="Times New Roman" w:hAnsi="Times New Roman"/>
                <w:b/>
                <w:sz w:val="24"/>
              </w:rPr>
              <w:t>À la demande de l</w:t>
            </w:r>
            <w:r w:rsidR="0057717F">
              <w:rPr>
                <w:rFonts w:ascii="Times New Roman" w:hAnsi="Times New Roman"/>
                <w:b/>
                <w:sz w:val="24"/>
              </w:rPr>
              <w:t>’</w:t>
            </w:r>
            <w:r>
              <w:rPr>
                <w:rFonts w:ascii="Times New Roman" w:hAnsi="Times New Roman"/>
                <w:b/>
                <w:sz w:val="24"/>
              </w:rPr>
              <w:t>autorité compétente pertinente, le résultat du processus d</w:t>
            </w:r>
            <w:r w:rsidR="0057717F">
              <w:rPr>
                <w:rFonts w:ascii="Times New Roman" w:hAnsi="Times New Roman"/>
                <w:b/>
                <w:sz w:val="24"/>
              </w:rPr>
              <w:t>’</w:t>
            </w:r>
            <w:r>
              <w:rPr>
                <w:rFonts w:ascii="Times New Roman" w:hAnsi="Times New Roman"/>
                <w:b/>
                <w:sz w:val="24"/>
              </w:rPr>
              <w:t>évaluation interne de l</w:t>
            </w:r>
            <w:r w:rsidR="0057717F">
              <w:rPr>
                <w:rFonts w:ascii="Times New Roman" w:hAnsi="Times New Roman"/>
                <w:b/>
                <w:sz w:val="24"/>
              </w:rPr>
              <w:t>’</w:t>
            </w:r>
            <w:r>
              <w:rPr>
                <w:rFonts w:ascii="Times New Roman" w:hAnsi="Times New Roman"/>
                <w:b/>
                <w:sz w:val="24"/>
              </w:rPr>
              <w:t>adéquation des fonds propres de l</w:t>
            </w:r>
            <w:r w:rsidR="0057717F">
              <w:rPr>
                <w:rFonts w:ascii="Times New Roman" w:hAnsi="Times New Roman"/>
                <w:b/>
                <w:sz w:val="24"/>
              </w:rPr>
              <w:t>’</w:t>
            </w:r>
            <w:r>
              <w:rPr>
                <w:rFonts w:ascii="Times New Roman" w:hAnsi="Times New Roman"/>
                <w:b/>
                <w:sz w:val="24"/>
              </w:rPr>
              <w:t>établissement</w:t>
            </w:r>
          </w:p>
          <w:p w14:paraId="32D8B55C" w14:textId="77777777" w:rsidR="00D15B1C" w:rsidRPr="00232C88" w:rsidRDefault="00B05624" w:rsidP="00B2180A">
            <w:pPr>
              <w:spacing w:before="60" w:after="120"/>
              <w:jc w:val="both"/>
              <w:rPr>
                <w:rFonts w:ascii="Times New Roman" w:hAnsi="Times New Roman" w:cs="Times New Roman"/>
                <w:sz w:val="24"/>
              </w:rPr>
            </w:pPr>
            <w:r>
              <w:rPr>
                <w:rFonts w:ascii="Times New Roman" w:hAnsi="Times New Roman"/>
                <w:sz w:val="24"/>
              </w:rPr>
              <w:t>Ces informations ne sont divulguées par les établissements que si l’autorité compétente concernée l’exige.</w:t>
            </w:r>
          </w:p>
        </w:tc>
      </w:tr>
    </w:tbl>
    <w:p w14:paraId="10DD1F8C" w14:textId="28F606EF" w:rsidR="00203C1C" w:rsidRPr="00232C88" w:rsidRDefault="00203C1C">
      <w:pPr>
        <w:rPr>
          <w:rFonts w:ascii="Times New Roman" w:hAnsi="Times New Roman" w:cs="Times New Roman"/>
          <w:b/>
          <w:sz w:val="24"/>
        </w:rPr>
      </w:pPr>
    </w:p>
    <w:p w14:paraId="5A44B512" w14:textId="0C54D3BB" w:rsidR="00DC2C46" w:rsidRPr="00232C88" w:rsidRDefault="00DC2C46" w:rsidP="00DC2C46">
      <w:pPr>
        <w:spacing w:after="120"/>
        <w:jc w:val="both"/>
        <w:rPr>
          <w:rFonts w:ascii="Times New Roman" w:hAnsi="Times New Roman" w:cs="Times New Roman"/>
          <w:sz w:val="24"/>
        </w:rPr>
      </w:pPr>
      <w:r>
        <w:rPr>
          <w:rFonts w:ascii="Times New Roman" w:hAnsi="Times New Roman"/>
          <w:b/>
          <w:sz w:val="24"/>
        </w:rPr>
        <w:t>Tableau EU CMS1: Comparaison du montant d</w:t>
      </w:r>
      <w:r w:rsidR="0057717F">
        <w:rPr>
          <w:rFonts w:ascii="Times New Roman" w:hAnsi="Times New Roman"/>
          <w:b/>
          <w:sz w:val="24"/>
        </w:rPr>
        <w:t>’</w:t>
      </w:r>
      <w:r>
        <w:rPr>
          <w:rFonts w:ascii="Times New Roman" w:hAnsi="Times New Roman"/>
          <w:b/>
          <w:sz w:val="24"/>
        </w:rPr>
        <w:t xml:space="preserve">exposition pondéré modélisé et en approches standard au niveau du risque </w:t>
      </w:r>
      <w:r>
        <w:rPr>
          <w:rFonts w:ascii="Times New Roman" w:hAnsi="Times New Roman"/>
          <w:sz w:val="24"/>
        </w:rPr>
        <w:t>Format fixe</w:t>
      </w:r>
    </w:p>
    <w:p w14:paraId="36DAA287" w14:textId="6AC070E1" w:rsidR="0084180E" w:rsidRPr="00232C88" w:rsidRDefault="00DC2C46" w:rsidP="4D769726">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Les établissements appliquent les instructions fournies ci-dessous dans la présente annexe pour compléter le modèle EU CMS1 tel que présenté à l’annexe I, en application de l’article 438, points d) et d </w:t>
      </w:r>
      <w:r>
        <w:rPr>
          <w:rFonts w:ascii="Times New Roman" w:hAnsi="Times New Roman"/>
          <w:i/>
          <w:color w:val="auto"/>
          <w:sz w:val="24"/>
        </w:rPr>
        <w:t>bis</w:t>
      </w:r>
      <w:r>
        <w:rPr>
          <w:rFonts w:ascii="Times New Roman" w:hAnsi="Times New Roman"/>
          <w:color w:val="auto"/>
          <w:sz w:val="24"/>
        </w:rPr>
        <w:t>), du règlement (UE) nº 575/2013.</w:t>
      </w:r>
    </w:p>
    <w:p w14:paraId="57705F0E" w14:textId="0110902F" w:rsidR="00E86C14" w:rsidRPr="00232C88" w:rsidRDefault="00E86C14" w:rsidP="00F83255">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lastRenderedPageBreak/>
        <w:t>Ce modèle ne doit être complété que par les établissements qui utilisent un modèle interne approuvé par l</w:t>
      </w:r>
      <w:r w:rsidR="0057717F">
        <w:rPr>
          <w:rFonts w:ascii="Times New Roman" w:hAnsi="Times New Roman"/>
          <w:color w:val="auto"/>
          <w:sz w:val="24"/>
        </w:rPr>
        <w:t>’</w:t>
      </w:r>
      <w:r>
        <w:rPr>
          <w:rFonts w:ascii="Times New Roman" w:hAnsi="Times New Roman"/>
          <w:color w:val="auto"/>
          <w:sz w:val="24"/>
        </w:rPr>
        <w:t>autorité compétente pour calculer les montants d</w:t>
      </w:r>
      <w:r w:rsidR="0057717F">
        <w:rPr>
          <w:rFonts w:ascii="Times New Roman" w:hAnsi="Times New Roman"/>
          <w:color w:val="auto"/>
          <w:sz w:val="24"/>
        </w:rPr>
        <w:t>’</w:t>
      </w:r>
      <w:r>
        <w:rPr>
          <w:rFonts w:ascii="Times New Roman" w:hAnsi="Times New Roman"/>
          <w:color w:val="auto"/>
          <w:sz w:val="24"/>
        </w:rPr>
        <w:t>exposition pondérés et qui ne bénéficient pas de l</w:t>
      </w:r>
      <w:r w:rsidR="0057717F">
        <w:rPr>
          <w:rFonts w:ascii="Times New Roman" w:hAnsi="Times New Roman"/>
          <w:color w:val="auto"/>
          <w:sz w:val="24"/>
        </w:rPr>
        <w:t>’</w:t>
      </w:r>
      <w:r>
        <w:rPr>
          <w:rFonts w:ascii="Times New Roman" w:hAnsi="Times New Roman"/>
          <w:color w:val="auto"/>
          <w:sz w:val="24"/>
        </w:rPr>
        <w:t>exemption prévue à l</w:t>
      </w:r>
      <w:r w:rsidR="0057717F">
        <w:rPr>
          <w:rFonts w:ascii="Times New Roman" w:hAnsi="Times New Roman"/>
          <w:color w:val="auto"/>
          <w:sz w:val="24"/>
        </w:rPr>
        <w:t>’</w:t>
      </w:r>
      <w:r>
        <w:rPr>
          <w:rFonts w:ascii="Times New Roman" w:hAnsi="Times New Roman"/>
          <w:color w:val="auto"/>
          <w:sz w:val="24"/>
        </w:rPr>
        <w:t>article 92, paragraphe 3, deuxième alinéa, du règlement (UE) nº 575/2013.</w:t>
      </w:r>
    </w:p>
    <w:p w14:paraId="022B4D4D" w14:textId="6173D624" w:rsidR="009E1A3F" w:rsidRPr="00232C88" w:rsidRDefault="00644388" w:rsidP="009E1A3F">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Le cas échéant, les établissements expliquent, dans la note descriptive jointe au modèle, les effets de l</w:t>
      </w:r>
      <w:r w:rsidR="0057717F">
        <w:rPr>
          <w:rFonts w:ascii="Times New Roman" w:hAnsi="Times New Roman"/>
          <w:color w:val="auto"/>
          <w:sz w:val="24"/>
        </w:rPr>
        <w:t>’</w:t>
      </w:r>
      <w:r>
        <w:rPr>
          <w:rFonts w:ascii="Times New Roman" w:hAnsi="Times New Roman"/>
          <w:color w:val="auto"/>
          <w:sz w:val="24"/>
        </w:rPr>
        <w:t>application de planchers de fonds propres et de la non-déduction de certains éléments des fonds propres sur le calcul des fonds propres et des montants d’exposition pondérés.</w:t>
      </w:r>
    </w:p>
    <w:p w14:paraId="2DEA712B" w14:textId="0393E471" w:rsidR="00644388" w:rsidRPr="00232C88" w:rsidRDefault="00D07048" w:rsidP="009E1A3F">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En outre, lorsque, conformément aux instructions ci-dessous concernant les lignes, des expositions NI ont été exclues de leur catégorie d</w:t>
      </w:r>
      <w:r w:rsidR="0057717F">
        <w:rPr>
          <w:rFonts w:ascii="Times New Roman" w:hAnsi="Times New Roman"/>
          <w:color w:val="auto"/>
          <w:sz w:val="24"/>
        </w:rPr>
        <w:t>’</w:t>
      </w:r>
      <w:r>
        <w:rPr>
          <w:rFonts w:ascii="Times New Roman" w:hAnsi="Times New Roman"/>
          <w:color w:val="auto"/>
          <w:sz w:val="24"/>
        </w:rPr>
        <w:t>expositions NI et déclarées dans l</w:t>
      </w:r>
      <w:r w:rsidR="0057717F">
        <w:rPr>
          <w:rFonts w:ascii="Times New Roman" w:hAnsi="Times New Roman"/>
          <w:color w:val="auto"/>
          <w:sz w:val="24"/>
        </w:rPr>
        <w:t>’</w:t>
      </w:r>
      <w:r>
        <w:rPr>
          <w:rFonts w:ascii="Times New Roman" w:hAnsi="Times New Roman"/>
          <w:color w:val="auto"/>
          <w:sz w:val="24"/>
        </w:rPr>
        <w:t>une des catégories d</w:t>
      </w:r>
      <w:r w:rsidR="0057717F">
        <w:rPr>
          <w:rFonts w:ascii="Times New Roman" w:hAnsi="Times New Roman"/>
          <w:color w:val="auto"/>
          <w:sz w:val="24"/>
        </w:rPr>
        <w:t>’</w:t>
      </w:r>
      <w:r>
        <w:rPr>
          <w:rFonts w:ascii="Times New Roman" w:hAnsi="Times New Roman"/>
          <w:color w:val="auto"/>
          <w:sz w:val="24"/>
        </w:rPr>
        <w:t>expositions de l</w:t>
      </w:r>
      <w:r w:rsidR="0057717F">
        <w:rPr>
          <w:rFonts w:ascii="Times New Roman" w:hAnsi="Times New Roman"/>
          <w:color w:val="auto"/>
          <w:sz w:val="24"/>
        </w:rPr>
        <w:t>’</w:t>
      </w:r>
      <w:r>
        <w:rPr>
          <w:rFonts w:ascii="Times New Roman" w:hAnsi="Times New Roman"/>
          <w:color w:val="auto"/>
          <w:sz w:val="24"/>
        </w:rPr>
        <w:t>approche standard reprises dans le modèle, les établissements précisent, dans la note descriptive jointe au modèle, quelle était leur catégorie d</w:t>
      </w:r>
      <w:r w:rsidR="0057717F">
        <w:rPr>
          <w:rFonts w:ascii="Times New Roman" w:hAnsi="Times New Roman"/>
          <w:color w:val="auto"/>
          <w:sz w:val="24"/>
        </w:rPr>
        <w:t>’</w:t>
      </w:r>
      <w:r>
        <w:rPr>
          <w:rFonts w:ascii="Times New Roman" w:hAnsi="Times New Roman"/>
          <w:color w:val="auto"/>
          <w:sz w:val="24"/>
        </w:rPr>
        <w:t>expositions NI d</w:t>
      </w:r>
      <w:r w:rsidR="0057717F">
        <w:rPr>
          <w:rFonts w:ascii="Times New Roman" w:hAnsi="Times New Roman"/>
          <w:color w:val="auto"/>
          <w:sz w:val="24"/>
        </w:rPr>
        <w:t>’</w:t>
      </w:r>
      <w:r>
        <w:rPr>
          <w:rFonts w:ascii="Times New Roman" w:hAnsi="Times New Roman"/>
          <w:color w:val="auto"/>
          <w:sz w:val="24"/>
        </w:rPr>
        <w:t xml:space="preserve">origine. </w:t>
      </w:r>
    </w:p>
    <w:p w14:paraId="7F5020E2" w14:textId="77777777" w:rsidR="004E19D2" w:rsidRPr="00452214" w:rsidRDefault="004E19D2" w:rsidP="004E19D2">
      <w:pPr>
        <w:pStyle w:val="Titlelevel2"/>
        <w:spacing w:before="120" w:after="120"/>
        <w:ind w:left="66"/>
        <w:jc w:val="both"/>
        <w:rPr>
          <w:rFonts w:ascii="Times New Roman" w:hAnsi="Times New Roman" w:cs="Times New Roman"/>
          <w:color w:val="auto"/>
          <w:sz w:val="24"/>
          <w:lang w:val="fr-BE"/>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384"/>
        <w:gridCol w:w="7655"/>
      </w:tblGrid>
      <w:tr w:rsidR="00232C88" w:rsidRPr="00232C88" w14:paraId="0E2D180A"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4CE7A5" w14:textId="77777777" w:rsidR="0090729F" w:rsidRPr="00232C88" w:rsidRDefault="0090729F" w:rsidP="00AF3FBC">
            <w:pPr>
              <w:rPr>
                <w:rFonts w:ascii="Times New Roman" w:hAnsi="Times New Roman" w:cs="Times New Roman"/>
                <w:b/>
                <w:sz w:val="24"/>
              </w:rPr>
            </w:pPr>
            <w:r>
              <w:rPr>
                <w:rFonts w:ascii="Times New Roman" w:hAnsi="Times New Roman"/>
                <w:b/>
                <w:sz w:val="24"/>
              </w:rPr>
              <w:t>Références juridiques et instructions</w:t>
            </w:r>
          </w:p>
        </w:tc>
      </w:tr>
      <w:tr w:rsidR="00232C88" w:rsidRPr="00232C88" w14:paraId="4FE9F154" w14:textId="77777777" w:rsidTr="4D769726">
        <w:trPr>
          <w:trHeight w:val="238"/>
        </w:trPr>
        <w:tc>
          <w:tcPr>
            <w:tcW w:w="1384" w:type="dxa"/>
            <w:shd w:val="clear" w:color="auto" w:fill="D9D9D9" w:themeFill="background1" w:themeFillShade="D9"/>
          </w:tcPr>
          <w:p w14:paraId="38DC7ECC" w14:textId="741704A1" w:rsidR="0090729F" w:rsidRPr="00232C88" w:rsidRDefault="0090729F" w:rsidP="00AF3FBC">
            <w:pPr>
              <w:autoSpaceDE w:val="0"/>
              <w:autoSpaceDN w:val="0"/>
              <w:adjustRightInd w:val="0"/>
              <w:rPr>
                <w:rFonts w:ascii="Times New Roman" w:hAnsi="Times New Roman" w:cs="Times New Roman"/>
                <w:b/>
                <w:sz w:val="24"/>
              </w:rPr>
            </w:pPr>
            <w:r>
              <w:rPr>
                <w:rFonts w:ascii="Times New Roman" w:hAnsi="Times New Roman"/>
                <w:b/>
                <w:sz w:val="24"/>
              </w:rPr>
              <w:t>Numéro de la colonne</w:t>
            </w:r>
          </w:p>
        </w:tc>
        <w:tc>
          <w:tcPr>
            <w:tcW w:w="7655" w:type="dxa"/>
            <w:shd w:val="clear" w:color="auto" w:fill="D9D9D9" w:themeFill="background1" w:themeFillShade="D9"/>
          </w:tcPr>
          <w:p w14:paraId="7DF92C07" w14:textId="77777777" w:rsidR="0090729F" w:rsidRPr="00232C88" w:rsidRDefault="0090729F" w:rsidP="00AF3FBC">
            <w:pPr>
              <w:autoSpaceDE w:val="0"/>
              <w:autoSpaceDN w:val="0"/>
              <w:adjustRightInd w:val="0"/>
              <w:rPr>
                <w:rFonts w:ascii="Times New Roman" w:hAnsi="Times New Roman" w:cs="Times New Roman"/>
                <w:sz w:val="24"/>
              </w:rPr>
            </w:pPr>
            <w:r>
              <w:rPr>
                <w:rFonts w:ascii="Times New Roman" w:hAnsi="Times New Roman"/>
                <w:b/>
                <w:sz w:val="24"/>
              </w:rPr>
              <w:t>Explication</w:t>
            </w:r>
          </w:p>
        </w:tc>
      </w:tr>
      <w:tr w:rsidR="00232C88" w:rsidRPr="00232C88" w14:paraId="74E16454" w14:textId="77777777" w:rsidTr="4D769726">
        <w:trPr>
          <w:trHeight w:val="680"/>
        </w:trPr>
        <w:tc>
          <w:tcPr>
            <w:tcW w:w="1384" w:type="dxa"/>
          </w:tcPr>
          <w:p w14:paraId="33EF7E61" w14:textId="790317FD" w:rsidR="00351A65" w:rsidRPr="00232C88" w:rsidRDefault="00351A65" w:rsidP="0028295F">
            <w:pPr>
              <w:pStyle w:val="Applicationdirecte"/>
              <w:spacing w:before="60"/>
              <w:jc w:val="center"/>
            </w:pPr>
            <w:r>
              <w:t>a</w:t>
            </w:r>
          </w:p>
        </w:tc>
        <w:tc>
          <w:tcPr>
            <w:tcW w:w="7655" w:type="dxa"/>
            <w:vAlign w:val="center"/>
          </w:tcPr>
          <w:p w14:paraId="0166BCE4" w14:textId="72CDC875" w:rsidR="00351A65" w:rsidRPr="00232C88" w:rsidRDefault="00351A65" w:rsidP="00351A65">
            <w:pPr>
              <w:spacing w:before="60" w:after="120"/>
              <w:jc w:val="both"/>
              <w:rPr>
                <w:rFonts w:ascii="Times New Roman" w:hAnsi="Times New Roman" w:cs="Times New Roman"/>
                <w:b/>
                <w:sz w:val="24"/>
              </w:rPr>
            </w:pPr>
            <w:r>
              <w:rPr>
                <w:rFonts w:ascii="Times New Roman" w:hAnsi="Times New Roman"/>
                <w:b/>
                <w:sz w:val="24"/>
              </w:rPr>
              <w:t>RWEA pour les approches modélisées que les établissements sont autorisés à utiliser par l</w:t>
            </w:r>
            <w:r w:rsidR="0057717F">
              <w:rPr>
                <w:rFonts w:ascii="Times New Roman" w:hAnsi="Times New Roman"/>
                <w:b/>
                <w:sz w:val="24"/>
              </w:rPr>
              <w:t>’</w:t>
            </w:r>
            <w:r>
              <w:rPr>
                <w:rFonts w:ascii="Times New Roman" w:hAnsi="Times New Roman"/>
                <w:b/>
                <w:sz w:val="24"/>
              </w:rPr>
              <w:t xml:space="preserve">autorité de surveillance </w:t>
            </w:r>
          </w:p>
          <w:p w14:paraId="1E62CED4" w14:textId="53002165" w:rsidR="00351A65" w:rsidRPr="00232C88" w:rsidRDefault="00950346" w:rsidP="00950346">
            <w:pPr>
              <w:spacing w:before="60" w:after="120"/>
              <w:jc w:val="both"/>
              <w:rPr>
                <w:rFonts w:ascii="Times New Roman" w:hAnsi="Times New Roman" w:cs="Times New Roman"/>
                <w:sz w:val="24"/>
              </w:rPr>
            </w:pPr>
            <w:r>
              <w:rPr>
                <w:rFonts w:ascii="Times New Roman" w:hAnsi="Times New Roman"/>
                <w:sz w:val="24"/>
              </w:rPr>
              <w:t>Portion des montants d</w:t>
            </w:r>
            <w:r w:rsidR="0057717F">
              <w:rPr>
                <w:rFonts w:ascii="Times New Roman" w:hAnsi="Times New Roman"/>
                <w:sz w:val="24"/>
              </w:rPr>
              <w:t>’</w:t>
            </w:r>
            <w:r>
              <w:rPr>
                <w:rFonts w:ascii="Times New Roman" w:hAnsi="Times New Roman"/>
                <w:sz w:val="24"/>
              </w:rPr>
              <w:t>exposition pondérés (RWEA) calculée au moyen de modèles internes approuvés par l</w:t>
            </w:r>
            <w:r w:rsidR="0057717F">
              <w:rPr>
                <w:rFonts w:ascii="Times New Roman" w:hAnsi="Times New Roman"/>
                <w:sz w:val="24"/>
              </w:rPr>
              <w:t>’</w:t>
            </w:r>
            <w:r>
              <w:rPr>
                <w:rFonts w:ascii="Times New Roman" w:hAnsi="Times New Roman"/>
                <w:sz w:val="24"/>
              </w:rPr>
              <w:t>autorité compétente.</w:t>
            </w:r>
          </w:p>
        </w:tc>
      </w:tr>
      <w:tr w:rsidR="00232C88" w:rsidRPr="00232C88" w14:paraId="1A199F0E" w14:textId="77777777" w:rsidTr="4D769726">
        <w:trPr>
          <w:trHeight w:val="680"/>
        </w:trPr>
        <w:tc>
          <w:tcPr>
            <w:tcW w:w="1384" w:type="dxa"/>
          </w:tcPr>
          <w:p w14:paraId="385C4F72" w14:textId="40314A24" w:rsidR="00351A65" w:rsidRPr="00232C88" w:rsidRDefault="00351A65" w:rsidP="00351A65">
            <w:pPr>
              <w:pStyle w:val="Applicationdirecte"/>
              <w:spacing w:before="60"/>
              <w:jc w:val="center"/>
            </w:pPr>
            <w:r>
              <w:t>b</w:t>
            </w:r>
          </w:p>
          <w:p w14:paraId="78AEC7BE" w14:textId="100929C8" w:rsidR="00351A65" w:rsidRPr="00232C88" w:rsidRDefault="00351A65" w:rsidP="00351A65">
            <w:pPr>
              <w:pStyle w:val="Applicationdirecte"/>
              <w:spacing w:before="60"/>
              <w:jc w:val="center"/>
            </w:pPr>
          </w:p>
        </w:tc>
        <w:tc>
          <w:tcPr>
            <w:tcW w:w="7655" w:type="dxa"/>
          </w:tcPr>
          <w:p w14:paraId="486091D8" w14:textId="77777777" w:rsidR="00351A65" w:rsidRPr="00232C88" w:rsidRDefault="00351A65" w:rsidP="00351A65">
            <w:pPr>
              <w:spacing w:before="60" w:after="120"/>
              <w:jc w:val="both"/>
              <w:rPr>
                <w:rFonts w:ascii="Times New Roman" w:hAnsi="Times New Roman" w:cs="Times New Roman"/>
                <w:b/>
                <w:sz w:val="24"/>
              </w:rPr>
            </w:pPr>
            <w:r>
              <w:rPr>
                <w:rFonts w:ascii="Times New Roman" w:hAnsi="Times New Roman"/>
                <w:b/>
                <w:sz w:val="24"/>
              </w:rPr>
              <w:t>RWEA pour les portefeuilles pour lesquels des approches standard sont utilisées</w:t>
            </w:r>
          </w:p>
          <w:p w14:paraId="6431BFCE" w14:textId="7DF40A88" w:rsidR="00351A65" w:rsidRPr="00232C88" w:rsidRDefault="00950346" w:rsidP="00950346">
            <w:pPr>
              <w:spacing w:before="60" w:after="120"/>
              <w:jc w:val="both"/>
              <w:rPr>
                <w:rFonts w:ascii="Times New Roman" w:hAnsi="Times New Roman" w:cs="Times New Roman"/>
                <w:b/>
                <w:sz w:val="24"/>
              </w:rPr>
            </w:pPr>
            <w:r>
              <w:rPr>
                <w:rFonts w:ascii="Times New Roman" w:hAnsi="Times New Roman"/>
                <w:sz w:val="24"/>
              </w:rPr>
              <w:t>Portion des RWEA calculée au moyen d</w:t>
            </w:r>
            <w:r w:rsidR="0057717F">
              <w:rPr>
                <w:rFonts w:ascii="Times New Roman" w:hAnsi="Times New Roman"/>
                <w:sz w:val="24"/>
              </w:rPr>
              <w:t>’</w:t>
            </w:r>
            <w:r>
              <w:rPr>
                <w:rFonts w:ascii="Times New Roman" w:hAnsi="Times New Roman"/>
                <w:sz w:val="24"/>
              </w:rPr>
              <w:t>approches standard</w:t>
            </w:r>
          </w:p>
        </w:tc>
      </w:tr>
      <w:tr w:rsidR="00232C88" w:rsidRPr="00232C88" w14:paraId="692C5268" w14:textId="77777777" w:rsidTr="4D769726">
        <w:trPr>
          <w:trHeight w:val="680"/>
        </w:trPr>
        <w:tc>
          <w:tcPr>
            <w:tcW w:w="1384" w:type="dxa"/>
          </w:tcPr>
          <w:p w14:paraId="47D9BD13" w14:textId="6C0E8653" w:rsidR="00351A65" w:rsidRPr="00232C88" w:rsidRDefault="00351A65" w:rsidP="00351A65">
            <w:pPr>
              <w:pStyle w:val="Applicationdirecte"/>
              <w:spacing w:before="60"/>
              <w:jc w:val="center"/>
            </w:pPr>
            <w:r>
              <w:t>c</w:t>
            </w:r>
          </w:p>
        </w:tc>
        <w:tc>
          <w:tcPr>
            <w:tcW w:w="7655" w:type="dxa"/>
          </w:tcPr>
          <w:p w14:paraId="6D88AF07" w14:textId="76468D2A" w:rsidR="00351A65" w:rsidRPr="00232C88" w:rsidRDefault="004E19D2" w:rsidP="00351A65">
            <w:pPr>
              <w:spacing w:before="60" w:after="120"/>
              <w:jc w:val="both"/>
              <w:rPr>
                <w:rFonts w:ascii="Times New Roman" w:hAnsi="Times New Roman" w:cs="Times New Roman"/>
                <w:b/>
                <w:sz w:val="24"/>
              </w:rPr>
            </w:pPr>
            <w:r>
              <w:rPr>
                <w:rFonts w:ascii="Times New Roman" w:hAnsi="Times New Roman"/>
                <w:b/>
                <w:sz w:val="24"/>
              </w:rPr>
              <w:t xml:space="preserve">RWEA effectifs totaux </w:t>
            </w:r>
          </w:p>
          <w:p w14:paraId="07374A49" w14:textId="07F1B4A0" w:rsidR="00351A65" w:rsidRPr="00232C88" w:rsidRDefault="00E86C14" w:rsidP="00E86C14">
            <w:pPr>
              <w:spacing w:before="60" w:after="120"/>
              <w:jc w:val="both"/>
              <w:rPr>
                <w:rFonts w:ascii="Times New Roman" w:hAnsi="Times New Roman" w:cs="Times New Roman"/>
                <w:sz w:val="24"/>
              </w:rPr>
            </w:pPr>
            <w:r>
              <w:rPr>
                <w:rFonts w:ascii="Times New Roman" w:hAnsi="Times New Roman"/>
                <w:sz w:val="24"/>
              </w:rPr>
              <w:t>Somme des colonnes a et b; c</w:t>
            </w:r>
            <w:r w:rsidR="0057717F">
              <w:rPr>
                <w:rFonts w:ascii="Times New Roman" w:hAnsi="Times New Roman"/>
                <w:sz w:val="24"/>
              </w:rPr>
              <w:t>’</w:t>
            </w:r>
            <w:r>
              <w:rPr>
                <w:rFonts w:ascii="Times New Roman" w:hAnsi="Times New Roman"/>
                <w:sz w:val="24"/>
              </w:rPr>
              <w:t>est-à-dire les RWEA que les établissements déclarent selon les approches applicables. Les RWEA effectifs totaux déclarés à la ligne 8 correspondent au montant avant l</w:t>
            </w:r>
            <w:r w:rsidR="0057717F">
              <w:rPr>
                <w:rFonts w:ascii="Times New Roman" w:hAnsi="Times New Roman"/>
                <w:sz w:val="24"/>
              </w:rPr>
              <w:t>’</w:t>
            </w:r>
            <w:r>
              <w:rPr>
                <w:rFonts w:ascii="Times New Roman" w:hAnsi="Times New Roman"/>
                <w:sz w:val="24"/>
              </w:rPr>
              <w:t xml:space="preserve">ajustement pour le plancher de fonds propres. </w:t>
            </w:r>
          </w:p>
        </w:tc>
      </w:tr>
      <w:tr w:rsidR="00232C88" w:rsidRPr="00232C88" w14:paraId="4F847923" w14:textId="77777777" w:rsidTr="4D769726">
        <w:trPr>
          <w:trHeight w:val="680"/>
        </w:trPr>
        <w:tc>
          <w:tcPr>
            <w:tcW w:w="1384" w:type="dxa"/>
            <w:vAlign w:val="center"/>
          </w:tcPr>
          <w:p w14:paraId="5A78FA97" w14:textId="03520D20" w:rsidR="00351A65" w:rsidRPr="00232C88" w:rsidRDefault="00351A65" w:rsidP="00351A65">
            <w:pPr>
              <w:pStyle w:val="Applicationdirecte"/>
              <w:spacing w:before="60"/>
              <w:jc w:val="center"/>
            </w:pPr>
            <w:r>
              <w:t>d</w:t>
            </w:r>
          </w:p>
        </w:tc>
        <w:tc>
          <w:tcPr>
            <w:tcW w:w="7655" w:type="dxa"/>
          </w:tcPr>
          <w:p w14:paraId="7278E918" w14:textId="61BE2A69" w:rsidR="00351A65" w:rsidRPr="00232C88" w:rsidRDefault="00351A65" w:rsidP="00351A65">
            <w:pPr>
              <w:spacing w:before="60" w:after="120"/>
              <w:jc w:val="both"/>
              <w:rPr>
                <w:rFonts w:ascii="Times New Roman" w:hAnsi="Times New Roman" w:cs="Times New Roman"/>
                <w:b/>
                <w:sz w:val="24"/>
              </w:rPr>
            </w:pPr>
            <w:r>
              <w:rPr>
                <w:rFonts w:ascii="Times New Roman" w:hAnsi="Times New Roman"/>
                <w:b/>
                <w:sz w:val="24"/>
              </w:rPr>
              <w:t>RWEA calculés selon l</w:t>
            </w:r>
            <w:r w:rsidR="0057717F">
              <w:rPr>
                <w:rFonts w:ascii="Times New Roman" w:hAnsi="Times New Roman"/>
                <w:b/>
                <w:sz w:val="24"/>
              </w:rPr>
              <w:t>’</w:t>
            </w:r>
            <w:r>
              <w:rPr>
                <w:rFonts w:ascii="Times New Roman" w:hAnsi="Times New Roman"/>
                <w:b/>
                <w:sz w:val="24"/>
              </w:rPr>
              <w:t>approche standard complète</w:t>
            </w:r>
          </w:p>
          <w:p w14:paraId="483ED9BD" w14:textId="6C22DB2F" w:rsidR="00DD7C7A" w:rsidRDefault="6016A13E" w:rsidP="4D769726">
            <w:pPr>
              <w:spacing w:before="60" w:after="120"/>
              <w:jc w:val="both"/>
              <w:rPr>
                <w:rFonts w:ascii="Times New Roman" w:hAnsi="Times New Roman" w:cs="Times New Roman"/>
                <w:sz w:val="24"/>
              </w:rPr>
            </w:pPr>
            <w:r>
              <w:rPr>
                <w:rFonts w:ascii="Times New Roman" w:hAnsi="Times New Roman"/>
                <w:sz w:val="24"/>
              </w:rPr>
              <w:t>RWEA servant à comparer les actifs pondérés en fonction du risque selon l</w:t>
            </w:r>
            <w:r w:rsidR="0057717F">
              <w:rPr>
                <w:rFonts w:ascii="Times New Roman" w:hAnsi="Times New Roman"/>
                <w:sz w:val="24"/>
              </w:rPr>
              <w:t>’</w:t>
            </w:r>
            <w:r>
              <w:rPr>
                <w:rFonts w:ascii="Times New Roman" w:hAnsi="Times New Roman"/>
                <w:sz w:val="24"/>
              </w:rPr>
              <w:t>approche standard complète (S-TREA) avec le RWEA modélisé que les banques ont été autorisées à utiliser par l</w:t>
            </w:r>
            <w:r w:rsidR="0057717F">
              <w:rPr>
                <w:rFonts w:ascii="Times New Roman" w:hAnsi="Times New Roman"/>
                <w:sz w:val="24"/>
              </w:rPr>
              <w:t>’</w:t>
            </w:r>
            <w:r>
              <w:rPr>
                <w:rFonts w:ascii="Times New Roman" w:hAnsi="Times New Roman"/>
                <w:sz w:val="24"/>
              </w:rPr>
              <w:t>autorité de surveillance conformément au dispositif de Bâle et comme le requiert l</w:t>
            </w:r>
            <w:r w:rsidR="0057717F">
              <w:rPr>
                <w:rFonts w:ascii="Times New Roman" w:hAnsi="Times New Roman"/>
                <w:sz w:val="24"/>
              </w:rPr>
              <w:t>’</w:t>
            </w:r>
            <w:r>
              <w:rPr>
                <w:rFonts w:ascii="Times New Roman" w:hAnsi="Times New Roman"/>
                <w:sz w:val="24"/>
              </w:rPr>
              <w:t>article 438, point d </w:t>
            </w:r>
            <w:r>
              <w:rPr>
                <w:rFonts w:ascii="Times New Roman" w:hAnsi="Times New Roman"/>
                <w:i/>
                <w:sz w:val="24"/>
              </w:rPr>
              <w:t>bis</w:t>
            </w:r>
            <w:r>
              <w:rPr>
                <w:rFonts w:ascii="Times New Roman" w:hAnsi="Times New Roman"/>
                <w:sz w:val="24"/>
              </w:rPr>
              <w:t xml:space="preserve">), du règlement (UE) nº 575/2013. </w:t>
            </w:r>
          </w:p>
          <w:p w14:paraId="6908EE47" w14:textId="733C6578" w:rsidR="00AC7521" w:rsidRPr="00232C88" w:rsidRDefault="007727DF" w:rsidP="4D769726">
            <w:pPr>
              <w:spacing w:before="60" w:after="120"/>
              <w:jc w:val="both"/>
              <w:rPr>
                <w:rFonts w:ascii="Times New Roman" w:hAnsi="Times New Roman" w:cs="Times New Roman"/>
                <w:sz w:val="24"/>
              </w:rPr>
            </w:pPr>
            <w:r>
              <w:rPr>
                <w:rFonts w:ascii="Times New Roman" w:hAnsi="Times New Roman"/>
                <w:sz w:val="24"/>
              </w:rPr>
              <w:t>Les établissements déclarent le RWEA, calculé conformément à l’article 92, paragraphes 5 et 6, du règlement (UE) nº 575/2013, sans application des dispositions transitoires prévues à l</w:t>
            </w:r>
            <w:r w:rsidR="0057717F">
              <w:rPr>
                <w:rFonts w:ascii="Times New Roman" w:hAnsi="Times New Roman"/>
                <w:sz w:val="24"/>
              </w:rPr>
              <w:t>’</w:t>
            </w:r>
            <w:r>
              <w:rPr>
                <w:rFonts w:ascii="Times New Roman" w:hAnsi="Times New Roman"/>
                <w:sz w:val="24"/>
              </w:rPr>
              <w:t xml:space="preserve">article 465 du règlement (UE) nº 575/2013. </w:t>
            </w:r>
          </w:p>
          <w:p w14:paraId="2EB5B6F5" w14:textId="6A60A655" w:rsidR="00AB10CF" w:rsidRPr="00232C88" w:rsidRDefault="00AB10CF" w:rsidP="4D769726">
            <w:pPr>
              <w:spacing w:before="60" w:after="120"/>
              <w:jc w:val="both"/>
              <w:rPr>
                <w:rFonts w:ascii="Times New Roman" w:hAnsi="Times New Roman" w:cs="Times New Roman"/>
                <w:sz w:val="24"/>
              </w:rPr>
            </w:pPr>
            <w:r>
              <w:rPr>
                <w:rFonts w:ascii="Times New Roman" w:hAnsi="Times New Roman"/>
                <w:sz w:val="24"/>
              </w:rPr>
              <w:lastRenderedPageBreak/>
              <w:t>Le montant total déclaré à la ligne 8 servira de base pour le calcul du plancher de fonds propres à l</w:t>
            </w:r>
            <w:r w:rsidR="0057717F">
              <w:rPr>
                <w:rFonts w:ascii="Times New Roman" w:hAnsi="Times New Roman"/>
                <w:sz w:val="24"/>
              </w:rPr>
              <w:t>’</w:t>
            </w:r>
            <w:r>
              <w:rPr>
                <w:rFonts w:ascii="Times New Roman" w:hAnsi="Times New Roman"/>
                <w:sz w:val="24"/>
              </w:rPr>
              <w:t>issue de la période de transition prévue pour l</w:t>
            </w:r>
            <w:r w:rsidR="0057717F">
              <w:rPr>
                <w:rFonts w:ascii="Times New Roman" w:hAnsi="Times New Roman"/>
                <w:sz w:val="24"/>
              </w:rPr>
              <w:t>’</w:t>
            </w:r>
            <w:r>
              <w:rPr>
                <w:rFonts w:ascii="Times New Roman" w:hAnsi="Times New Roman"/>
                <w:sz w:val="24"/>
              </w:rPr>
              <w:t>application du plancher de fonds propres.</w:t>
            </w:r>
          </w:p>
          <w:p w14:paraId="6E324A98" w14:textId="3B49151E" w:rsidR="00AF5BD3" w:rsidRPr="00232C88" w:rsidRDefault="00AF5BD3" w:rsidP="673610D2">
            <w:pPr>
              <w:spacing w:before="60" w:after="120"/>
              <w:jc w:val="both"/>
              <w:rPr>
                <w:rFonts w:ascii="Times New Roman" w:hAnsi="Times New Roman" w:cs="Times New Roman"/>
                <w:b/>
                <w:bCs/>
                <w:sz w:val="24"/>
              </w:rPr>
            </w:pPr>
          </w:p>
        </w:tc>
      </w:tr>
      <w:tr w:rsidR="00232C88" w:rsidRPr="00232C88" w14:paraId="668E4F82" w14:textId="77777777" w:rsidTr="4D769726">
        <w:trPr>
          <w:trHeight w:val="680"/>
        </w:trPr>
        <w:tc>
          <w:tcPr>
            <w:tcW w:w="1384" w:type="dxa"/>
            <w:vAlign w:val="center"/>
          </w:tcPr>
          <w:p w14:paraId="5C689C2C" w14:textId="3FE2D0D9" w:rsidR="00351A65" w:rsidRPr="00232C88" w:rsidRDefault="00351A65" w:rsidP="00351A65">
            <w:pPr>
              <w:pStyle w:val="Applicationdirecte"/>
              <w:spacing w:before="60"/>
              <w:jc w:val="center"/>
            </w:pPr>
            <w:r>
              <w:lastRenderedPageBreak/>
              <w:t>EU d</w:t>
            </w:r>
          </w:p>
        </w:tc>
        <w:tc>
          <w:tcPr>
            <w:tcW w:w="7655" w:type="dxa"/>
          </w:tcPr>
          <w:p w14:paraId="70A478AA" w14:textId="2F80B1F8" w:rsidR="00351A65" w:rsidRPr="00232C88" w:rsidRDefault="00351A65" w:rsidP="75135BB5">
            <w:pPr>
              <w:spacing w:before="60" w:after="120"/>
              <w:jc w:val="both"/>
              <w:rPr>
                <w:rFonts w:ascii="Times New Roman" w:hAnsi="Times New Roman" w:cs="Times New Roman"/>
                <w:b/>
                <w:bCs/>
                <w:sz w:val="24"/>
              </w:rPr>
            </w:pPr>
            <w:r>
              <w:rPr>
                <w:rFonts w:ascii="Times New Roman" w:hAnsi="Times New Roman"/>
                <w:b/>
                <w:sz w:val="24"/>
              </w:rPr>
              <w:t xml:space="preserve">RWEA servant de base pour le plancher de fonds propres </w:t>
            </w:r>
          </w:p>
          <w:p w14:paraId="4BA6D902" w14:textId="24AA699D" w:rsidR="00F35EA5" w:rsidRPr="00232C88" w:rsidRDefault="6FD90119" w:rsidP="4D769726">
            <w:pPr>
              <w:spacing w:before="60" w:after="120"/>
              <w:jc w:val="both"/>
              <w:rPr>
                <w:rFonts w:ascii="Times New Roman" w:hAnsi="Times New Roman" w:cs="Times New Roman"/>
                <w:sz w:val="24"/>
              </w:rPr>
            </w:pPr>
            <w:r>
              <w:rPr>
                <w:rFonts w:ascii="Times New Roman" w:hAnsi="Times New Roman"/>
                <w:sz w:val="24"/>
              </w:rPr>
              <w:t>RWEA servant de base pour le calcul du plancher de fonds propres tel que requis par l</w:t>
            </w:r>
            <w:r w:rsidR="0057717F">
              <w:rPr>
                <w:rFonts w:ascii="Times New Roman" w:hAnsi="Times New Roman"/>
                <w:sz w:val="24"/>
              </w:rPr>
              <w:t>’</w:t>
            </w:r>
            <w:r>
              <w:rPr>
                <w:rFonts w:ascii="Times New Roman" w:hAnsi="Times New Roman"/>
                <w:sz w:val="24"/>
              </w:rPr>
              <w:t>article 438, point d), du règlement (UE) nº 575/2013. Les établissements déclarent le RWEA, calculé conformément à l’article 92, paragraphes 5 et 6, du règlement (UE) nº 575/2013, après application des dispositions transitoires prévues à l</w:t>
            </w:r>
            <w:r w:rsidR="0057717F">
              <w:rPr>
                <w:rFonts w:ascii="Times New Roman" w:hAnsi="Times New Roman"/>
                <w:sz w:val="24"/>
              </w:rPr>
              <w:t>’</w:t>
            </w:r>
            <w:r>
              <w:rPr>
                <w:rFonts w:ascii="Times New Roman" w:hAnsi="Times New Roman"/>
                <w:sz w:val="24"/>
              </w:rPr>
              <w:t xml:space="preserve">article 465 du règlement (UE) nº 575/2013. </w:t>
            </w:r>
          </w:p>
          <w:p w14:paraId="6AB6AEED" w14:textId="2212DB1A" w:rsidR="00351A65" w:rsidRPr="00232C88" w:rsidRDefault="00C83C5F" w:rsidP="673610D2">
            <w:pPr>
              <w:spacing w:before="60" w:after="120"/>
              <w:jc w:val="both"/>
              <w:rPr>
                <w:rFonts w:ascii="Times New Roman" w:hAnsi="Times New Roman" w:cs="Times New Roman"/>
                <w:sz w:val="24"/>
              </w:rPr>
            </w:pPr>
            <w:r>
              <w:rPr>
                <w:rFonts w:ascii="Times New Roman" w:hAnsi="Times New Roman"/>
                <w:sz w:val="24"/>
              </w:rPr>
              <w:t xml:space="preserve">Le montant total des RWEA déclaré à la ligne 8 sert de base pour le calcul du plancher de fonds propres. </w:t>
            </w:r>
          </w:p>
          <w:p w14:paraId="343C355A" w14:textId="1C3BCD00" w:rsidR="00C83C5F" w:rsidRPr="00452214" w:rsidRDefault="00C83C5F" w:rsidP="00A26EB4">
            <w:pPr>
              <w:spacing w:before="60" w:after="120"/>
              <w:jc w:val="both"/>
              <w:rPr>
                <w:rFonts w:ascii="Times New Roman" w:hAnsi="Times New Roman" w:cs="Times New Roman"/>
                <w:b/>
                <w:sz w:val="24"/>
                <w:lang w:val="fr-BE"/>
              </w:rPr>
            </w:pPr>
          </w:p>
        </w:tc>
      </w:tr>
      <w:tr w:rsidR="00232C88" w:rsidRPr="00232C88" w14:paraId="6B93F83F"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1B0B7A" w14:textId="77777777" w:rsidR="00351A65" w:rsidRPr="00232C88" w:rsidRDefault="00351A65" w:rsidP="00351A65">
            <w:pPr>
              <w:rPr>
                <w:rFonts w:ascii="Times New Roman" w:hAnsi="Times New Roman" w:cs="Times New Roman"/>
                <w:b/>
                <w:sz w:val="24"/>
              </w:rPr>
            </w:pPr>
            <w:r>
              <w:rPr>
                <w:rFonts w:ascii="Times New Roman" w:hAnsi="Times New Roman"/>
                <w:b/>
                <w:sz w:val="24"/>
              </w:rPr>
              <w:t>Références juridiques et instructions</w:t>
            </w:r>
          </w:p>
        </w:tc>
      </w:tr>
      <w:tr w:rsidR="00232C88" w:rsidRPr="00232C88" w14:paraId="6201DAB0" w14:textId="77777777" w:rsidTr="4D769726">
        <w:trPr>
          <w:trHeight w:val="238"/>
        </w:trPr>
        <w:tc>
          <w:tcPr>
            <w:tcW w:w="1384" w:type="dxa"/>
            <w:shd w:val="clear" w:color="auto" w:fill="D9D9D9" w:themeFill="background1" w:themeFillShade="D9"/>
          </w:tcPr>
          <w:p w14:paraId="26A77A2E" w14:textId="77777777" w:rsidR="00351A65" w:rsidRPr="00232C88" w:rsidRDefault="00351A65" w:rsidP="00351A65">
            <w:pPr>
              <w:autoSpaceDE w:val="0"/>
              <w:autoSpaceDN w:val="0"/>
              <w:adjustRightInd w:val="0"/>
              <w:rPr>
                <w:rFonts w:ascii="Times New Roman" w:hAnsi="Times New Roman" w:cs="Times New Roman"/>
                <w:b/>
                <w:sz w:val="24"/>
              </w:rPr>
            </w:pPr>
            <w:r>
              <w:rPr>
                <w:rFonts w:ascii="Times New Roman" w:hAnsi="Times New Roman"/>
                <w:b/>
                <w:sz w:val="24"/>
              </w:rPr>
              <w:t>Numéro de la ligne</w:t>
            </w:r>
          </w:p>
        </w:tc>
        <w:tc>
          <w:tcPr>
            <w:tcW w:w="7655" w:type="dxa"/>
            <w:shd w:val="clear" w:color="auto" w:fill="D9D9D9" w:themeFill="background1" w:themeFillShade="D9"/>
          </w:tcPr>
          <w:p w14:paraId="020702C4" w14:textId="77777777" w:rsidR="00351A65" w:rsidRPr="00232C88" w:rsidRDefault="00351A65" w:rsidP="00351A65">
            <w:pPr>
              <w:autoSpaceDE w:val="0"/>
              <w:autoSpaceDN w:val="0"/>
              <w:adjustRightInd w:val="0"/>
              <w:rPr>
                <w:rFonts w:ascii="Times New Roman" w:hAnsi="Times New Roman" w:cs="Times New Roman"/>
                <w:sz w:val="24"/>
              </w:rPr>
            </w:pPr>
            <w:r>
              <w:rPr>
                <w:rFonts w:ascii="Times New Roman" w:hAnsi="Times New Roman"/>
                <w:b/>
                <w:sz w:val="24"/>
              </w:rPr>
              <w:t>Explication</w:t>
            </w:r>
          </w:p>
        </w:tc>
      </w:tr>
      <w:tr w:rsidR="00232C88" w:rsidRPr="00232C88" w14:paraId="2FD7990F" w14:textId="77777777" w:rsidTr="4D769726">
        <w:trPr>
          <w:trHeight w:val="680"/>
        </w:trPr>
        <w:tc>
          <w:tcPr>
            <w:tcW w:w="1384" w:type="dxa"/>
          </w:tcPr>
          <w:p w14:paraId="7C2F88B3" w14:textId="62EE5DCF" w:rsidR="00351A65" w:rsidRPr="00232C88" w:rsidRDefault="00351A65" w:rsidP="00351A65">
            <w:pPr>
              <w:pStyle w:val="Applicationdirecte"/>
              <w:spacing w:before="60"/>
              <w:jc w:val="center"/>
            </w:pPr>
            <w:r>
              <w:t>1</w:t>
            </w:r>
          </w:p>
        </w:tc>
        <w:tc>
          <w:tcPr>
            <w:tcW w:w="7655" w:type="dxa"/>
            <w:vAlign w:val="center"/>
          </w:tcPr>
          <w:p w14:paraId="6BE15844" w14:textId="4970482A" w:rsidR="00351A65" w:rsidRPr="00232C88" w:rsidRDefault="00351A65" w:rsidP="00351A65">
            <w:pPr>
              <w:spacing w:before="60" w:after="120"/>
              <w:jc w:val="both"/>
              <w:rPr>
                <w:rFonts w:ascii="Times New Roman" w:hAnsi="Times New Roman" w:cs="Times New Roman"/>
                <w:b/>
                <w:sz w:val="24"/>
              </w:rPr>
            </w:pPr>
            <w:r>
              <w:rPr>
                <w:rFonts w:ascii="Times New Roman" w:hAnsi="Times New Roman"/>
                <w:b/>
                <w:sz w:val="24"/>
              </w:rPr>
              <w:t>Risque de crédit (à l</w:t>
            </w:r>
            <w:r w:rsidR="0057717F">
              <w:rPr>
                <w:rFonts w:ascii="Times New Roman" w:hAnsi="Times New Roman"/>
                <w:b/>
                <w:sz w:val="24"/>
              </w:rPr>
              <w:t>’</w:t>
            </w:r>
            <w:r>
              <w:rPr>
                <w:rFonts w:ascii="Times New Roman" w:hAnsi="Times New Roman"/>
                <w:b/>
                <w:sz w:val="24"/>
              </w:rPr>
              <w:t>exclusion du risque de crédit de contrepartie)</w:t>
            </w:r>
          </w:p>
          <w:p w14:paraId="6FB93949" w14:textId="4AA3D61D" w:rsidR="00351A65" w:rsidRPr="00232C88" w:rsidRDefault="71B55015" w:rsidP="4D769726">
            <w:pPr>
              <w:spacing w:before="60" w:after="120"/>
              <w:jc w:val="both"/>
              <w:rPr>
                <w:rFonts w:ascii="Times New Roman" w:hAnsi="Times New Roman" w:cs="Times New Roman"/>
                <w:sz w:val="24"/>
              </w:rPr>
            </w:pPr>
            <w:r>
              <w:rPr>
                <w:rFonts w:ascii="Times New Roman" w:hAnsi="Times New Roman"/>
                <w:sz w:val="24"/>
              </w:rPr>
              <w:t>RWEA calculés conformément à la troisième partie, titre II, chapitres 1 à 4, du règlement (UE) nº 575/2013.</w:t>
            </w:r>
          </w:p>
        </w:tc>
      </w:tr>
      <w:tr w:rsidR="00232C88" w:rsidRPr="00232C88" w14:paraId="05203C86" w14:textId="77777777" w:rsidTr="4D769726">
        <w:trPr>
          <w:trHeight w:val="680"/>
        </w:trPr>
        <w:tc>
          <w:tcPr>
            <w:tcW w:w="1384" w:type="dxa"/>
          </w:tcPr>
          <w:p w14:paraId="7D17B1E2" w14:textId="486C4BD0" w:rsidR="00351A65" w:rsidRPr="00232C88" w:rsidRDefault="00351A65" w:rsidP="00254EDB">
            <w:pPr>
              <w:pStyle w:val="Fait"/>
              <w:jc w:val="center"/>
            </w:pPr>
            <w:r>
              <w:t>2</w:t>
            </w:r>
          </w:p>
        </w:tc>
        <w:tc>
          <w:tcPr>
            <w:tcW w:w="7655" w:type="dxa"/>
          </w:tcPr>
          <w:p w14:paraId="193663C9" w14:textId="77777777" w:rsidR="00351A65" w:rsidRPr="00232C88" w:rsidRDefault="00351A65" w:rsidP="00351A65">
            <w:pPr>
              <w:spacing w:before="60" w:after="120"/>
              <w:jc w:val="both"/>
              <w:rPr>
                <w:rFonts w:ascii="Times New Roman" w:hAnsi="Times New Roman" w:cs="Times New Roman"/>
                <w:b/>
                <w:sz w:val="24"/>
              </w:rPr>
            </w:pPr>
            <w:r>
              <w:rPr>
                <w:rFonts w:ascii="Times New Roman" w:hAnsi="Times New Roman"/>
                <w:b/>
                <w:sz w:val="24"/>
              </w:rPr>
              <w:t>Risque de crédit de contrepartie</w:t>
            </w:r>
          </w:p>
          <w:p w14:paraId="3182E1E1" w14:textId="33BA5B0B" w:rsidR="00351A65" w:rsidRPr="00232C88" w:rsidRDefault="71B55015" w:rsidP="4D769726">
            <w:pPr>
              <w:spacing w:before="60" w:after="120"/>
              <w:jc w:val="both"/>
              <w:rPr>
                <w:rFonts w:ascii="Times New Roman" w:eastAsia="Times New Roman" w:hAnsi="Times New Roman" w:cs="Times New Roman"/>
                <w:sz w:val="24"/>
              </w:rPr>
            </w:pPr>
            <w:r>
              <w:rPr>
                <w:rFonts w:ascii="Times New Roman" w:hAnsi="Times New Roman"/>
                <w:sz w:val="24"/>
              </w:rPr>
              <w:t>RWEA calculés conformément à la troisième partie, titre II, chapitre 6, du règlement (UE) nº 575/2013.</w:t>
            </w:r>
          </w:p>
        </w:tc>
      </w:tr>
      <w:tr w:rsidR="00232C88" w:rsidRPr="00232C88" w14:paraId="0E67419A" w14:textId="77777777" w:rsidTr="4D769726">
        <w:trPr>
          <w:trHeight w:val="436"/>
        </w:trPr>
        <w:tc>
          <w:tcPr>
            <w:tcW w:w="1384" w:type="dxa"/>
          </w:tcPr>
          <w:p w14:paraId="40BE949B" w14:textId="7E78931F" w:rsidR="00351A65" w:rsidRPr="00232C88" w:rsidRDefault="00351A65" w:rsidP="00351A65">
            <w:pPr>
              <w:pStyle w:val="Applicationdirecte"/>
              <w:spacing w:before="60"/>
              <w:jc w:val="center"/>
            </w:pPr>
            <w:r>
              <w:t>3</w:t>
            </w:r>
          </w:p>
        </w:tc>
        <w:tc>
          <w:tcPr>
            <w:tcW w:w="7655" w:type="dxa"/>
          </w:tcPr>
          <w:p w14:paraId="6CFEBE25" w14:textId="106E9743" w:rsidR="00351A65" w:rsidRPr="00232C88" w:rsidRDefault="00351A65" w:rsidP="00351A65">
            <w:pPr>
              <w:spacing w:before="60" w:after="120"/>
              <w:jc w:val="both"/>
              <w:rPr>
                <w:rFonts w:ascii="Times New Roman" w:hAnsi="Times New Roman" w:cs="Times New Roman"/>
                <w:b/>
                <w:sz w:val="24"/>
              </w:rPr>
            </w:pPr>
            <w:r>
              <w:rPr>
                <w:rFonts w:ascii="Times New Roman" w:hAnsi="Times New Roman"/>
                <w:b/>
                <w:sz w:val="24"/>
              </w:rPr>
              <w:t>Ajustement de l</w:t>
            </w:r>
            <w:r w:rsidR="0057717F">
              <w:rPr>
                <w:rFonts w:ascii="Times New Roman" w:hAnsi="Times New Roman"/>
                <w:b/>
                <w:sz w:val="24"/>
              </w:rPr>
              <w:t>’</w:t>
            </w:r>
            <w:r>
              <w:rPr>
                <w:rFonts w:ascii="Times New Roman" w:hAnsi="Times New Roman"/>
                <w:b/>
                <w:sz w:val="24"/>
              </w:rPr>
              <w:t>évaluation de crédit</w:t>
            </w:r>
          </w:p>
          <w:p w14:paraId="4656E3A0" w14:textId="3193E711" w:rsidR="005B7CFD" w:rsidRPr="00232C88" w:rsidRDefault="71B55015" w:rsidP="4D769726">
            <w:pPr>
              <w:spacing w:before="60" w:after="120"/>
              <w:jc w:val="both"/>
              <w:rPr>
                <w:rFonts w:ascii="Times New Roman" w:eastAsia="Times New Roman" w:hAnsi="Times New Roman" w:cs="Times New Roman"/>
                <w:sz w:val="24"/>
              </w:rPr>
            </w:pPr>
            <w:r>
              <w:rPr>
                <w:rFonts w:ascii="Times New Roman" w:hAnsi="Times New Roman"/>
                <w:sz w:val="24"/>
              </w:rPr>
              <w:t>RWEA calculés conformément à la troisième partie, titre VI, du règlement (UE) nº 575/2013.</w:t>
            </w:r>
          </w:p>
        </w:tc>
      </w:tr>
      <w:tr w:rsidR="00232C88" w:rsidRPr="00232C88" w14:paraId="37A8BA3A" w14:textId="77777777" w:rsidTr="4D769726">
        <w:trPr>
          <w:trHeight w:val="557"/>
        </w:trPr>
        <w:tc>
          <w:tcPr>
            <w:tcW w:w="1384" w:type="dxa"/>
          </w:tcPr>
          <w:p w14:paraId="2A4C6792" w14:textId="1C7FA820" w:rsidR="00351A65" w:rsidRPr="00232C88" w:rsidRDefault="00351A65" w:rsidP="00351A65">
            <w:pPr>
              <w:pStyle w:val="Applicationdirecte"/>
              <w:spacing w:before="60"/>
              <w:jc w:val="center"/>
            </w:pPr>
            <w:r>
              <w:t>4</w:t>
            </w:r>
          </w:p>
        </w:tc>
        <w:tc>
          <w:tcPr>
            <w:tcW w:w="7655" w:type="dxa"/>
          </w:tcPr>
          <w:p w14:paraId="25F6392F" w14:textId="77777777" w:rsidR="00351A65" w:rsidRPr="00232C88" w:rsidRDefault="00351A65" w:rsidP="00351A65">
            <w:pPr>
              <w:spacing w:before="60" w:after="120"/>
              <w:jc w:val="both"/>
              <w:rPr>
                <w:rFonts w:ascii="Times New Roman" w:hAnsi="Times New Roman" w:cs="Times New Roman"/>
                <w:b/>
                <w:sz w:val="24"/>
              </w:rPr>
            </w:pPr>
            <w:r>
              <w:rPr>
                <w:rFonts w:ascii="Times New Roman" w:hAnsi="Times New Roman"/>
                <w:b/>
                <w:sz w:val="24"/>
              </w:rPr>
              <w:t>Expositions de titrisation dans le portefeuille bancaire</w:t>
            </w:r>
          </w:p>
          <w:p w14:paraId="12148115" w14:textId="25CD441A" w:rsidR="005B7CFD" w:rsidRPr="00232C88" w:rsidRDefault="71B55015" w:rsidP="4D769726">
            <w:pPr>
              <w:spacing w:before="60" w:after="120"/>
              <w:jc w:val="both"/>
              <w:rPr>
                <w:rFonts w:ascii="Times New Roman" w:hAnsi="Times New Roman" w:cs="Times New Roman"/>
                <w:sz w:val="24"/>
              </w:rPr>
            </w:pPr>
            <w:r>
              <w:rPr>
                <w:rFonts w:ascii="Times New Roman" w:hAnsi="Times New Roman"/>
                <w:sz w:val="24"/>
              </w:rPr>
              <w:t>RWEA calculés conformément à la troisième partie, titre II, chapitre 5, du règlement (UE) nº 575/2013.</w:t>
            </w:r>
          </w:p>
        </w:tc>
      </w:tr>
      <w:tr w:rsidR="00232C88" w:rsidRPr="00232C88" w14:paraId="37C41D09" w14:textId="77777777" w:rsidTr="4D769726">
        <w:trPr>
          <w:trHeight w:val="557"/>
        </w:trPr>
        <w:tc>
          <w:tcPr>
            <w:tcW w:w="1384" w:type="dxa"/>
          </w:tcPr>
          <w:p w14:paraId="5EFD145E" w14:textId="230E71D0" w:rsidR="00351A65" w:rsidRPr="00232C88" w:rsidRDefault="00351A65" w:rsidP="00351A65">
            <w:pPr>
              <w:pStyle w:val="Applicationdirecte"/>
              <w:spacing w:before="60"/>
              <w:jc w:val="center"/>
            </w:pPr>
            <w:r>
              <w:t>5</w:t>
            </w:r>
          </w:p>
        </w:tc>
        <w:tc>
          <w:tcPr>
            <w:tcW w:w="7655" w:type="dxa"/>
          </w:tcPr>
          <w:p w14:paraId="23CF498B" w14:textId="77777777" w:rsidR="00351A65" w:rsidRPr="00232C88" w:rsidRDefault="00351A65" w:rsidP="00351A65">
            <w:pPr>
              <w:spacing w:before="60" w:after="120"/>
              <w:jc w:val="both"/>
              <w:rPr>
                <w:rFonts w:ascii="Times New Roman" w:hAnsi="Times New Roman" w:cs="Times New Roman"/>
                <w:b/>
                <w:sz w:val="24"/>
              </w:rPr>
            </w:pPr>
            <w:r>
              <w:rPr>
                <w:rFonts w:ascii="Times New Roman" w:hAnsi="Times New Roman"/>
                <w:b/>
                <w:sz w:val="24"/>
              </w:rPr>
              <w:t>Risque de marché</w:t>
            </w:r>
          </w:p>
          <w:p w14:paraId="4C641D47" w14:textId="0B6B1BE2" w:rsidR="005B7CFD" w:rsidRPr="00232C88" w:rsidRDefault="7456809E" w:rsidP="4D769726">
            <w:pPr>
              <w:spacing w:before="60" w:after="120"/>
              <w:jc w:val="both"/>
              <w:rPr>
                <w:rFonts w:ascii="Times New Roman" w:eastAsia="Times New Roman" w:hAnsi="Times New Roman" w:cs="Times New Roman"/>
                <w:sz w:val="24"/>
              </w:rPr>
            </w:pPr>
            <w:r>
              <w:rPr>
                <w:rFonts w:ascii="Times New Roman" w:hAnsi="Times New Roman"/>
                <w:sz w:val="24"/>
              </w:rPr>
              <w:t>RWEA calculés conformément à la troisième partie, titre IV, du règlement (UE) nº 575/2013.</w:t>
            </w:r>
          </w:p>
        </w:tc>
      </w:tr>
      <w:tr w:rsidR="00232C88" w:rsidRPr="00232C88" w14:paraId="4C2AD882" w14:textId="77777777" w:rsidTr="4D769726">
        <w:trPr>
          <w:trHeight w:val="557"/>
        </w:trPr>
        <w:tc>
          <w:tcPr>
            <w:tcW w:w="1384" w:type="dxa"/>
          </w:tcPr>
          <w:p w14:paraId="07947594" w14:textId="3C28DF68" w:rsidR="00351A65" w:rsidRPr="00232C88" w:rsidRDefault="00351A65" w:rsidP="00351A65">
            <w:pPr>
              <w:pStyle w:val="Applicationdirecte"/>
              <w:spacing w:before="60"/>
              <w:jc w:val="center"/>
            </w:pPr>
            <w:r>
              <w:t>6</w:t>
            </w:r>
          </w:p>
        </w:tc>
        <w:tc>
          <w:tcPr>
            <w:tcW w:w="7655" w:type="dxa"/>
          </w:tcPr>
          <w:p w14:paraId="009D9DD6" w14:textId="77777777" w:rsidR="00950346" w:rsidRPr="00232C88" w:rsidRDefault="00351A65" w:rsidP="00351A65">
            <w:pPr>
              <w:spacing w:before="60" w:after="120"/>
              <w:jc w:val="both"/>
              <w:rPr>
                <w:rFonts w:ascii="Times New Roman" w:hAnsi="Times New Roman" w:cs="Times New Roman"/>
                <w:b/>
                <w:sz w:val="24"/>
              </w:rPr>
            </w:pPr>
            <w:r>
              <w:rPr>
                <w:rFonts w:ascii="Times New Roman" w:hAnsi="Times New Roman"/>
                <w:b/>
                <w:sz w:val="24"/>
              </w:rPr>
              <w:t>Risque opérationnel</w:t>
            </w:r>
          </w:p>
          <w:p w14:paraId="656F593F" w14:textId="7FEAA360" w:rsidR="00351A65" w:rsidRPr="00232C88" w:rsidRDefault="7456809E" w:rsidP="4D769726">
            <w:pPr>
              <w:spacing w:before="60" w:after="120"/>
              <w:jc w:val="both"/>
              <w:rPr>
                <w:rFonts w:ascii="Times New Roman" w:hAnsi="Times New Roman" w:cs="Times New Roman"/>
                <w:b/>
                <w:bCs/>
                <w:sz w:val="24"/>
              </w:rPr>
            </w:pPr>
            <w:r>
              <w:rPr>
                <w:rFonts w:ascii="Times New Roman" w:hAnsi="Times New Roman"/>
                <w:sz w:val="24"/>
              </w:rPr>
              <w:t>RWEA calculés conformément à la troisième partie, titre III, du règlement (UE) nº 575/2013.</w:t>
            </w:r>
          </w:p>
        </w:tc>
      </w:tr>
      <w:tr w:rsidR="00232C88" w:rsidRPr="00232C88" w14:paraId="4B14E2DE" w14:textId="77777777" w:rsidTr="4D769726">
        <w:trPr>
          <w:trHeight w:val="557"/>
        </w:trPr>
        <w:tc>
          <w:tcPr>
            <w:tcW w:w="1384" w:type="dxa"/>
          </w:tcPr>
          <w:p w14:paraId="63FE2337" w14:textId="4B7984F2" w:rsidR="00351A65" w:rsidRPr="00232C88" w:rsidRDefault="00351A65" w:rsidP="00351A65">
            <w:pPr>
              <w:pStyle w:val="Applicationdirecte"/>
              <w:spacing w:before="60"/>
              <w:jc w:val="center"/>
            </w:pPr>
            <w:r>
              <w:t>7</w:t>
            </w:r>
          </w:p>
        </w:tc>
        <w:tc>
          <w:tcPr>
            <w:tcW w:w="7655" w:type="dxa"/>
          </w:tcPr>
          <w:p w14:paraId="5DDC7723" w14:textId="0B69F1F5" w:rsidR="00950346" w:rsidRPr="00232C88" w:rsidRDefault="00351A65" w:rsidP="00351A65">
            <w:pPr>
              <w:spacing w:before="60" w:after="120"/>
              <w:jc w:val="both"/>
              <w:rPr>
                <w:rFonts w:ascii="Times New Roman" w:hAnsi="Times New Roman" w:cs="Times New Roman"/>
                <w:b/>
                <w:sz w:val="24"/>
              </w:rPr>
            </w:pPr>
            <w:r>
              <w:rPr>
                <w:rFonts w:ascii="Times New Roman" w:hAnsi="Times New Roman"/>
                <w:b/>
                <w:sz w:val="24"/>
              </w:rPr>
              <w:t>Autres montants d</w:t>
            </w:r>
            <w:r w:rsidR="0057717F">
              <w:rPr>
                <w:rFonts w:ascii="Times New Roman" w:hAnsi="Times New Roman"/>
                <w:b/>
                <w:sz w:val="24"/>
              </w:rPr>
              <w:t>’</w:t>
            </w:r>
            <w:r>
              <w:rPr>
                <w:rFonts w:ascii="Times New Roman" w:hAnsi="Times New Roman"/>
                <w:b/>
                <w:sz w:val="24"/>
              </w:rPr>
              <w:t>exposition pondérés</w:t>
            </w:r>
          </w:p>
          <w:p w14:paraId="2799E41A" w14:textId="125C8E55" w:rsidR="00351A65" w:rsidRPr="00232C88" w:rsidRDefault="00950346" w:rsidP="00AF5BD3">
            <w:pPr>
              <w:spacing w:before="60" w:after="120"/>
              <w:jc w:val="both"/>
              <w:rPr>
                <w:rFonts w:ascii="Times New Roman" w:hAnsi="Times New Roman" w:cs="Times New Roman"/>
                <w:sz w:val="24"/>
              </w:rPr>
            </w:pPr>
            <w:r>
              <w:rPr>
                <w:rFonts w:ascii="Times New Roman" w:hAnsi="Times New Roman"/>
                <w:sz w:val="24"/>
              </w:rPr>
              <w:lastRenderedPageBreak/>
              <w:t>RWEA non pris en compte dans les lignes 1 à 6 (par exemple RWEA découlant du risque de règlement (ligne 15 dans le modèle OV1) et montants en dessous des seuils pour la déduction (ligne 25 dans le modèle OV1)).</w:t>
            </w:r>
          </w:p>
        </w:tc>
      </w:tr>
      <w:tr w:rsidR="00351A65" w:rsidRPr="00232C88" w14:paraId="191D5E2D" w14:textId="77777777" w:rsidTr="4D769726">
        <w:trPr>
          <w:trHeight w:val="557"/>
        </w:trPr>
        <w:tc>
          <w:tcPr>
            <w:tcW w:w="1384" w:type="dxa"/>
          </w:tcPr>
          <w:p w14:paraId="473E7834" w14:textId="05FD1FBE" w:rsidR="00351A65" w:rsidRPr="00232C88" w:rsidRDefault="00351A65" w:rsidP="00351A65">
            <w:pPr>
              <w:pStyle w:val="Applicationdirecte"/>
              <w:spacing w:before="60"/>
              <w:jc w:val="center"/>
            </w:pPr>
            <w:r>
              <w:lastRenderedPageBreak/>
              <w:t>8</w:t>
            </w:r>
          </w:p>
        </w:tc>
        <w:tc>
          <w:tcPr>
            <w:tcW w:w="7655" w:type="dxa"/>
          </w:tcPr>
          <w:p w14:paraId="096C8EC9" w14:textId="77777777" w:rsidR="00351A65" w:rsidRPr="00232C88" w:rsidRDefault="00351A65" w:rsidP="00351A65">
            <w:pPr>
              <w:spacing w:before="60" w:after="120"/>
              <w:jc w:val="both"/>
              <w:rPr>
                <w:rFonts w:ascii="Times New Roman" w:hAnsi="Times New Roman" w:cs="Times New Roman"/>
                <w:b/>
                <w:sz w:val="24"/>
              </w:rPr>
            </w:pPr>
            <w:r>
              <w:rPr>
                <w:rFonts w:ascii="Times New Roman" w:hAnsi="Times New Roman"/>
                <w:b/>
                <w:sz w:val="24"/>
              </w:rPr>
              <w:t>Total</w:t>
            </w:r>
          </w:p>
          <w:p w14:paraId="42963FE0" w14:textId="17D5D0F7" w:rsidR="00AF5BD3" w:rsidRPr="00232C88" w:rsidRDefault="00AF5BD3" w:rsidP="00351A65">
            <w:pPr>
              <w:spacing w:before="60" w:after="120"/>
              <w:jc w:val="both"/>
              <w:rPr>
                <w:rFonts w:ascii="Times New Roman" w:hAnsi="Times New Roman" w:cs="Times New Roman"/>
                <w:bCs/>
                <w:sz w:val="24"/>
              </w:rPr>
            </w:pPr>
            <w:r>
              <w:rPr>
                <w:rFonts w:ascii="Times New Roman" w:hAnsi="Times New Roman"/>
                <w:sz w:val="24"/>
              </w:rPr>
              <w:t>Somme des lignes 1 à 7.</w:t>
            </w:r>
          </w:p>
        </w:tc>
      </w:tr>
    </w:tbl>
    <w:p w14:paraId="367571C1" w14:textId="5871F274" w:rsidR="0090729F" w:rsidRPr="00452214" w:rsidRDefault="0090729F" w:rsidP="00254EDB">
      <w:pPr>
        <w:pStyle w:val="Titlelevel2"/>
        <w:spacing w:before="120" w:after="120"/>
        <w:ind w:left="66"/>
        <w:rPr>
          <w:rFonts w:ascii="Times New Roman" w:hAnsi="Times New Roman" w:cs="Times New Roman"/>
          <w:color w:val="auto"/>
          <w:sz w:val="24"/>
          <w:lang w:val="fr-BE"/>
        </w:rPr>
      </w:pPr>
    </w:p>
    <w:p w14:paraId="1926531C" w14:textId="32FFD21C" w:rsidR="0090729F" w:rsidRPr="00232C88" w:rsidRDefault="0090729F" w:rsidP="0090729F">
      <w:pPr>
        <w:spacing w:after="120"/>
        <w:jc w:val="both"/>
        <w:rPr>
          <w:rFonts w:ascii="Times New Roman" w:hAnsi="Times New Roman" w:cs="Times New Roman"/>
          <w:sz w:val="24"/>
        </w:rPr>
      </w:pPr>
      <w:r>
        <w:rPr>
          <w:rFonts w:ascii="Times New Roman" w:hAnsi="Times New Roman"/>
          <w:b/>
          <w:sz w:val="24"/>
        </w:rPr>
        <w:t>Tableau EU CMS2: Comparaison du montant d</w:t>
      </w:r>
      <w:r w:rsidR="0057717F">
        <w:rPr>
          <w:rFonts w:ascii="Times New Roman" w:hAnsi="Times New Roman"/>
          <w:b/>
          <w:sz w:val="24"/>
        </w:rPr>
        <w:t>’</w:t>
      </w:r>
      <w:r>
        <w:rPr>
          <w:rFonts w:ascii="Times New Roman" w:hAnsi="Times New Roman"/>
          <w:b/>
          <w:sz w:val="24"/>
        </w:rPr>
        <w:t>exposition pondéré modélisé et en approches standard pour le risque de crédit au niveau de la catégorie d</w:t>
      </w:r>
      <w:r w:rsidR="0057717F">
        <w:rPr>
          <w:rFonts w:ascii="Times New Roman" w:hAnsi="Times New Roman"/>
          <w:b/>
          <w:sz w:val="24"/>
        </w:rPr>
        <w:t>’</w:t>
      </w:r>
      <w:r>
        <w:rPr>
          <w:rFonts w:ascii="Times New Roman" w:hAnsi="Times New Roman"/>
          <w:b/>
          <w:sz w:val="24"/>
        </w:rPr>
        <w:t xml:space="preserve">actifs. </w:t>
      </w:r>
      <w:r>
        <w:rPr>
          <w:rFonts w:ascii="Times New Roman" w:hAnsi="Times New Roman"/>
          <w:sz w:val="24"/>
        </w:rPr>
        <w:t>Format fixe</w:t>
      </w:r>
    </w:p>
    <w:p w14:paraId="42F388E9" w14:textId="221FF3E0" w:rsidR="00F118ED" w:rsidRPr="00232C88" w:rsidRDefault="0090729F" w:rsidP="4D769726">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Les établissements appliquent les instructions fournies ci-dessous dans la présente annexe pour compléter le modèle EU CMS2 tel que présenté à l’annexe I, en application de l’article 438, points d) et d </w:t>
      </w:r>
      <w:r>
        <w:rPr>
          <w:rFonts w:ascii="Times New Roman" w:hAnsi="Times New Roman"/>
          <w:i/>
          <w:color w:val="auto"/>
          <w:sz w:val="24"/>
        </w:rPr>
        <w:t>bis</w:t>
      </w:r>
      <w:r>
        <w:rPr>
          <w:rFonts w:ascii="Times New Roman" w:hAnsi="Times New Roman"/>
          <w:color w:val="auto"/>
          <w:sz w:val="24"/>
        </w:rPr>
        <w:t>), du règlement (UE) nº 575/2013.</w:t>
      </w:r>
    </w:p>
    <w:p w14:paraId="6024D251" w14:textId="009CC1A0" w:rsidR="004E19D2" w:rsidRPr="00232C88" w:rsidRDefault="004E19D2" w:rsidP="4D769726">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Ce modèle ne doit être complété que par les établissements qui calculent les RWEA pour le risque de crédit en utilisant des approches fondées sur les notations internes (NI) conformément à la troisième partie, titre II, chapitre 3, du règlement (UE) nº 575/2013 et qui ne bénéficient pas de l</w:t>
      </w:r>
      <w:r w:rsidR="0057717F">
        <w:rPr>
          <w:rFonts w:ascii="Times New Roman" w:hAnsi="Times New Roman"/>
          <w:color w:val="auto"/>
          <w:sz w:val="24"/>
        </w:rPr>
        <w:t>’</w:t>
      </w:r>
      <w:r>
        <w:rPr>
          <w:rFonts w:ascii="Times New Roman" w:hAnsi="Times New Roman"/>
          <w:color w:val="auto"/>
          <w:sz w:val="24"/>
        </w:rPr>
        <w:t>exemption prévue à l</w:t>
      </w:r>
      <w:r w:rsidR="0057717F">
        <w:rPr>
          <w:rFonts w:ascii="Times New Roman" w:hAnsi="Times New Roman"/>
          <w:color w:val="auto"/>
          <w:sz w:val="24"/>
        </w:rPr>
        <w:t>’</w:t>
      </w:r>
      <w:r>
        <w:rPr>
          <w:rFonts w:ascii="Times New Roman" w:hAnsi="Times New Roman"/>
          <w:color w:val="auto"/>
          <w:sz w:val="24"/>
        </w:rPr>
        <w:t>article 92, paragraphe 3, deuxième alinéa du règlement (UE) nº 575/2013.</w:t>
      </w:r>
    </w:p>
    <w:p w14:paraId="0BBC334C" w14:textId="1E7E7E91" w:rsidR="00054B2E" w:rsidRPr="00232C88" w:rsidRDefault="00054B2E" w:rsidP="00054B2E">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Le cas échéant, les établissements expliquent, dans la note descriptive jointe au modèle, les effets de l</w:t>
      </w:r>
      <w:r w:rsidR="0057717F">
        <w:rPr>
          <w:rFonts w:ascii="Times New Roman" w:hAnsi="Times New Roman"/>
          <w:color w:val="auto"/>
          <w:sz w:val="24"/>
        </w:rPr>
        <w:t>’</w:t>
      </w:r>
      <w:r>
        <w:rPr>
          <w:rFonts w:ascii="Times New Roman" w:hAnsi="Times New Roman"/>
          <w:color w:val="auto"/>
          <w:sz w:val="24"/>
        </w:rPr>
        <w:t>application de planchers de fonds propres et de la non-déduction de certains éléments des fonds propres sur le calcul des fonds propres et des montants d’exposition pondérés.</w:t>
      </w:r>
    </w:p>
    <w:p w14:paraId="21FDE9C5" w14:textId="77777777" w:rsidR="00054B2E" w:rsidRPr="00452214" w:rsidRDefault="00054B2E" w:rsidP="00AD7048">
      <w:pPr>
        <w:pStyle w:val="Titlelevel2"/>
        <w:spacing w:before="120" w:after="120"/>
        <w:ind w:left="426"/>
        <w:jc w:val="both"/>
        <w:rPr>
          <w:rFonts w:ascii="Times New Roman" w:hAnsi="Times New Roman" w:cs="Times New Roman"/>
          <w:color w:val="auto"/>
          <w:sz w:val="24"/>
          <w:lang w:val="fr-BE"/>
        </w:rPr>
      </w:pPr>
    </w:p>
    <w:p w14:paraId="0FD192F2" w14:textId="77777777" w:rsidR="004E19D2" w:rsidRPr="00452214" w:rsidRDefault="004E19D2" w:rsidP="004E19D2">
      <w:pPr>
        <w:pStyle w:val="Titlelevel2"/>
        <w:spacing w:before="120" w:after="120"/>
        <w:ind w:left="66"/>
        <w:jc w:val="both"/>
        <w:rPr>
          <w:rFonts w:ascii="Times New Roman" w:hAnsi="Times New Roman" w:cs="Times New Roman"/>
          <w:color w:val="auto"/>
          <w:sz w:val="24"/>
          <w:lang w:val="fr-BE"/>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384"/>
        <w:gridCol w:w="7655"/>
      </w:tblGrid>
      <w:tr w:rsidR="00232C88" w:rsidRPr="00232C88" w14:paraId="5B2B39C6"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86A8C9" w14:textId="77777777" w:rsidR="00AF3FBC" w:rsidRPr="00232C88" w:rsidRDefault="00AF3FBC" w:rsidP="00AF3FBC">
            <w:pPr>
              <w:rPr>
                <w:rFonts w:ascii="Times New Roman" w:hAnsi="Times New Roman" w:cs="Times New Roman"/>
                <w:b/>
                <w:sz w:val="24"/>
              </w:rPr>
            </w:pPr>
            <w:r>
              <w:rPr>
                <w:rFonts w:ascii="Times New Roman" w:hAnsi="Times New Roman"/>
                <w:b/>
                <w:sz w:val="24"/>
              </w:rPr>
              <w:t>Références juridiques et instructions</w:t>
            </w:r>
          </w:p>
        </w:tc>
      </w:tr>
      <w:tr w:rsidR="00232C88" w:rsidRPr="00232C88" w14:paraId="71E65357" w14:textId="77777777" w:rsidTr="4D769726">
        <w:trPr>
          <w:trHeight w:val="238"/>
        </w:trPr>
        <w:tc>
          <w:tcPr>
            <w:tcW w:w="1384" w:type="dxa"/>
            <w:shd w:val="clear" w:color="auto" w:fill="D9D9D9" w:themeFill="background1" w:themeFillShade="D9"/>
          </w:tcPr>
          <w:p w14:paraId="2708EFE0" w14:textId="08DBC3A8" w:rsidR="00AF3FBC" w:rsidRPr="00232C88" w:rsidRDefault="0084180E" w:rsidP="00AF3FBC">
            <w:pPr>
              <w:autoSpaceDE w:val="0"/>
              <w:autoSpaceDN w:val="0"/>
              <w:adjustRightInd w:val="0"/>
              <w:rPr>
                <w:rFonts w:ascii="Times New Roman" w:hAnsi="Times New Roman" w:cs="Times New Roman"/>
                <w:b/>
                <w:sz w:val="24"/>
              </w:rPr>
            </w:pPr>
            <w:r>
              <w:rPr>
                <w:rFonts w:ascii="Times New Roman" w:hAnsi="Times New Roman"/>
                <w:b/>
                <w:sz w:val="24"/>
              </w:rPr>
              <w:t>Numéro de la colonne</w:t>
            </w:r>
          </w:p>
        </w:tc>
        <w:tc>
          <w:tcPr>
            <w:tcW w:w="7655" w:type="dxa"/>
            <w:shd w:val="clear" w:color="auto" w:fill="D9D9D9" w:themeFill="background1" w:themeFillShade="D9"/>
          </w:tcPr>
          <w:p w14:paraId="1CE735F9" w14:textId="77777777" w:rsidR="00AF3FBC" w:rsidRPr="00232C88" w:rsidRDefault="00AF3FBC" w:rsidP="00AF3FBC">
            <w:pPr>
              <w:autoSpaceDE w:val="0"/>
              <w:autoSpaceDN w:val="0"/>
              <w:adjustRightInd w:val="0"/>
              <w:rPr>
                <w:rFonts w:ascii="Times New Roman" w:hAnsi="Times New Roman" w:cs="Times New Roman"/>
                <w:sz w:val="24"/>
              </w:rPr>
            </w:pPr>
            <w:r>
              <w:rPr>
                <w:rFonts w:ascii="Times New Roman" w:hAnsi="Times New Roman"/>
                <w:b/>
                <w:sz w:val="24"/>
              </w:rPr>
              <w:t>Explication</w:t>
            </w:r>
          </w:p>
        </w:tc>
      </w:tr>
      <w:tr w:rsidR="00232C88" w:rsidRPr="00232C88" w14:paraId="58CC5B00" w14:textId="77777777" w:rsidTr="4D769726">
        <w:trPr>
          <w:trHeight w:val="1070"/>
        </w:trPr>
        <w:tc>
          <w:tcPr>
            <w:tcW w:w="1384" w:type="dxa"/>
          </w:tcPr>
          <w:p w14:paraId="5C1A8115" w14:textId="2981EF66" w:rsidR="00994B4F" w:rsidRPr="00232C88" w:rsidRDefault="00994B4F" w:rsidP="00994B4F">
            <w:pPr>
              <w:pStyle w:val="Applicationdirecte"/>
              <w:spacing w:before="60"/>
              <w:jc w:val="center"/>
            </w:pPr>
            <w:r>
              <w:t>a</w:t>
            </w:r>
          </w:p>
        </w:tc>
        <w:tc>
          <w:tcPr>
            <w:tcW w:w="7655" w:type="dxa"/>
            <w:vAlign w:val="center"/>
          </w:tcPr>
          <w:p w14:paraId="35692F32" w14:textId="6DAAAAF3" w:rsidR="00994B4F" w:rsidRPr="00232C88" w:rsidRDefault="00994B4F" w:rsidP="00994B4F">
            <w:pPr>
              <w:spacing w:before="60" w:after="120"/>
              <w:jc w:val="both"/>
              <w:rPr>
                <w:rFonts w:ascii="Times New Roman" w:hAnsi="Times New Roman" w:cs="Times New Roman"/>
                <w:b/>
                <w:sz w:val="24"/>
              </w:rPr>
            </w:pPr>
            <w:r>
              <w:rPr>
                <w:rFonts w:ascii="Times New Roman" w:hAnsi="Times New Roman"/>
                <w:b/>
                <w:sz w:val="24"/>
              </w:rPr>
              <w:t>RWEA pour les approches modélisées que les établissements sont autorisés à utiliser par l</w:t>
            </w:r>
            <w:r w:rsidR="0057717F">
              <w:rPr>
                <w:rFonts w:ascii="Times New Roman" w:hAnsi="Times New Roman"/>
                <w:b/>
                <w:sz w:val="24"/>
              </w:rPr>
              <w:t>’</w:t>
            </w:r>
            <w:r>
              <w:rPr>
                <w:rFonts w:ascii="Times New Roman" w:hAnsi="Times New Roman"/>
                <w:b/>
                <w:sz w:val="24"/>
              </w:rPr>
              <w:t xml:space="preserve">autorité de surveillance </w:t>
            </w:r>
          </w:p>
          <w:p w14:paraId="746C8FE1" w14:textId="3A794ACA" w:rsidR="00994B4F" w:rsidRPr="00232C88" w:rsidRDefault="00994B4F" w:rsidP="00994B4F">
            <w:pPr>
              <w:spacing w:before="60" w:after="120"/>
              <w:jc w:val="both"/>
              <w:rPr>
                <w:rFonts w:ascii="Times New Roman" w:hAnsi="Times New Roman" w:cs="Times New Roman"/>
                <w:sz w:val="24"/>
              </w:rPr>
            </w:pPr>
            <w:r>
              <w:rPr>
                <w:rFonts w:ascii="Times New Roman" w:hAnsi="Times New Roman"/>
                <w:sz w:val="24"/>
              </w:rPr>
              <w:t>Portion des RWEA calculée au moyen d</w:t>
            </w:r>
            <w:r w:rsidR="0057717F">
              <w:rPr>
                <w:rFonts w:ascii="Times New Roman" w:hAnsi="Times New Roman"/>
                <w:sz w:val="24"/>
              </w:rPr>
              <w:t>’</w:t>
            </w:r>
            <w:r>
              <w:rPr>
                <w:rFonts w:ascii="Times New Roman" w:hAnsi="Times New Roman"/>
                <w:sz w:val="24"/>
              </w:rPr>
              <w:t>approches fondées sur les notations internes (NI) approuvées par l</w:t>
            </w:r>
            <w:r w:rsidR="0057717F">
              <w:rPr>
                <w:rFonts w:ascii="Times New Roman" w:hAnsi="Times New Roman"/>
                <w:sz w:val="24"/>
              </w:rPr>
              <w:t>’</w:t>
            </w:r>
            <w:r>
              <w:rPr>
                <w:rFonts w:ascii="Times New Roman" w:hAnsi="Times New Roman"/>
                <w:sz w:val="24"/>
              </w:rPr>
              <w:t>autorité compétente.</w:t>
            </w:r>
          </w:p>
        </w:tc>
      </w:tr>
      <w:tr w:rsidR="00232C88" w:rsidRPr="00232C88" w14:paraId="7C21C2D4" w14:textId="77777777" w:rsidTr="4D769726">
        <w:trPr>
          <w:trHeight w:val="680"/>
        </w:trPr>
        <w:tc>
          <w:tcPr>
            <w:tcW w:w="1384" w:type="dxa"/>
          </w:tcPr>
          <w:p w14:paraId="1B01229F" w14:textId="77777777" w:rsidR="00994B4F" w:rsidRPr="00232C88" w:rsidRDefault="00994B4F" w:rsidP="00994B4F">
            <w:pPr>
              <w:pStyle w:val="Applicationdirecte"/>
              <w:spacing w:before="60"/>
              <w:jc w:val="center"/>
            </w:pPr>
            <w:r>
              <w:t>b</w:t>
            </w:r>
          </w:p>
          <w:p w14:paraId="1C5FD6DF" w14:textId="77777777" w:rsidR="00994B4F" w:rsidRPr="00232C88" w:rsidRDefault="00994B4F" w:rsidP="00994B4F">
            <w:pPr>
              <w:pStyle w:val="Applicationdirecte"/>
              <w:spacing w:before="60"/>
              <w:jc w:val="center"/>
            </w:pPr>
          </w:p>
        </w:tc>
        <w:tc>
          <w:tcPr>
            <w:tcW w:w="7655" w:type="dxa"/>
          </w:tcPr>
          <w:p w14:paraId="3B57AD76" w14:textId="078AC3AC" w:rsidR="00994B4F" w:rsidRPr="00232C88" w:rsidRDefault="00994B4F" w:rsidP="00994B4F">
            <w:pPr>
              <w:spacing w:before="60" w:after="120"/>
              <w:jc w:val="both"/>
              <w:rPr>
                <w:rFonts w:ascii="Times New Roman" w:hAnsi="Times New Roman" w:cs="Times New Roman"/>
                <w:b/>
                <w:sz w:val="24"/>
              </w:rPr>
            </w:pPr>
            <w:r>
              <w:rPr>
                <w:rFonts w:ascii="Times New Roman" w:hAnsi="Times New Roman"/>
                <w:b/>
                <w:sz w:val="24"/>
              </w:rPr>
              <w:t>RWEA pour la colonne a) si recalculés en utilisant l</w:t>
            </w:r>
            <w:r w:rsidR="0057717F">
              <w:rPr>
                <w:rFonts w:ascii="Times New Roman" w:hAnsi="Times New Roman"/>
                <w:b/>
                <w:sz w:val="24"/>
              </w:rPr>
              <w:t>’</w:t>
            </w:r>
            <w:r>
              <w:rPr>
                <w:rFonts w:ascii="Times New Roman" w:hAnsi="Times New Roman"/>
                <w:b/>
                <w:sz w:val="24"/>
              </w:rPr>
              <w:t>approche standard</w:t>
            </w:r>
          </w:p>
          <w:p w14:paraId="23C2E1CF" w14:textId="079098B3" w:rsidR="00994B4F" w:rsidRPr="00232C88" w:rsidRDefault="00994B4F" w:rsidP="004E19D2">
            <w:pPr>
              <w:spacing w:before="60" w:after="120"/>
              <w:jc w:val="both"/>
              <w:rPr>
                <w:rFonts w:ascii="Times New Roman" w:hAnsi="Times New Roman" w:cs="Times New Roman"/>
                <w:b/>
                <w:sz w:val="24"/>
              </w:rPr>
            </w:pPr>
            <w:r>
              <w:rPr>
                <w:rFonts w:ascii="Times New Roman" w:hAnsi="Times New Roman"/>
                <w:sz w:val="24"/>
              </w:rPr>
              <w:t>RWEA calculés selon des approches NI approuvées par l</w:t>
            </w:r>
            <w:r w:rsidR="0057717F">
              <w:rPr>
                <w:rFonts w:ascii="Times New Roman" w:hAnsi="Times New Roman"/>
                <w:sz w:val="24"/>
              </w:rPr>
              <w:t>’</w:t>
            </w:r>
            <w:r>
              <w:rPr>
                <w:rFonts w:ascii="Times New Roman" w:hAnsi="Times New Roman"/>
                <w:sz w:val="24"/>
              </w:rPr>
              <w:t>autorité compétente présentés dans la colonne a) recalculés en utilisant l</w:t>
            </w:r>
            <w:r w:rsidR="0057717F">
              <w:rPr>
                <w:rFonts w:ascii="Times New Roman" w:hAnsi="Times New Roman"/>
                <w:sz w:val="24"/>
              </w:rPr>
              <w:t>’</w:t>
            </w:r>
            <w:r>
              <w:rPr>
                <w:rFonts w:ascii="Times New Roman" w:hAnsi="Times New Roman"/>
                <w:sz w:val="24"/>
              </w:rPr>
              <w:t>approche standard. En d</w:t>
            </w:r>
            <w:r w:rsidR="0057717F">
              <w:rPr>
                <w:rFonts w:ascii="Times New Roman" w:hAnsi="Times New Roman"/>
                <w:sz w:val="24"/>
              </w:rPr>
              <w:t>’</w:t>
            </w:r>
            <w:r>
              <w:rPr>
                <w:rFonts w:ascii="Times New Roman" w:hAnsi="Times New Roman"/>
                <w:sz w:val="24"/>
              </w:rPr>
              <w:t>autres termes, RWEA selon l</w:t>
            </w:r>
            <w:r w:rsidR="0057717F">
              <w:rPr>
                <w:rFonts w:ascii="Times New Roman" w:hAnsi="Times New Roman"/>
                <w:sz w:val="24"/>
              </w:rPr>
              <w:t>’</w:t>
            </w:r>
            <w:r>
              <w:rPr>
                <w:rFonts w:ascii="Times New Roman" w:hAnsi="Times New Roman"/>
                <w:sz w:val="24"/>
              </w:rPr>
              <w:t xml:space="preserve">approche standard correspondants pour la colonne a).  </w:t>
            </w:r>
          </w:p>
        </w:tc>
      </w:tr>
      <w:tr w:rsidR="00232C88" w:rsidRPr="00232C88" w14:paraId="1F176A6F" w14:textId="77777777" w:rsidTr="4D769726">
        <w:trPr>
          <w:trHeight w:val="680"/>
        </w:trPr>
        <w:tc>
          <w:tcPr>
            <w:tcW w:w="1384" w:type="dxa"/>
          </w:tcPr>
          <w:p w14:paraId="36AC8644" w14:textId="00AFD014" w:rsidR="00994B4F" w:rsidRPr="00232C88" w:rsidRDefault="00994B4F" w:rsidP="00994B4F">
            <w:pPr>
              <w:pStyle w:val="Applicationdirecte"/>
              <w:spacing w:before="60"/>
              <w:jc w:val="center"/>
            </w:pPr>
            <w:r>
              <w:t>c</w:t>
            </w:r>
          </w:p>
        </w:tc>
        <w:tc>
          <w:tcPr>
            <w:tcW w:w="7655" w:type="dxa"/>
          </w:tcPr>
          <w:p w14:paraId="780C998F" w14:textId="70BDCFF8" w:rsidR="00994B4F" w:rsidRPr="00232C88" w:rsidRDefault="004E19D2" w:rsidP="00994B4F">
            <w:pPr>
              <w:spacing w:before="60" w:after="120"/>
              <w:jc w:val="both"/>
              <w:rPr>
                <w:rFonts w:ascii="Times New Roman" w:hAnsi="Times New Roman" w:cs="Times New Roman"/>
                <w:b/>
                <w:sz w:val="24"/>
              </w:rPr>
            </w:pPr>
            <w:r>
              <w:rPr>
                <w:rFonts w:ascii="Times New Roman" w:hAnsi="Times New Roman"/>
                <w:b/>
                <w:sz w:val="24"/>
              </w:rPr>
              <w:t xml:space="preserve">RWEA effectifs totaux </w:t>
            </w:r>
          </w:p>
          <w:p w14:paraId="13A79EFF" w14:textId="70B75A2B" w:rsidR="00994B4F" w:rsidRPr="00232C88" w:rsidRDefault="00E86C14" w:rsidP="001B30FD">
            <w:pPr>
              <w:spacing w:before="60" w:after="120"/>
              <w:jc w:val="both"/>
              <w:rPr>
                <w:rFonts w:ascii="Times New Roman" w:hAnsi="Times New Roman" w:cs="Times New Roman"/>
                <w:b/>
                <w:sz w:val="24"/>
              </w:rPr>
            </w:pPr>
            <w:r>
              <w:rPr>
                <w:rFonts w:ascii="Times New Roman" w:hAnsi="Times New Roman"/>
                <w:sz w:val="24"/>
              </w:rPr>
              <w:t>RWEA que les établissements déclarent comme leurs exigences effectives. La somme des RWEA pour les approches NI que les établissements ont été autorisés à utiliser par l</w:t>
            </w:r>
            <w:r w:rsidR="0057717F">
              <w:rPr>
                <w:rFonts w:ascii="Times New Roman" w:hAnsi="Times New Roman"/>
                <w:sz w:val="24"/>
              </w:rPr>
              <w:t>’</w:t>
            </w:r>
            <w:r>
              <w:rPr>
                <w:rFonts w:ascii="Times New Roman" w:hAnsi="Times New Roman"/>
                <w:sz w:val="24"/>
              </w:rPr>
              <w:t>autorité de surveillance et des RWEA selon les approches standard.</w:t>
            </w:r>
          </w:p>
        </w:tc>
      </w:tr>
      <w:tr w:rsidR="00232C88" w:rsidRPr="00232C88" w14:paraId="10BA21EE" w14:textId="77777777" w:rsidTr="4D769726">
        <w:trPr>
          <w:trHeight w:val="680"/>
        </w:trPr>
        <w:tc>
          <w:tcPr>
            <w:tcW w:w="1384" w:type="dxa"/>
            <w:vAlign w:val="center"/>
          </w:tcPr>
          <w:p w14:paraId="79B964DE" w14:textId="38CF8E84" w:rsidR="00994B4F" w:rsidRPr="00232C88" w:rsidRDefault="00994B4F" w:rsidP="00994B4F">
            <w:pPr>
              <w:pStyle w:val="Applicationdirecte"/>
              <w:spacing w:before="60"/>
              <w:jc w:val="center"/>
            </w:pPr>
            <w:r>
              <w:lastRenderedPageBreak/>
              <w:t>d</w:t>
            </w:r>
          </w:p>
        </w:tc>
        <w:tc>
          <w:tcPr>
            <w:tcW w:w="7655" w:type="dxa"/>
          </w:tcPr>
          <w:p w14:paraId="12F263E0" w14:textId="55E338FD" w:rsidR="00994B4F" w:rsidRPr="00232C88" w:rsidRDefault="00994B4F" w:rsidP="00994B4F">
            <w:pPr>
              <w:spacing w:before="60" w:after="120"/>
              <w:jc w:val="both"/>
              <w:rPr>
                <w:rFonts w:ascii="Times New Roman" w:hAnsi="Times New Roman" w:cs="Times New Roman"/>
                <w:b/>
                <w:sz w:val="24"/>
              </w:rPr>
            </w:pPr>
            <w:r>
              <w:rPr>
                <w:rFonts w:ascii="Times New Roman" w:hAnsi="Times New Roman"/>
                <w:b/>
                <w:sz w:val="24"/>
              </w:rPr>
              <w:t>RWEA calculés selon l</w:t>
            </w:r>
            <w:r w:rsidR="0057717F">
              <w:rPr>
                <w:rFonts w:ascii="Times New Roman" w:hAnsi="Times New Roman"/>
                <w:b/>
                <w:sz w:val="24"/>
              </w:rPr>
              <w:t>’</w:t>
            </w:r>
            <w:r>
              <w:rPr>
                <w:rFonts w:ascii="Times New Roman" w:hAnsi="Times New Roman"/>
                <w:b/>
                <w:sz w:val="24"/>
              </w:rPr>
              <w:t>approche standard complète</w:t>
            </w:r>
          </w:p>
          <w:p w14:paraId="023D1C65" w14:textId="4D4A33A0" w:rsidR="00192044" w:rsidRDefault="6FD90119" w:rsidP="4D769726">
            <w:pPr>
              <w:spacing w:before="60" w:after="120"/>
              <w:jc w:val="both"/>
              <w:rPr>
                <w:rFonts w:ascii="Times New Roman" w:hAnsi="Times New Roman" w:cs="Times New Roman"/>
                <w:sz w:val="24"/>
              </w:rPr>
            </w:pPr>
            <w:r>
              <w:rPr>
                <w:rFonts w:ascii="Times New Roman" w:hAnsi="Times New Roman"/>
                <w:sz w:val="24"/>
              </w:rPr>
              <w:t>RWEA servant à comparer les actifs pondérés en fonction du risque selon l</w:t>
            </w:r>
            <w:r w:rsidR="0057717F">
              <w:rPr>
                <w:rFonts w:ascii="Times New Roman" w:hAnsi="Times New Roman"/>
                <w:sz w:val="24"/>
              </w:rPr>
              <w:t>’</w:t>
            </w:r>
            <w:r>
              <w:rPr>
                <w:rFonts w:ascii="Times New Roman" w:hAnsi="Times New Roman"/>
                <w:sz w:val="24"/>
              </w:rPr>
              <w:t>approche standard complète pour le risque de crédit (S-RWEA) au niveau de la catégorie d</w:t>
            </w:r>
            <w:r w:rsidR="0057717F">
              <w:rPr>
                <w:rFonts w:ascii="Times New Roman" w:hAnsi="Times New Roman"/>
                <w:sz w:val="24"/>
              </w:rPr>
              <w:t>’</w:t>
            </w:r>
            <w:r>
              <w:rPr>
                <w:rFonts w:ascii="Times New Roman" w:hAnsi="Times New Roman"/>
                <w:sz w:val="24"/>
              </w:rPr>
              <w:t>actifs avec le RWEA modélisé correspondant que les banques ont été autorisées à utiliser par l</w:t>
            </w:r>
            <w:r w:rsidR="0057717F">
              <w:rPr>
                <w:rFonts w:ascii="Times New Roman" w:hAnsi="Times New Roman"/>
                <w:sz w:val="24"/>
              </w:rPr>
              <w:t>’</w:t>
            </w:r>
            <w:r>
              <w:rPr>
                <w:rFonts w:ascii="Times New Roman" w:hAnsi="Times New Roman"/>
                <w:sz w:val="24"/>
              </w:rPr>
              <w:t>autorité de surveillance conformément au dispositif de Bâle et comme le requiert l</w:t>
            </w:r>
            <w:r w:rsidR="0057717F">
              <w:rPr>
                <w:rFonts w:ascii="Times New Roman" w:hAnsi="Times New Roman"/>
                <w:sz w:val="24"/>
              </w:rPr>
              <w:t>’</w:t>
            </w:r>
            <w:r>
              <w:rPr>
                <w:rFonts w:ascii="Times New Roman" w:hAnsi="Times New Roman"/>
                <w:sz w:val="24"/>
              </w:rPr>
              <w:t>article 438, point d </w:t>
            </w:r>
            <w:r>
              <w:rPr>
                <w:rFonts w:ascii="Times New Roman" w:hAnsi="Times New Roman"/>
                <w:i/>
                <w:sz w:val="24"/>
              </w:rPr>
              <w:t>bis</w:t>
            </w:r>
            <w:r>
              <w:rPr>
                <w:rFonts w:ascii="Times New Roman" w:hAnsi="Times New Roman"/>
                <w:sz w:val="24"/>
              </w:rPr>
              <w:t xml:space="preserve">), du règlement (UE) nº 575/2013. </w:t>
            </w:r>
          </w:p>
          <w:p w14:paraId="63C23AE2" w14:textId="74F84E71" w:rsidR="00AC7521" w:rsidRPr="00232C88" w:rsidRDefault="007727DF" w:rsidP="4D769726">
            <w:pPr>
              <w:spacing w:before="60" w:after="120"/>
              <w:jc w:val="both"/>
              <w:rPr>
                <w:rFonts w:ascii="Times New Roman" w:hAnsi="Times New Roman" w:cs="Times New Roman"/>
                <w:sz w:val="24"/>
              </w:rPr>
            </w:pPr>
            <w:r>
              <w:rPr>
                <w:rFonts w:ascii="Times New Roman" w:hAnsi="Times New Roman"/>
                <w:sz w:val="24"/>
              </w:rPr>
              <w:t>Les établissements déclarent le RWEA, calculé conformément à l’article 92, paragraphes 5 et 6, du règlement (UE) nº 575/2013, sans application des dispositions transitoires prévues à l</w:t>
            </w:r>
            <w:r w:rsidR="0057717F">
              <w:rPr>
                <w:rFonts w:ascii="Times New Roman" w:hAnsi="Times New Roman"/>
                <w:sz w:val="24"/>
              </w:rPr>
              <w:t>’</w:t>
            </w:r>
            <w:r>
              <w:rPr>
                <w:rFonts w:ascii="Times New Roman" w:hAnsi="Times New Roman"/>
                <w:sz w:val="24"/>
              </w:rPr>
              <w:t xml:space="preserve">article 465 du règlement (UE) nº 575/2013. </w:t>
            </w:r>
          </w:p>
          <w:p w14:paraId="585F96E7" w14:textId="5936CF82" w:rsidR="00AF5BD3" w:rsidRPr="00452214" w:rsidRDefault="00AF5BD3" w:rsidP="673610D2">
            <w:pPr>
              <w:spacing w:before="60" w:after="120"/>
              <w:jc w:val="both"/>
              <w:rPr>
                <w:rFonts w:ascii="Times New Roman" w:hAnsi="Times New Roman" w:cs="Times New Roman"/>
                <w:sz w:val="24"/>
                <w:lang w:val="fr-BE"/>
              </w:rPr>
            </w:pPr>
          </w:p>
        </w:tc>
      </w:tr>
      <w:tr w:rsidR="00232C88" w:rsidRPr="00232C88" w14:paraId="55FA4A88" w14:textId="77777777" w:rsidTr="4D769726">
        <w:trPr>
          <w:trHeight w:val="680"/>
        </w:trPr>
        <w:tc>
          <w:tcPr>
            <w:tcW w:w="1384" w:type="dxa"/>
            <w:vAlign w:val="center"/>
          </w:tcPr>
          <w:p w14:paraId="6EDA1687" w14:textId="63C9DF5F" w:rsidR="00994B4F" w:rsidRPr="00232C88" w:rsidRDefault="00994B4F" w:rsidP="00994B4F">
            <w:pPr>
              <w:pStyle w:val="Applicationdirecte"/>
              <w:spacing w:before="60"/>
              <w:jc w:val="center"/>
            </w:pPr>
            <w:r>
              <w:t>EU d</w:t>
            </w:r>
          </w:p>
        </w:tc>
        <w:tc>
          <w:tcPr>
            <w:tcW w:w="7655" w:type="dxa"/>
          </w:tcPr>
          <w:p w14:paraId="0C2EFF82" w14:textId="62FBB506" w:rsidR="00994B4F" w:rsidRPr="00232C88" w:rsidRDefault="00994B4F" w:rsidP="00994B4F">
            <w:pPr>
              <w:spacing w:before="60" w:after="120"/>
              <w:jc w:val="both"/>
              <w:rPr>
                <w:rFonts w:ascii="Times New Roman" w:hAnsi="Times New Roman" w:cs="Times New Roman"/>
                <w:b/>
                <w:sz w:val="24"/>
              </w:rPr>
            </w:pPr>
            <w:r>
              <w:rPr>
                <w:rFonts w:ascii="Times New Roman" w:hAnsi="Times New Roman"/>
                <w:b/>
                <w:sz w:val="24"/>
              </w:rPr>
              <w:t xml:space="preserve">RWEA servant de base pour le plancher de fonds propres </w:t>
            </w:r>
          </w:p>
          <w:p w14:paraId="6EB91D3B" w14:textId="1956B445" w:rsidR="00AC7521" w:rsidRPr="00232C88" w:rsidRDefault="6FD90119" w:rsidP="4D769726">
            <w:pPr>
              <w:spacing w:before="60" w:after="120"/>
              <w:jc w:val="both"/>
              <w:rPr>
                <w:rFonts w:ascii="Times New Roman" w:hAnsi="Times New Roman" w:cs="Times New Roman"/>
                <w:sz w:val="24"/>
              </w:rPr>
            </w:pPr>
            <w:r>
              <w:rPr>
                <w:rFonts w:ascii="Times New Roman" w:hAnsi="Times New Roman"/>
                <w:sz w:val="24"/>
              </w:rPr>
              <w:t>RWEA servant de base pour le calcul du plancher de fonds propres tel que requis par l</w:t>
            </w:r>
            <w:r w:rsidR="0057717F">
              <w:rPr>
                <w:rFonts w:ascii="Times New Roman" w:hAnsi="Times New Roman"/>
                <w:sz w:val="24"/>
              </w:rPr>
              <w:t>’</w:t>
            </w:r>
            <w:r>
              <w:rPr>
                <w:rFonts w:ascii="Times New Roman" w:hAnsi="Times New Roman"/>
                <w:sz w:val="24"/>
              </w:rPr>
              <w:t>article 438, point d), du règlement (UE) nº 575/2013. Les établissements déclarent le RWEA, calculé conformément à l’article 92, paragraphes 5 et 6, du règlement (UE) nº 575/2013, en appliquant les dispositions transitoires prévues à l</w:t>
            </w:r>
            <w:r w:rsidR="0057717F">
              <w:rPr>
                <w:rFonts w:ascii="Times New Roman" w:hAnsi="Times New Roman"/>
                <w:sz w:val="24"/>
              </w:rPr>
              <w:t>’</w:t>
            </w:r>
            <w:r>
              <w:rPr>
                <w:rFonts w:ascii="Times New Roman" w:hAnsi="Times New Roman"/>
                <w:sz w:val="24"/>
              </w:rPr>
              <w:t xml:space="preserve">article 465 du règlement (UE) nº 575/2013. </w:t>
            </w:r>
          </w:p>
          <w:p w14:paraId="3F9F1BCC" w14:textId="0069FEBF" w:rsidR="00AF5BD3" w:rsidRPr="00232C88" w:rsidRDefault="00AF5BD3" w:rsidP="00563BE7">
            <w:pPr>
              <w:spacing w:before="60" w:after="120"/>
              <w:jc w:val="both"/>
              <w:rPr>
                <w:rFonts w:ascii="Times New Roman" w:hAnsi="Times New Roman" w:cs="Times New Roman"/>
                <w:b/>
                <w:sz w:val="24"/>
              </w:rPr>
            </w:pPr>
          </w:p>
        </w:tc>
      </w:tr>
      <w:tr w:rsidR="00232C88" w:rsidRPr="00232C88" w14:paraId="0D3BA471"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4117D1" w14:textId="77777777" w:rsidR="00351A65" w:rsidRPr="00232C88" w:rsidRDefault="00351A65" w:rsidP="00351A65">
            <w:pPr>
              <w:rPr>
                <w:rFonts w:ascii="Times New Roman" w:hAnsi="Times New Roman" w:cs="Times New Roman"/>
                <w:b/>
                <w:sz w:val="24"/>
              </w:rPr>
            </w:pPr>
            <w:r>
              <w:rPr>
                <w:rFonts w:ascii="Times New Roman" w:hAnsi="Times New Roman"/>
                <w:b/>
                <w:sz w:val="24"/>
              </w:rPr>
              <w:t>Références juridiques et instructions</w:t>
            </w:r>
          </w:p>
        </w:tc>
      </w:tr>
      <w:tr w:rsidR="00232C88" w:rsidRPr="00232C88" w14:paraId="35A90A29" w14:textId="77777777" w:rsidTr="4D769726">
        <w:trPr>
          <w:trHeight w:val="238"/>
        </w:trPr>
        <w:tc>
          <w:tcPr>
            <w:tcW w:w="1384" w:type="dxa"/>
            <w:shd w:val="clear" w:color="auto" w:fill="D9D9D9" w:themeFill="background1" w:themeFillShade="D9"/>
          </w:tcPr>
          <w:p w14:paraId="442042AA" w14:textId="4045A22D" w:rsidR="00351A65" w:rsidRPr="00232C88" w:rsidRDefault="00351A65" w:rsidP="75135BB5">
            <w:pPr>
              <w:autoSpaceDE w:val="0"/>
              <w:autoSpaceDN w:val="0"/>
              <w:adjustRightInd w:val="0"/>
              <w:rPr>
                <w:rFonts w:ascii="Times New Roman" w:hAnsi="Times New Roman" w:cs="Times New Roman"/>
                <w:b/>
                <w:bCs/>
                <w:sz w:val="24"/>
              </w:rPr>
            </w:pPr>
            <w:r>
              <w:rPr>
                <w:rFonts w:ascii="Times New Roman" w:hAnsi="Times New Roman"/>
                <w:b/>
                <w:sz w:val="24"/>
              </w:rPr>
              <w:t>Numéro de la ligne</w:t>
            </w:r>
          </w:p>
        </w:tc>
        <w:tc>
          <w:tcPr>
            <w:tcW w:w="7655" w:type="dxa"/>
            <w:shd w:val="clear" w:color="auto" w:fill="D9D9D9" w:themeFill="background1" w:themeFillShade="D9"/>
          </w:tcPr>
          <w:p w14:paraId="24AA55C4" w14:textId="77777777" w:rsidR="00351A65" w:rsidRPr="00232C88" w:rsidRDefault="00351A65" w:rsidP="00351A65">
            <w:pPr>
              <w:autoSpaceDE w:val="0"/>
              <w:autoSpaceDN w:val="0"/>
              <w:adjustRightInd w:val="0"/>
              <w:rPr>
                <w:rFonts w:ascii="Times New Roman" w:hAnsi="Times New Roman" w:cs="Times New Roman"/>
                <w:sz w:val="24"/>
              </w:rPr>
            </w:pPr>
            <w:r>
              <w:rPr>
                <w:rFonts w:ascii="Times New Roman" w:hAnsi="Times New Roman"/>
                <w:b/>
                <w:sz w:val="24"/>
              </w:rPr>
              <w:t>Explication</w:t>
            </w:r>
          </w:p>
        </w:tc>
      </w:tr>
      <w:tr w:rsidR="00232C88" w:rsidRPr="00232C88" w14:paraId="4A8AA473" w14:textId="77777777" w:rsidTr="4D769726">
        <w:trPr>
          <w:trHeight w:val="680"/>
        </w:trPr>
        <w:tc>
          <w:tcPr>
            <w:tcW w:w="1384" w:type="dxa"/>
          </w:tcPr>
          <w:p w14:paraId="30F78516" w14:textId="4A43D40C" w:rsidR="00351A65" w:rsidRPr="00232C88" w:rsidRDefault="00351A65" w:rsidP="00351A65">
            <w:pPr>
              <w:pStyle w:val="Applicationdirecte"/>
              <w:spacing w:before="60"/>
              <w:jc w:val="center"/>
            </w:pPr>
            <w:r>
              <w:t>1, EU1a, EU1b, EU1c, EU1d, 2, 3,5, 5.1, 5.2, EU 5a, EU 5b, EU 5c, 6, 6.1, EU6.1a, EU6.1b,EU 7a, EU 7b, EU 7c, EU 7d, EU 7e, EU 7f, 8</w:t>
            </w:r>
          </w:p>
        </w:tc>
        <w:tc>
          <w:tcPr>
            <w:tcW w:w="7655" w:type="dxa"/>
          </w:tcPr>
          <w:p w14:paraId="73A562A1" w14:textId="0DAE6A9E" w:rsidR="00192044" w:rsidRDefault="0046019D" w:rsidP="00A02839">
            <w:pPr>
              <w:spacing w:before="60" w:after="120"/>
              <w:jc w:val="both"/>
              <w:rPr>
                <w:rFonts w:ascii="Times New Roman" w:hAnsi="Times New Roman" w:cs="Times New Roman"/>
                <w:sz w:val="24"/>
              </w:rPr>
            </w:pPr>
            <w:r>
              <w:rPr>
                <w:rFonts w:ascii="Times New Roman" w:hAnsi="Times New Roman"/>
                <w:sz w:val="24"/>
              </w:rPr>
              <w:t>Les établissements indiquent la ventilation des montants d</w:t>
            </w:r>
            <w:r w:rsidR="0057717F">
              <w:rPr>
                <w:rFonts w:ascii="Times New Roman" w:hAnsi="Times New Roman"/>
                <w:sz w:val="24"/>
              </w:rPr>
              <w:t>’</w:t>
            </w:r>
            <w:r>
              <w:rPr>
                <w:rFonts w:ascii="Times New Roman" w:hAnsi="Times New Roman"/>
                <w:sz w:val="24"/>
              </w:rPr>
              <w:t>exposition pondérés par catégorie d</w:t>
            </w:r>
            <w:r w:rsidR="0057717F">
              <w:rPr>
                <w:rFonts w:ascii="Times New Roman" w:hAnsi="Times New Roman"/>
                <w:sz w:val="24"/>
              </w:rPr>
              <w:t>’</w:t>
            </w:r>
            <w:r>
              <w:rPr>
                <w:rFonts w:ascii="Times New Roman" w:hAnsi="Times New Roman"/>
                <w:sz w:val="24"/>
              </w:rPr>
              <w:t>expositions et sous-catégorie d</w:t>
            </w:r>
            <w:r w:rsidR="0057717F">
              <w:rPr>
                <w:rFonts w:ascii="Times New Roman" w:hAnsi="Times New Roman"/>
                <w:sz w:val="24"/>
              </w:rPr>
              <w:t>’</w:t>
            </w:r>
            <w:r>
              <w:rPr>
                <w:rFonts w:ascii="Times New Roman" w:hAnsi="Times New Roman"/>
                <w:sz w:val="24"/>
              </w:rPr>
              <w:t xml:space="preserve">expositions telles que définies conformément à l’article 147 du règlement (UE) nº 575/2013. </w:t>
            </w:r>
          </w:p>
          <w:p w14:paraId="6D77E411" w14:textId="5D31DBCD" w:rsidR="008C231E" w:rsidRPr="00232C88" w:rsidRDefault="00091AA5" w:rsidP="00A02839">
            <w:pPr>
              <w:spacing w:before="60" w:after="120"/>
              <w:jc w:val="both"/>
              <w:rPr>
                <w:rFonts w:ascii="Times New Roman" w:hAnsi="Times New Roman" w:cs="Times New Roman"/>
                <w:sz w:val="24"/>
              </w:rPr>
            </w:pPr>
            <w:r>
              <w:rPr>
                <w:rFonts w:ascii="Times New Roman" w:hAnsi="Times New Roman"/>
                <w:sz w:val="24"/>
              </w:rPr>
              <w:t>Dans le cas où des expositions NI auraient été classées dans une catégorie d</w:t>
            </w:r>
            <w:r w:rsidR="0057717F">
              <w:rPr>
                <w:rFonts w:ascii="Times New Roman" w:hAnsi="Times New Roman"/>
                <w:sz w:val="24"/>
              </w:rPr>
              <w:t>’</w:t>
            </w:r>
            <w:r>
              <w:rPr>
                <w:rFonts w:ascii="Times New Roman" w:hAnsi="Times New Roman"/>
                <w:sz w:val="24"/>
              </w:rPr>
              <w:t>expositions différente selon l</w:t>
            </w:r>
            <w:r w:rsidR="0057717F">
              <w:rPr>
                <w:rFonts w:ascii="Times New Roman" w:hAnsi="Times New Roman"/>
                <w:sz w:val="24"/>
              </w:rPr>
              <w:t>’</w:t>
            </w:r>
            <w:r>
              <w:rPr>
                <w:rFonts w:ascii="Times New Roman" w:hAnsi="Times New Roman"/>
                <w:sz w:val="24"/>
              </w:rPr>
              <w:t>approche standard (SA), ces expositions NI sont exclues de leur catégorie d</w:t>
            </w:r>
            <w:r w:rsidR="0057717F">
              <w:rPr>
                <w:rFonts w:ascii="Times New Roman" w:hAnsi="Times New Roman"/>
                <w:sz w:val="24"/>
              </w:rPr>
              <w:t>’</w:t>
            </w:r>
            <w:r>
              <w:rPr>
                <w:rFonts w:ascii="Times New Roman" w:hAnsi="Times New Roman"/>
                <w:sz w:val="24"/>
              </w:rPr>
              <w:t>expositions NI et déclarées dans l</w:t>
            </w:r>
            <w:r w:rsidR="0057717F">
              <w:rPr>
                <w:rFonts w:ascii="Times New Roman" w:hAnsi="Times New Roman"/>
                <w:sz w:val="24"/>
              </w:rPr>
              <w:t>’</w:t>
            </w:r>
            <w:r>
              <w:rPr>
                <w:rFonts w:ascii="Times New Roman" w:hAnsi="Times New Roman"/>
                <w:sz w:val="24"/>
              </w:rPr>
              <w:t>une des catégories d</w:t>
            </w:r>
            <w:r w:rsidR="0057717F">
              <w:rPr>
                <w:rFonts w:ascii="Times New Roman" w:hAnsi="Times New Roman"/>
                <w:sz w:val="24"/>
              </w:rPr>
              <w:t>’</w:t>
            </w:r>
            <w:r>
              <w:rPr>
                <w:rFonts w:ascii="Times New Roman" w:hAnsi="Times New Roman"/>
                <w:sz w:val="24"/>
              </w:rPr>
              <w:t>expositions suivantes de l</w:t>
            </w:r>
            <w:r w:rsidR="0057717F">
              <w:rPr>
                <w:rFonts w:ascii="Times New Roman" w:hAnsi="Times New Roman"/>
                <w:sz w:val="24"/>
              </w:rPr>
              <w:t>’</w:t>
            </w:r>
            <w:r>
              <w:rPr>
                <w:rFonts w:ascii="Times New Roman" w:hAnsi="Times New Roman"/>
                <w:sz w:val="24"/>
              </w:rPr>
              <w:t>approche standard, telles que définies à l</w:t>
            </w:r>
            <w:r w:rsidR="0057717F">
              <w:rPr>
                <w:rFonts w:ascii="Times New Roman" w:hAnsi="Times New Roman"/>
                <w:sz w:val="24"/>
              </w:rPr>
              <w:t>’</w:t>
            </w:r>
            <w:r>
              <w:rPr>
                <w:rFonts w:ascii="Times New Roman" w:hAnsi="Times New Roman"/>
                <w:sz w:val="24"/>
              </w:rPr>
              <w:t>article 112 du règlement (UE) nº 575/2013:</w:t>
            </w:r>
          </w:p>
          <w:p w14:paraId="3C3411A5" w14:textId="52F979E3" w:rsidR="00192044" w:rsidRPr="00192044" w:rsidRDefault="00AB7318" w:rsidP="00192044">
            <w:pPr>
              <w:pStyle w:val="ListParagraph"/>
              <w:numPr>
                <w:ilvl w:val="0"/>
                <w:numId w:val="80"/>
              </w:numPr>
              <w:spacing w:before="60" w:after="120"/>
              <w:jc w:val="both"/>
              <w:rPr>
                <w:rFonts w:ascii="Times New Roman" w:hAnsi="Times New Roman"/>
                <w:bCs/>
                <w:sz w:val="24"/>
              </w:rPr>
            </w:pPr>
            <w:r>
              <w:rPr>
                <w:rFonts w:ascii="Times New Roman" w:hAnsi="Times New Roman"/>
                <w:sz w:val="24"/>
              </w:rPr>
              <w:t>classées comme expositions sur les banques multilatérales de développement selon l</w:t>
            </w:r>
            <w:r w:rsidR="0057717F">
              <w:rPr>
                <w:rFonts w:ascii="Times New Roman" w:hAnsi="Times New Roman"/>
                <w:sz w:val="24"/>
              </w:rPr>
              <w:t>’</w:t>
            </w:r>
            <w:r>
              <w:rPr>
                <w:rFonts w:ascii="Times New Roman" w:hAnsi="Times New Roman"/>
                <w:sz w:val="24"/>
              </w:rPr>
              <w:t>approche standard;</w:t>
            </w:r>
          </w:p>
          <w:p w14:paraId="3FAF52BD" w14:textId="0C399E26" w:rsidR="00E40751" w:rsidRPr="00192044" w:rsidRDefault="02FD1F9E" w:rsidP="00192044">
            <w:pPr>
              <w:pStyle w:val="ListParagraph"/>
              <w:numPr>
                <w:ilvl w:val="0"/>
                <w:numId w:val="80"/>
              </w:numPr>
              <w:spacing w:before="60" w:after="120"/>
              <w:jc w:val="both"/>
              <w:rPr>
                <w:rFonts w:ascii="Times New Roman" w:hAnsi="Times New Roman"/>
                <w:bCs/>
                <w:sz w:val="24"/>
              </w:rPr>
            </w:pPr>
            <w:r>
              <w:rPr>
                <w:rFonts w:ascii="Times New Roman" w:hAnsi="Times New Roman"/>
                <w:sz w:val="24"/>
              </w:rPr>
              <w:t>classées comme expositions sur les organisations internationales selon l</w:t>
            </w:r>
            <w:r w:rsidR="0057717F">
              <w:rPr>
                <w:rFonts w:ascii="Times New Roman" w:hAnsi="Times New Roman"/>
                <w:sz w:val="24"/>
              </w:rPr>
              <w:t>’</w:t>
            </w:r>
            <w:r>
              <w:rPr>
                <w:rFonts w:ascii="Times New Roman" w:hAnsi="Times New Roman"/>
                <w:sz w:val="24"/>
              </w:rPr>
              <w:t>approche standard;</w:t>
            </w:r>
          </w:p>
          <w:p w14:paraId="112B3885" w14:textId="30739D28" w:rsidR="009662C5" w:rsidRPr="00192044" w:rsidRDefault="009662C5" w:rsidP="00192044">
            <w:pPr>
              <w:pStyle w:val="ListParagraph"/>
              <w:numPr>
                <w:ilvl w:val="0"/>
                <w:numId w:val="80"/>
              </w:numPr>
              <w:spacing w:before="60" w:after="120"/>
              <w:jc w:val="both"/>
              <w:rPr>
                <w:rFonts w:ascii="Times New Roman" w:hAnsi="Times New Roman"/>
                <w:sz w:val="24"/>
              </w:rPr>
            </w:pPr>
            <w:r>
              <w:rPr>
                <w:rFonts w:ascii="Times New Roman" w:hAnsi="Times New Roman"/>
                <w:sz w:val="24"/>
              </w:rPr>
              <w:t>classées comme expositions garanties par un bien immobilier et expositions ADC selon l</w:t>
            </w:r>
            <w:r w:rsidR="0057717F">
              <w:rPr>
                <w:rFonts w:ascii="Times New Roman" w:hAnsi="Times New Roman"/>
                <w:sz w:val="24"/>
              </w:rPr>
              <w:t>’</w:t>
            </w:r>
            <w:r>
              <w:rPr>
                <w:rFonts w:ascii="Times New Roman" w:hAnsi="Times New Roman"/>
                <w:sz w:val="24"/>
              </w:rPr>
              <w:t>approche standard;</w:t>
            </w:r>
          </w:p>
          <w:p w14:paraId="2EFC3839" w14:textId="453FD05B" w:rsidR="009662C5" w:rsidRPr="00192044" w:rsidRDefault="009662C5" w:rsidP="00192044">
            <w:pPr>
              <w:pStyle w:val="ListParagraph"/>
              <w:numPr>
                <w:ilvl w:val="0"/>
                <w:numId w:val="80"/>
              </w:numPr>
              <w:spacing w:before="60" w:after="120"/>
              <w:jc w:val="both"/>
              <w:rPr>
                <w:rFonts w:ascii="Times New Roman" w:hAnsi="Times New Roman"/>
                <w:bCs/>
                <w:sz w:val="24"/>
              </w:rPr>
            </w:pPr>
            <w:r>
              <w:rPr>
                <w:rFonts w:ascii="Times New Roman" w:hAnsi="Times New Roman"/>
                <w:sz w:val="24"/>
              </w:rPr>
              <w:t>classées comme expositions en défaut selon l</w:t>
            </w:r>
            <w:r w:rsidR="0057717F">
              <w:rPr>
                <w:rFonts w:ascii="Times New Roman" w:hAnsi="Times New Roman"/>
                <w:sz w:val="24"/>
              </w:rPr>
              <w:t>’</w:t>
            </w:r>
            <w:r>
              <w:rPr>
                <w:rFonts w:ascii="Times New Roman" w:hAnsi="Times New Roman"/>
                <w:sz w:val="24"/>
              </w:rPr>
              <w:t>approche standard;</w:t>
            </w:r>
          </w:p>
          <w:p w14:paraId="562F01DF" w14:textId="0F845259" w:rsidR="0056332E" w:rsidRPr="00192044" w:rsidRDefault="0056332E" w:rsidP="00192044">
            <w:pPr>
              <w:pStyle w:val="ListParagraph"/>
              <w:numPr>
                <w:ilvl w:val="0"/>
                <w:numId w:val="80"/>
              </w:numPr>
              <w:spacing w:before="60" w:after="120"/>
              <w:jc w:val="both"/>
              <w:rPr>
                <w:rFonts w:ascii="Times New Roman" w:hAnsi="Times New Roman"/>
                <w:bCs/>
                <w:sz w:val="24"/>
              </w:rPr>
            </w:pPr>
            <w:r>
              <w:rPr>
                <w:rFonts w:ascii="Times New Roman" w:hAnsi="Times New Roman"/>
                <w:sz w:val="24"/>
              </w:rPr>
              <w:t>classées comme expositions portant sur des créances de rang subordonné selon l</w:t>
            </w:r>
            <w:r w:rsidR="0057717F">
              <w:rPr>
                <w:rFonts w:ascii="Times New Roman" w:hAnsi="Times New Roman"/>
                <w:sz w:val="24"/>
              </w:rPr>
              <w:t>’</w:t>
            </w:r>
            <w:r>
              <w:rPr>
                <w:rFonts w:ascii="Times New Roman" w:hAnsi="Times New Roman"/>
                <w:sz w:val="24"/>
              </w:rPr>
              <w:t>approche standard;</w:t>
            </w:r>
          </w:p>
          <w:p w14:paraId="78D8C21E" w14:textId="0C39D50D" w:rsidR="0056332E" w:rsidRPr="00192044" w:rsidRDefault="0056332E" w:rsidP="00192044">
            <w:pPr>
              <w:pStyle w:val="ListParagraph"/>
              <w:numPr>
                <w:ilvl w:val="0"/>
                <w:numId w:val="80"/>
              </w:numPr>
              <w:spacing w:before="60" w:after="120"/>
              <w:jc w:val="both"/>
              <w:rPr>
                <w:rFonts w:ascii="Times New Roman" w:hAnsi="Times New Roman"/>
                <w:bCs/>
                <w:sz w:val="24"/>
              </w:rPr>
            </w:pPr>
            <w:r>
              <w:rPr>
                <w:rFonts w:ascii="Times New Roman" w:hAnsi="Times New Roman"/>
                <w:sz w:val="24"/>
              </w:rPr>
              <w:lastRenderedPageBreak/>
              <w:t>classées comme expositions sous forme d</w:t>
            </w:r>
            <w:r w:rsidR="0057717F">
              <w:rPr>
                <w:rFonts w:ascii="Times New Roman" w:hAnsi="Times New Roman"/>
                <w:sz w:val="24"/>
              </w:rPr>
              <w:t>’</w:t>
            </w:r>
            <w:r>
              <w:rPr>
                <w:rFonts w:ascii="Times New Roman" w:hAnsi="Times New Roman"/>
                <w:sz w:val="24"/>
              </w:rPr>
              <w:t>obligations garanties selon l</w:t>
            </w:r>
            <w:r w:rsidR="0057717F">
              <w:rPr>
                <w:rFonts w:ascii="Times New Roman" w:hAnsi="Times New Roman"/>
                <w:sz w:val="24"/>
              </w:rPr>
              <w:t>’</w:t>
            </w:r>
            <w:r>
              <w:rPr>
                <w:rFonts w:ascii="Times New Roman" w:hAnsi="Times New Roman"/>
                <w:sz w:val="24"/>
              </w:rPr>
              <w:t>approche standard; classées comme créances sur des établissements et des entreprises faisant l’objet d’une évaluation du crédit à court terme selon l</w:t>
            </w:r>
            <w:r w:rsidR="0057717F">
              <w:rPr>
                <w:rFonts w:ascii="Times New Roman" w:hAnsi="Times New Roman"/>
                <w:sz w:val="24"/>
              </w:rPr>
              <w:t>’</w:t>
            </w:r>
            <w:r>
              <w:rPr>
                <w:rFonts w:ascii="Times New Roman" w:hAnsi="Times New Roman"/>
                <w:sz w:val="24"/>
              </w:rPr>
              <w:t>approche standard.</w:t>
            </w:r>
          </w:p>
          <w:p w14:paraId="71BDF450" w14:textId="14A02A82" w:rsidR="00700A5A" w:rsidRPr="00232C88" w:rsidRDefault="00700A5A" w:rsidP="00700A5A">
            <w:pPr>
              <w:pStyle w:val="Default"/>
              <w:spacing w:after="120"/>
              <w:jc w:val="both"/>
              <w:rPr>
                <w:rFonts w:ascii="Times New Roman" w:hAnsi="Times New Roman" w:cs="Times New Roman"/>
                <w:color w:val="auto"/>
              </w:rPr>
            </w:pPr>
            <w:r>
              <w:rPr>
                <w:rFonts w:ascii="Times New Roman" w:hAnsi="Times New Roman"/>
                <w:color w:val="auto"/>
              </w:rPr>
              <w:t>Pour la catégorie d</w:t>
            </w:r>
            <w:r w:rsidR="0057717F">
              <w:rPr>
                <w:rFonts w:ascii="Times New Roman" w:hAnsi="Times New Roman"/>
                <w:color w:val="auto"/>
              </w:rPr>
              <w:t>’</w:t>
            </w:r>
            <w:r>
              <w:rPr>
                <w:rFonts w:ascii="Times New Roman" w:hAnsi="Times New Roman"/>
                <w:color w:val="auto"/>
              </w:rPr>
              <w:t>expositions «entreprises», les établissements indiquent également les sous-totaux pour les expositions relevant de l</w:t>
            </w:r>
            <w:r w:rsidR="0057717F">
              <w:rPr>
                <w:rFonts w:ascii="Times New Roman" w:hAnsi="Times New Roman"/>
                <w:color w:val="auto"/>
              </w:rPr>
              <w:t>’</w:t>
            </w:r>
            <w:r>
              <w:rPr>
                <w:rFonts w:ascii="Times New Roman" w:hAnsi="Times New Roman"/>
                <w:color w:val="auto"/>
              </w:rPr>
              <w:t>approche NI simple (F-IRB) et pour les expositions relevant de l</w:t>
            </w:r>
            <w:r w:rsidR="0057717F">
              <w:rPr>
                <w:rFonts w:ascii="Times New Roman" w:hAnsi="Times New Roman"/>
                <w:color w:val="auto"/>
              </w:rPr>
              <w:t>’</w:t>
            </w:r>
            <w:r>
              <w:rPr>
                <w:rFonts w:ascii="Times New Roman" w:hAnsi="Times New Roman"/>
                <w:color w:val="auto"/>
              </w:rPr>
              <w:t>approche NI avancée (A-IRB) aux lignes 5.1 et 5.2 de ce modèle.</w:t>
            </w:r>
          </w:p>
          <w:p w14:paraId="2F3C330C" w14:textId="035E3BD8" w:rsidR="00D67004" w:rsidRPr="00232C88" w:rsidRDefault="00D67004" w:rsidP="00700A5A">
            <w:pPr>
              <w:pStyle w:val="Default"/>
              <w:spacing w:after="120"/>
              <w:jc w:val="both"/>
              <w:rPr>
                <w:rFonts w:ascii="Times New Roman" w:hAnsi="Times New Roman" w:cs="Times New Roman"/>
                <w:color w:val="auto"/>
              </w:rPr>
            </w:pPr>
            <w:r>
              <w:rPr>
                <w:rFonts w:ascii="Times New Roman" w:hAnsi="Times New Roman"/>
                <w:color w:val="auto"/>
              </w:rPr>
              <w:t>Les lignes 4 et 7 sont sans objet dans l</w:t>
            </w:r>
            <w:r w:rsidR="0057717F">
              <w:rPr>
                <w:rFonts w:ascii="Times New Roman" w:hAnsi="Times New Roman"/>
                <w:color w:val="auto"/>
              </w:rPr>
              <w:t>’</w:t>
            </w:r>
            <w:r>
              <w:rPr>
                <w:rFonts w:ascii="Times New Roman" w:hAnsi="Times New Roman"/>
                <w:color w:val="auto"/>
              </w:rPr>
              <w:t>UE.</w:t>
            </w:r>
          </w:p>
          <w:p w14:paraId="3EB1EAD4" w14:textId="23C9EAA3" w:rsidR="00351A65" w:rsidRPr="00232C88" w:rsidRDefault="00E577AC" w:rsidP="00AD7048">
            <w:pPr>
              <w:pStyle w:val="Default"/>
              <w:spacing w:after="120"/>
              <w:jc w:val="both"/>
              <w:rPr>
                <w:rFonts w:ascii="Times New Roman" w:hAnsi="Times New Roman" w:cs="Times New Roman"/>
                <w:color w:val="auto"/>
              </w:rPr>
            </w:pPr>
            <w:r>
              <w:rPr>
                <w:rFonts w:ascii="Times New Roman" w:hAnsi="Times New Roman"/>
                <w:color w:val="auto"/>
              </w:rPr>
              <w:t>À la ligne 8 «Autres», les établissements déclarent les expositions classées dans la catégorie d</w:t>
            </w:r>
            <w:r w:rsidR="0057717F">
              <w:rPr>
                <w:rFonts w:ascii="Times New Roman" w:hAnsi="Times New Roman"/>
                <w:color w:val="auto"/>
              </w:rPr>
              <w:t>’</w:t>
            </w:r>
            <w:r>
              <w:rPr>
                <w:rFonts w:ascii="Times New Roman" w:hAnsi="Times New Roman"/>
                <w:color w:val="auto"/>
              </w:rPr>
              <w:t>expositions NI «actifs autres que des obligations de crédit» ainsi que les expositions NI qui auraient été classées selon l</w:t>
            </w:r>
            <w:r w:rsidR="0057717F">
              <w:rPr>
                <w:rFonts w:ascii="Times New Roman" w:hAnsi="Times New Roman"/>
                <w:color w:val="auto"/>
              </w:rPr>
              <w:t>’</w:t>
            </w:r>
            <w:r>
              <w:rPr>
                <w:rFonts w:ascii="Times New Roman" w:hAnsi="Times New Roman"/>
                <w:color w:val="auto"/>
              </w:rPr>
              <w:t>approche standard dans la catégorie d</w:t>
            </w:r>
            <w:r w:rsidR="0057717F">
              <w:rPr>
                <w:rFonts w:ascii="Times New Roman" w:hAnsi="Times New Roman"/>
                <w:color w:val="auto"/>
              </w:rPr>
              <w:t>’</w:t>
            </w:r>
            <w:r>
              <w:rPr>
                <w:rFonts w:ascii="Times New Roman" w:hAnsi="Times New Roman"/>
                <w:color w:val="auto"/>
              </w:rPr>
              <w:t>expositions «autres éléments».</w:t>
            </w:r>
          </w:p>
        </w:tc>
      </w:tr>
      <w:tr w:rsidR="00232C88" w:rsidRPr="004A7312" w14:paraId="7F77F0D9" w14:textId="77777777" w:rsidTr="4D769726">
        <w:trPr>
          <w:trHeight w:val="557"/>
        </w:trPr>
        <w:tc>
          <w:tcPr>
            <w:tcW w:w="1384" w:type="dxa"/>
          </w:tcPr>
          <w:p w14:paraId="5E733F55" w14:textId="375FAD05" w:rsidR="00351A65" w:rsidRPr="00232C88" w:rsidRDefault="00351A65" w:rsidP="00351A65">
            <w:pPr>
              <w:pStyle w:val="Applicationdirecte"/>
              <w:spacing w:before="60"/>
              <w:jc w:val="center"/>
            </w:pPr>
            <w:r>
              <w:lastRenderedPageBreak/>
              <w:t>9</w:t>
            </w:r>
          </w:p>
        </w:tc>
        <w:tc>
          <w:tcPr>
            <w:tcW w:w="7655" w:type="dxa"/>
          </w:tcPr>
          <w:p w14:paraId="7CC614BA" w14:textId="77777777" w:rsidR="00351A65" w:rsidRPr="00232C88" w:rsidRDefault="00254EDB" w:rsidP="00351A65">
            <w:pPr>
              <w:spacing w:before="60" w:after="120"/>
              <w:jc w:val="both"/>
              <w:rPr>
                <w:rFonts w:ascii="Times New Roman" w:hAnsi="Times New Roman" w:cs="Times New Roman"/>
                <w:b/>
                <w:sz w:val="24"/>
              </w:rPr>
            </w:pPr>
            <w:r>
              <w:rPr>
                <w:rFonts w:ascii="Times New Roman" w:hAnsi="Times New Roman"/>
                <w:b/>
                <w:sz w:val="24"/>
              </w:rPr>
              <w:t>Total</w:t>
            </w:r>
          </w:p>
          <w:p w14:paraId="06517EBE" w14:textId="5F936741" w:rsidR="00351A65" w:rsidRPr="00232C88" w:rsidRDefault="00112469" w:rsidP="49BB7348">
            <w:pPr>
              <w:spacing w:before="60" w:after="120"/>
              <w:jc w:val="both"/>
              <w:rPr>
                <w:rFonts w:ascii="Times New Roman" w:hAnsi="Times New Roman" w:cs="Times New Roman"/>
                <w:b/>
                <w:bCs/>
                <w:sz w:val="24"/>
              </w:rPr>
            </w:pPr>
            <w:r>
              <w:rPr>
                <w:rFonts w:ascii="Times New Roman" w:hAnsi="Times New Roman"/>
                <w:sz w:val="24"/>
              </w:rPr>
              <w:t>Somme des lignes 1, EU1a, EU1b, EU1c, EU1d, 2, 3, 5, 6, EU7a, EU 7b, EU7c, EU7d, EU7e, EU7f, 8.</w:t>
            </w:r>
          </w:p>
        </w:tc>
      </w:tr>
    </w:tbl>
    <w:p w14:paraId="08B5F67F" w14:textId="77777777" w:rsidR="00AF3FBC" w:rsidRPr="00232C88" w:rsidRDefault="00AF3FBC" w:rsidP="00254EDB">
      <w:pPr>
        <w:pStyle w:val="Titlelevel2"/>
        <w:spacing w:before="120" w:after="120"/>
        <w:ind w:left="66"/>
        <w:rPr>
          <w:rFonts w:ascii="Times New Roman" w:hAnsi="Times New Roman" w:cs="Times New Roman"/>
          <w:color w:val="auto"/>
          <w:sz w:val="24"/>
        </w:rPr>
      </w:pPr>
    </w:p>
    <w:p w14:paraId="6BCCF525" w14:textId="77777777" w:rsidR="0090729F" w:rsidRPr="00232C88" w:rsidRDefault="0090729F" w:rsidP="0090729F">
      <w:pPr>
        <w:rPr>
          <w:rFonts w:ascii="Times New Roman" w:hAnsi="Times New Roman" w:cs="Times New Roman"/>
        </w:rPr>
      </w:pPr>
    </w:p>
    <w:p w14:paraId="0A9DE347" w14:textId="77777777" w:rsidR="0090729F" w:rsidRPr="00232C88" w:rsidRDefault="0090729F" w:rsidP="00254EDB">
      <w:pPr>
        <w:pStyle w:val="Titlelevel2"/>
        <w:spacing w:before="120" w:after="120"/>
        <w:ind w:left="66"/>
        <w:rPr>
          <w:rFonts w:ascii="Times New Roman" w:hAnsi="Times New Roman" w:cs="Times New Roman"/>
          <w:color w:val="auto"/>
          <w:sz w:val="24"/>
        </w:rPr>
      </w:pPr>
    </w:p>
    <w:p w14:paraId="0174B7B3" w14:textId="2F8D5C1D" w:rsidR="00DC2C46" w:rsidRPr="00232C88" w:rsidRDefault="00DC2C46" w:rsidP="00DC2C46">
      <w:pPr>
        <w:rPr>
          <w:rFonts w:ascii="Times New Roman" w:hAnsi="Times New Roman" w:cs="Times New Roman"/>
          <w:b/>
          <w:sz w:val="24"/>
        </w:rPr>
      </w:pPr>
    </w:p>
    <w:sectPr w:rsidR="00DC2C46" w:rsidRPr="00232C88" w:rsidSect="00155C96">
      <w:headerReference w:type="even" r:id="rId8"/>
      <w:headerReference w:type="default" r:id="rId9"/>
      <w:footerReference w:type="even" r:id="rId10"/>
      <w:footerReference w:type="default" r:id="rId11"/>
      <w:headerReference w:type="first" r:id="rId12"/>
      <w:pgSz w:w="11900" w:h="16840"/>
      <w:pgMar w:top="2268" w:right="1418" w:bottom="1134" w:left="1701" w:header="709" w:footer="709" w:gutter="0"/>
      <w:pgNumType w:start="1" w:chapStyle="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D8930C" w14:textId="77777777" w:rsidR="0021137D" w:rsidRDefault="0021137D" w:rsidP="00A00E34">
      <w:r>
        <w:separator/>
      </w:r>
    </w:p>
    <w:p w14:paraId="2D8E0CE6" w14:textId="77777777" w:rsidR="0021137D" w:rsidRDefault="0021137D"/>
  </w:endnote>
  <w:endnote w:type="continuationSeparator" w:id="0">
    <w:p w14:paraId="190EE95B" w14:textId="77777777" w:rsidR="0021137D" w:rsidRDefault="0021137D" w:rsidP="00A00E34">
      <w:r>
        <w:continuationSeparator/>
      </w:r>
    </w:p>
    <w:p w14:paraId="6C1B14C8" w14:textId="77777777" w:rsidR="0021137D" w:rsidRDefault="0021137D"/>
  </w:endnote>
  <w:endnote w:type="continuationNotice" w:id="1">
    <w:p w14:paraId="25A095AC" w14:textId="77777777" w:rsidR="0021137D" w:rsidRDefault="002113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ucida Grande">
    <w:altName w:val="Times New Roman"/>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8488C" w14:textId="77777777" w:rsidR="00254EDB" w:rsidRDefault="00254EDB"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443F07D" w14:textId="77777777" w:rsidR="00254EDB" w:rsidRDefault="00254EDB" w:rsidP="0061030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DB03D" w14:textId="6C2D0F64" w:rsidR="00254EDB" w:rsidRDefault="00254EDB"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F741C">
      <w:rPr>
        <w:rStyle w:val="PageNumber"/>
      </w:rPr>
      <w:t>1</w:t>
    </w:r>
    <w:r>
      <w:rPr>
        <w:rStyle w:val="PageNumber"/>
      </w:rPr>
      <w:fldChar w:fldCharType="end"/>
    </w:r>
  </w:p>
  <w:p w14:paraId="1ADEF20C" w14:textId="2F6876BD" w:rsidR="00254EDB" w:rsidRDefault="00254EDB" w:rsidP="00155C96">
    <w:pPr>
      <w:pStyle w:val="Footer"/>
      <w:tabs>
        <w:tab w:val="clear" w:pos="4320"/>
        <w:tab w:val="clear" w:pos="8640"/>
        <w:tab w:val="left" w:pos="1093"/>
      </w:tabs>
      <w:ind w:right="360"/>
    </w:pPr>
    <w:r>
      <w:rPr>
        <w:noProof/>
      </w:rPr>
      <mc:AlternateContent>
        <mc:Choice Requires="wps">
          <w:drawing>
            <wp:anchor distT="4294967295" distB="4294967295" distL="114300" distR="114300" simplePos="0" relativeHeight="251658240" behindDoc="1" locked="1" layoutInCell="1" allowOverlap="1" wp14:anchorId="359B04A0" wp14:editId="170D2E6B">
              <wp:simplePos x="0" y="0"/>
              <wp:positionH relativeFrom="column">
                <wp:posOffset>-71120</wp:posOffset>
              </wp:positionH>
              <wp:positionV relativeFrom="page">
                <wp:posOffset>9973309</wp:posOffset>
              </wp:positionV>
              <wp:extent cx="5723890" cy="0"/>
              <wp:effectExtent l="0" t="0" r="10160" b="1905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arto="http://schemas.microsoft.com/office/word/2006/arto" xmlns:o="urn:schemas-microsoft-com:office:office" xmlns:v="urn:schemas-microsoft-com:vml" xmlns:w10="urn:schemas-microsoft-com:office:word" xmlns:w="http://schemas.openxmlformats.org/wordprocessingml/2006/main" xmlns:ma14="http://schemas.microsoft.com/office/mac/drawingml/2011/main" xmlns=""/>
                        </a:ext>
                        <a:ext uri="{C572A759-6A51-4108-AA02-DFA0A04FC94B}">
                          <ma14:wrappingTextBoxFlag xmlns:arto="http://schemas.microsoft.com/office/word/2006/arto" xmlns:o="urn:schemas-microsoft-com:office:office" xmlns:v="urn:schemas-microsoft-com:vml" xmlns:w10="urn:schemas-microsoft-com:office:word" xmlns:w="http://schemas.openxmlformats.org/wordprocessingml/2006/main" xmlns:ma14="http://schemas.microsoft.com/office/mac/drawingml/2011/main" xmlns=""/>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ma14="http://schemas.microsoft.com/office/mac/drawingml/2011/main" xmlns:w16du="http://schemas.microsoft.com/office/word/2023/wordml/word16du">
          <w:pict>
            <v:line id="Straight Connector 10"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o:spid="_x0000_s1026" strokecolor="#2f5773 [3204]" strokeweight="1pt" from="-5.6pt,785.3pt" to="445.1pt,785.3pt" w14:anchorId="3987137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">
              <o:lock v:ext="edit" shapetype="f"/>
              <w10:wrap anchory="page"/>
              <w10:anchorlock/>
            </v:line>
          </w:pict>
        </mc:Fallback>
      </mc:AlternateContent>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9C19EA" w14:textId="77777777" w:rsidR="0021137D" w:rsidRPr="00DB5E8F" w:rsidRDefault="0021137D">
      <w:pPr>
        <w:rPr>
          <w:sz w:val="12"/>
          <w:szCs w:val="12"/>
        </w:rPr>
      </w:pPr>
      <w:r w:rsidRPr="00DB5E8F">
        <w:rPr>
          <w:sz w:val="12"/>
          <w:szCs w:val="12"/>
        </w:rPr>
        <w:separator/>
      </w:r>
    </w:p>
  </w:footnote>
  <w:footnote w:type="continuationSeparator" w:id="0">
    <w:p w14:paraId="7D3C1AAA" w14:textId="77777777" w:rsidR="0021137D" w:rsidRDefault="0021137D" w:rsidP="00A00E34">
      <w:r>
        <w:continuationSeparator/>
      </w:r>
    </w:p>
    <w:p w14:paraId="05D7EA3E" w14:textId="77777777" w:rsidR="0021137D" w:rsidRDefault="0021137D"/>
  </w:footnote>
  <w:footnote w:type="continuationNotice" w:id="1">
    <w:p w14:paraId="47C7EB89" w14:textId="77777777" w:rsidR="0021137D" w:rsidRDefault="0021137D"/>
  </w:footnote>
  <w:footnote w:id="2">
    <w:p w14:paraId="262BD994" w14:textId="7613435C" w:rsidR="00254EDB" w:rsidRPr="00346640" w:rsidRDefault="00254EDB" w:rsidP="004B070F">
      <w:pPr>
        <w:pStyle w:val="FootnoteText"/>
        <w:rPr>
          <w:rFonts w:eastAsia="Calibri"/>
        </w:rPr>
      </w:pPr>
      <w:r>
        <w:rPr>
          <w:rStyle w:val="FootnoteReference"/>
          <w:rFonts w:cstheme="minorHAnsi"/>
          <w:sz w:val="18"/>
        </w:rPr>
        <w:footnoteRef/>
      </w:r>
      <w:r>
        <w:t xml:space="preserve"> </w:t>
      </w:r>
      <w:r>
        <w:tab/>
        <w:t xml:space="preserve">Règlement (UE) nº 575/2013 du Parlement européen et du Conseil du 26 juin 2013 concernant les exigences prudentielles applicables aux établissements de crédit et modifiant le règlement (UE) nº 648/2012, tel que modifié par le règlement (UE) 2024/1623 </w:t>
      </w:r>
      <w:r>
        <w:rPr>
          <w:color w:val="444444"/>
        </w:rPr>
        <w:t>[</w:t>
      </w:r>
      <w:hyperlink r:id="rId1" w:history="1">
        <w:r>
          <w:rPr>
            <w:color w:val="800080"/>
            <w:u w:val="single"/>
          </w:rPr>
          <w:t>JO L 176 du 27.6.2013, p. 1</w:t>
        </w:r>
      </w:hyperlink>
      <w:r>
        <w:rPr>
          <w:color w:val="800080"/>
          <w:u w:val="single"/>
        </w:rPr>
        <w:t xml:space="preserve">; </w:t>
      </w:r>
      <w:hyperlink r:id="rId2" w:history="1">
        <w:r>
          <w:rPr>
            <w:rStyle w:val="Hyperlink"/>
          </w:rPr>
          <w:t>Règlement - UE - 2024/1623 - FR - EUR-Lex (europa.eu)</w:t>
        </w:r>
      </w:hyperlink>
      <w:r>
        <w:rPr>
          <w:color w:val="444444"/>
        </w:rPr>
        <w:t>]</w:t>
      </w:r>
      <w:r>
        <w:t>.</w:t>
      </w:r>
    </w:p>
  </w:footnote>
  <w:footnote w:id="3">
    <w:p w14:paraId="65DAF6E3" w14:textId="5241BF60" w:rsidR="00254EDB" w:rsidRPr="00222AAB" w:rsidRDefault="00254EDB" w:rsidP="004B070F">
      <w:pPr>
        <w:pStyle w:val="FootnoteText"/>
      </w:pPr>
      <w:r>
        <w:rPr>
          <w:rStyle w:val="FootnoteReference"/>
          <w:rFonts w:cstheme="minorHAnsi"/>
          <w:sz w:val="18"/>
        </w:rPr>
        <w:footnoteRef/>
      </w:r>
      <w:r>
        <w:t>Orientations ABE/GL/2018/03 de l’Autorité bancaire européenne du 19 juillet 2018 sur les procédures et méthodologies communes révisées dans le cadre du processus de contrôle et d’évaluation prudentiels (SREP) et des tests de résistance prudentiels.</w:t>
      </w:r>
    </w:p>
  </w:footnote>
  <w:footnote w:id="4">
    <w:p w14:paraId="6EEE1EF0" w14:textId="468CF1D3" w:rsidR="00254EDB" w:rsidRPr="00222AAB" w:rsidRDefault="00254EDB" w:rsidP="004B070F">
      <w:pPr>
        <w:pStyle w:val="FootnoteText"/>
      </w:pPr>
      <w:r>
        <w:rPr>
          <w:rStyle w:val="FootnoteReference"/>
          <w:rFonts w:cstheme="minorHAnsi"/>
          <w:sz w:val="18"/>
        </w:rPr>
        <w:footnoteRef/>
      </w:r>
      <w:r>
        <w:t xml:space="preserve"> Règlement délégué (UE) 2015/61 de la Commission du 10 octobre 2014 complétant le règlement (UE) nº 575/2013 du Parlement européen et du Conseil en ce qui concerne l’exigence de couverture des besoins de liquidité pour les établissements de crédit (JO L 11 du 17.1.2015, p. 1).</w:t>
      </w:r>
    </w:p>
  </w:footnote>
  <w:footnote w:id="5">
    <w:p w14:paraId="2A17ED68" w14:textId="5745B56A" w:rsidR="00254EDB" w:rsidRPr="00222AAB" w:rsidRDefault="00254EDB" w:rsidP="004B070F">
      <w:pPr>
        <w:pStyle w:val="FootnoteText"/>
      </w:pPr>
      <w:r>
        <w:rPr>
          <w:rStyle w:val="FootnoteReference"/>
          <w:rFonts w:cstheme="minorHAnsi"/>
          <w:sz w:val="18"/>
        </w:rPr>
        <w:footnoteRef/>
      </w:r>
      <w:r>
        <w:t xml:space="preserve"> Directive 2002/87/CE du Parlement européen et du Conseil du 16 décembre 2002 relative à la surveillance complémentaire des établissements de crédit, des entreprises d’assurance et des entreprises d’investissement appartenant à un conglomérat financier, et modifiant les directives 73/239/CEE, 79/267/CEE, 92/49/CEE, 92/96/CEE, 93/6/CEE et 93/22/CEE du Conseil et les directives 98/78/CE et 2000/12/CE du Parlement européen et du Conseil (JO L 35 du 11.2.2003, 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91064" w14:textId="7F521004" w:rsidR="00254EDB" w:rsidRDefault="00254EDB">
    <w:r>
      <w:rPr>
        <w:noProof/>
      </w:rPr>
      <mc:AlternateContent>
        <mc:Choice Requires="wps">
          <w:drawing>
            <wp:anchor distT="0" distB="0" distL="0" distR="0" simplePos="0" relativeHeight="251658242" behindDoc="0" locked="0" layoutInCell="1" allowOverlap="1" wp14:anchorId="0A3D713A" wp14:editId="56E35EDE">
              <wp:simplePos x="635" y="635"/>
              <wp:positionH relativeFrom="page">
                <wp:align>left</wp:align>
              </wp:positionH>
              <wp:positionV relativeFrom="page">
                <wp:align>top</wp:align>
              </wp:positionV>
              <wp:extent cx="443865" cy="443865"/>
              <wp:effectExtent l="0" t="0" r="3175" b="9525"/>
              <wp:wrapNone/>
              <wp:docPr id="2" name="Text Box 2" descr="À l’usage ordinaire de 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67F3083" w14:textId="1874E0DE" w:rsidR="00254EDB" w:rsidRPr="006411EB" w:rsidRDefault="00254EDB" w:rsidP="006411EB">
                          <w:pPr>
                            <w:rPr>
                              <w:rFonts w:ascii="Calibri" w:eastAsia="Calibri" w:hAnsi="Calibri" w:cs="Calibri"/>
                              <w:noProof/>
                              <w:color w:val="000000"/>
                              <w:sz w:val="24"/>
                            </w:rPr>
                          </w:pPr>
                          <w:r>
                            <w:rPr>
                              <w:rFonts w:ascii="Calibri" w:hAnsi="Calibri"/>
                              <w:color w:val="000000"/>
                              <w:sz w:val="24"/>
                            </w:rPr>
                            <w:t>À l’usage ordinaire de 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A3D713A" id="_x0000_t202" coordsize="21600,21600" o:spt="202" path="m,l,21600r21600,l21600,xe">
              <v:stroke joinstyle="miter"/>
              <v:path gradientshapeok="t" o:connecttype="rect"/>
            </v:shapetype>
            <v:shape id="Text Box 2" o:spid="_x0000_s1026" type="#_x0000_t202" alt="Title:  - Description: À l’usage ordinaire de l’ABE" style="position:absolute;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467F3083" w14:textId="1874E0DE" w:rsidR="00254EDB" w:rsidRPr="006411EB" w:rsidRDefault="00254EDB" w:rsidP="006411EB">
                    <w:pPr>
                      <w:rPr>
                        <w:noProof/>
                        <w:color w:val="000000"/>
                        <w:sz w:val="24"/>
                        <w:rFonts w:ascii="Calibri" w:eastAsia="Calibri" w:hAnsi="Calibri" w:cs="Calibri"/>
                      </w:rPr>
                    </w:pPr>
                    <w:r>
                      <w:rPr>
                        <w:color w:val="000000"/>
                        <w:sz w:val="24"/>
                        <w:rFonts w:ascii="Calibri" w:hAnsi="Calibri"/>
                      </w:rPr>
                      <w:t xml:space="preserve">À l’usage ordinaire de l’ABE</w:t>
                    </w:r>
                  </w:p>
                </w:txbxContent>
              </v:textbox>
              <w10:wrap anchorx="page" anchory="page"/>
            </v:shape>
          </w:pict>
        </mc:Fallback>
      </mc:AlternateContent>
    </w:r>
    <w:sdt>
      <w:sdtPr>
        <w:id w:val="-1905980668"/>
        <w:temporary/>
        <w:showingPlcHdr/>
      </w:sdtPr>
      <w:sdtEndPr/>
      <w:sdtContent>
        <w:r>
          <w:t>[Insérer texte]</w:t>
        </w:r>
      </w:sdtContent>
    </w:sdt>
    <w:r>
      <w:ptab w:relativeTo="margin" w:alignment="center" w:leader="none"/>
    </w:r>
    <w:sdt>
      <w:sdtPr>
        <w:id w:val="-476227318"/>
        <w:temporary/>
        <w:showingPlcHdr/>
      </w:sdtPr>
      <w:sdtEndPr/>
      <w:sdtContent>
        <w:r>
          <w:t>[Insérer texte]</w:t>
        </w:r>
      </w:sdtContent>
    </w:sdt>
    <w:r>
      <w:ptab w:relativeTo="margin" w:alignment="right" w:leader="none"/>
    </w:r>
    <w:sdt>
      <w:sdtPr>
        <w:id w:val="807362839"/>
        <w:temporary/>
        <w:showingPlcHdr/>
      </w:sdtPr>
      <w:sdtEndPr/>
      <w:sdtContent>
        <w:r>
          <w:t>[Insérer texte]</w:t>
        </w:r>
      </w:sdtContent>
    </w:sdt>
  </w:p>
  <w:p w14:paraId="3846A006" w14:textId="77777777" w:rsidR="00254EDB" w:rsidRDefault="00254ED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7A80E" w14:textId="1630B4FC" w:rsidR="00254EDB" w:rsidRDefault="00254EDB">
    <w:pPr>
      <w:pStyle w:val="Header"/>
    </w:pPr>
    <w:r>
      <w:rPr>
        <w:noProof/>
      </w:rPr>
      <mc:AlternateContent>
        <mc:Choice Requires="wps">
          <w:drawing>
            <wp:anchor distT="0" distB="0" distL="0" distR="0" simplePos="0" relativeHeight="251658243" behindDoc="0" locked="0" layoutInCell="1" allowOverlap="1" wp14:anchorId="70AB268C" wp14:editId="659BD2B4">
              <wp:simplePos x="635" y="635"/>
              <wp:positionH relativeFrom="page">
                <wp:align>left</wp:align>
              </wp:positionH>
              <wp:positionV relativeFrom="page">
                <wp:align>top</wp:align>
              </wp:positionV>
              <wp:extent cx="443865" cy="443865"/>
              <wp:effectExtent l="0" t="0" r="3175" b="9525"/>
              <wp:wrapNone/>
              <wp:docPr id="4" name="Text Box 4" descr="À l’usage ordinaire de 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0DE414A" w14:textId="197B9E22" w:rsidR="00254EDB" w:rsidRPr="006411EB" w:rsidRDefault="00254EDB" w:rsidP="006411EB">
                          <w:pPr>
                            <w:rPr>
                              <w:rFonts w:ascii="Calibri" w:eastAsia="Calibri" w:hAnsi="Calibri" w:cs="Calibri"/>
                              <w:noProof/>
                              <w:color w:val="000000"/>
                              <w:sz w:val="24"/>
                            </w:rPr>
                          </w:pPr>
                          <w:r>
                            <w:rPr>
                              <w:rFonts w:ascii="Calibri" w:hAnsi="Calibri"/>
                              <w:color w:val="000000"/>
                              <w:sz w:val="24"/>
                            </w:rPr>
                            <w:t>À l’usage ordinaire de 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0AB268C" id="_x0000_t202" coordsize="21600,21600" o:spt="202" path="m,l,21600r21600,l21600,xe">
              <v:stroke joinstyle="miter"/>
              <v:path gradientshapeok="t" o:connecttype="rect"/>
            </v:shapetype>
            <v:shape id="Text Box 4" o:spid="_x0000_s1027" type="#_x0000_t202" alt="Title:  - Description: À l’usage ordinaire de l’ABE" style="position:absolute;margin-left:0;margin-top:0;width:34.95pt;height:34.95pt;z-index:251658243;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70DE414A" w14:textId="197B9E22" w:rsidR="00254EDB" w:rsidRPr="006411EB" w:rsidRDefault="00254EDB" w:rsidP="006411EB">
                    <w:pPr>
                      <w:rPr>
                        <w:noProof/>
                        <w:color w:val="000000"/>
                        <w:sz w:val="24"/>
                        <w:rFonts w:ascii="Calibri" w:eastAsia="Calibri" w:hAnsi="Calibri" w:cs="Calibri"/>
                      </w:rPr>
                    </w:pPr>
                    <w:r>
                      <w:rPr>
                        <w:color w:val="000000"/>
                        <w:sz w:val="24"/>
                        <w:rFonts w:ascii="Calibri" w:hAnsi="Calibri"/>
                      </w:rPr>
                      <w:t xml:space="preserve">À l’usage ordinaire de l’ABE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DC0F8" w14:textId="16D1A1B7" w:rsidR="00254EDB" w:rsidRDefault="00254EDB" w:rsidP="00E677EF">
    <w:pPr>
      <w:pStyle w:val="Runningtitle"/>
    </w:pPr>
    <w:r>
      <w:rPr>
        <w:noProof/>
      </w:rPr>
      <mc:AlternateContent>
        <mc:Choice Requires="wps">
          <w:drawing>
            <wp:anchor distT="0" distB="0" distL="0" distR="0" simplePos="0" relativeHeight="251658241" behindDoc="0" locked="0" layoutInCell="1" allowOverlap="1" wp14:anchorId="0335A966" wp14:editId="49888EB9">
              <wp:simplePos x="635" y="635"/>
              <wp:positionH relativeFrom="page">
                <wp:align>left</wp:align>
              </wp:positionH>
              <wp:positionV relativeFrom="page">
                <wp:align>top</wp:align>
              </wp:positionV>
              <wp:extent cx="443865" cy="443865"/>
              <wp:effectExtent l="0" t="0" r="3175" b="9525"/>
              <wp:wrapNone/>
              <wp:docPr id="1" name="Text Box 1" descr="À l’usage ordinaire de 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643CD0C" w14:textId="321E2545" w:rsidR="00254EDB" w:rsidRPr="006411EB" w:rsidRDefault="00254EDB" w:rsidP="006411EB">
                          <w:pPr>
                            <w:rPr>
                              <w:rFonts w:ascii="Calibri" w:eastAsia="Calibri" w:hAnsi="Calibri" w:cs="Calibri"/>
                              <w:noProof/>
                              <w:color w:val="000000"/>
                              <w:sz w:val="24"/>
                            </w:rPr>
                          </w:pPr>
                          <w:r>
                            <w:rPr>
                              <w:rFonts w:ascii="Calibri" w:hAnsi="Calibri"/>
                              <w:color w:val="000000"/>
                              <w:sz w:val="24"/>
                            </w:rPr>
                            <w:t>À l’usage ordinaire de 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335A966" id="_x0000_t202" coordsize="21600,21600" o:spt="202" path="m,l,21600r21600,l21600,xe">
              <v:stroke joinstyle="miter"/>
              <v:path gradientshapeok="t" o:connecttype="rect"/>
            </v:shapetype>
            <v:shape id="Text Box 1" o:spid="_x0000_s1028" type="#_x0000_t202" alt="Title:  - Description: À l’usage ordinaire de l’ABE" style="position:absolute;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643CD0C" w14:textId="321E2545" w:rsidR="00254EDB" w:rsidRPr="006411EB" w:rsidRDefault="00254EDB" w:rsidP="006411EB">
                    <w:pPr>
                      <w:rPr>
                        <w:noProof/>
                        <w:color w:val="000000"/>
                        <w:sz w:val="24"/>
                        <w:rFonts w:ascii="Calibri" w:eastAsia="Calibri" w:hAnsi="Calibri" w:cs="Calibri"/>
                      </w:rPr>
                    </w:pPr>
                    <w:r>
                      <w:rPr>
                        <w:color w:val="000000"/>
                        <w:sz w:val="24"/>
                        <w:rFonts w:ascii="Calibri" w:hAnsi="Calibri"/>
                      </w:rPr>
                      <w:t xml:space="preserve">À l’usage ordinaire de l’ABE</w:t>
                    </w:r>
                  </w:p>
                </w:txbxContent>
              </v:textbox>
              <w10:wrap anchorx="page" anchory="page"/>
            </v:shape>
          </w:pict>
        </mc:Fallback>
      </mc:AlternateContent>
    </w:r>
    <w:r>
      <w:t>Le titre courant apparaît ici dans le style de titre courant</w:t>
    </w:r>
    <w:r>
      <w:rPr>
        <w:noProof/>
      </w:rPr>
      <w:drawing>
        <wp:anchor distT="0" distB="0" distL="114300" distR="114300" simplePos="0" relativeHeight="251658244" behindDoc="1" locked="1" layoutInCell="1" allowOverlap="0" wp14:anchorId="2996C648" wp14:editId="18418F86">
          <wp:simplePos x="0" y="0"/>
          <wp:positionH relativeFrom="page">
            <wp:posOffset>4702175</wp:posOffset>
          </wp:positionH>
          <wp:positionV relativeFrom="page">
            <wp:posOffset>450215</wp:posOffset>
          </wp:positionV>
          <wp:extent cx="1941830" cy="71945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A-logo-full-colour.png"/>
                  <pic:cNvPicPr/>
                </pic:nvPicPr>
                <pic:blipFill>
                  <a:blip r:embed="rId1">
                    <a:extLst>
                      <a:ext uri="{28A0092B-C50C-407E-A947-70E740481C1C}">
                        <a14:useLocalDpi xmlns:a14="http://schemas.microsoft.com/office/drawing/2010/main" val="0"/>
                      </a:ext>
                    </a:extLst>
                  </a:blip>
                  <a:stretch>
                    <a:fillRect/>
                  </a:stretch>
                </pic:blipFill>
                <pic:spPr>
                  <a:xfrm>
                    <a:off x="0" y="0"/>
                    <a:ext cx="1941830" cy="719455"/>
                  </a:xfrm>
                  <a:prstGeom prst="rect">
                    <a:avLst/>
                  </a:prstGeom>
                  <a:extLst>
                    <a:ext uri="{FAA26D3D-D897-4be2-8F04-BA451C77F1D7}">
                      <ma14:placeholderFlag xmlns:aclsh="http://schemas.microsoft.com/office/drawing/2020/classificationShape"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ve="http://schemas.openxmlformats.org/markup-compatibility/2006" xmlns:a14="http://schemas.microsoft.com/office/drawing/2010/main" val="1"/>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D6980482"/>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0F860DA"/>
    <w:multiLevelType w:val="hybridMultilevel"/>
    <w:tmpl w:val="C55009F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206619D"/>
    <w:multiLevelType w:val="hybridMultilevel"/>
    <w:tmpl w:val="2BD055A6"/>
    <w:lvl w:ilvl="0" w:tplc="2C16BB84">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4D04614"/>
    <w:multiLevelType w:val="multilevel"/>
    <w:tmpl w:val="6CB617BE"/>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5664B1B"/>
    <w:multiLevelType w:val="hybridMultilevel"/>
    <w:tmpl w:val="1BC46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63C69CF"/>
    <w:multiLevelType w:val="multilevel"/>
    <w:tmpl w:val="D076B8E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19"/>
        <w:szCs w:val="19"/>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BC35AD1"/>
    <w:multiLevelType w:val="multilevel"/>
    <w:tmpl w:val="A2E6F4C6"/>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0C5F4C79"/>
    <w:multiLevelType w:val="hybridMultilevel"/>
    <w:tmpl w:val="7554BD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CA66190"/>
    <w:multiLevelType w:val="hybridMultilevel"/>
    <w:tmpl w:val="273CA8E8"/>
    <w:lvl w:ilvl="0" w:tplc="CF300D9A">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E672EAB"/>
    <w:multiLevelType w:val="multilevel"/>
    <w:tmpl w:val="A8706E62"/>
    <w:lvl w:ilvl="0">
      <w:start w:val="61"/>
      <w:numFmt w:val="lowerLetter"/>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3" w15:restartNumberingAfterBreak="0">
    <w:nsid w:val="13710F59"/>
    <w:multiLevelType w:val="hybridMultilevel"/>
    <w:tmpl w:val="7EE44EDA"/>
    <w:lvl w:ilvl="0" w:tplc="5B7E6066">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14" w15:restartNumberingAfterBreak="0">
    <w:nsid w:val="139F5E95"/>
    <w:multiLevelType w:val="hybridMultilevel"/>
    <w:tmpl w:val="CFAEE1A8"/>
    <w:lvl w:ilvl="0" w:tplc="711EFBD6">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3BC3F8F"/>
    <w:multiLevelType w:val="hybridMultilevel"/>
    <w:tmpl w:val="2AD46E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3FD1785"/>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17" w15:restartNumberingAfterBreak="0">
    <w:nsid w:val="16974E21"/>
    <w:multiLevelType w:val="hybridMultilevel"/>
    <w:tmpl w:val="1684404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16E6367A"/>
    <w:multiLevelType w:val="hybridMultilevel"/>
    <w:tmpl w:val="2B98C612"/>
    <w:lvl w:ilvl="0" w:tplc="4C245000">
      <w:start w:val="1"/>
      <w:numFmt w:val="decimal"/>
      <w:lvlText w:val="%1."/>
      <w:lvlJc w:val="left"/>
      <w:pPr>
        <w:ind w:left="360" w:hanging="360"/>
      </w:pPr>
      <w:rPr>
        <w:rFonts w:hint="default"/>
      </w:rPr>
    </w:lvl>
    <w:lvl w:ilvl="1" w:tplc="4C04A11E">
      <w:start w:val="130"/>
      <w:numFmt w:val="bullet"/>
      <w:lvlText w:val="-"/>
      <w:lvlJc w:val="left"/>
      <w:pPr>
        <w:ind w:left="1080" w:hanging="360"/>
      </w:pPr>
      <w:rPr>
        <w:rFonts w:ascii="Calibri" w:eastAsiaTheme="minorEastAsia" w:hAnsi="Calibri" w:cstheme="minorBidi"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1AF56781"/>
    <w:multiLevelType w:val="hybridMultilevel"/>
    <w:tmpl w:val="136C5D58"/>
    <w:lvl w:ilvl="0" w:tplc="8D14D124">
      <w:start w:val="1"/>
      <w:numFmt w:val="lowerRoman"/>
      <w:lvlText w:val="(%1)"/>
      <w:lvlJc w:val="left"/>
      <w:pPr>
        <w:ind w:left="753" w:hanging="720"/>
      </w:p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20" w15:restartNumberingAfterBreak="0">
    <w:nsid w:val="203E1B0B"/>
    <w:multiLevelType w:val="multilevel"/>
    <w:tmpl w:val="DA1024DE"/>
    <w:styleLink w:val="NumreradLista"/>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abstractNum w:abstractNumId="21" w15:restartNumberingAfterBreak="0">
    <w:nsid w:val="25597EC3"/>
    <w:multiLevelType w:val="hybridMultilevel"/>
    <w:tmpl w:val="81D09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5A44831"/>
    <w:multiLevelType w:val="hybridMultilevel"/>
    <w:tmpl w:val="8FBCC706"/>
    <w:lvl w:ilvl="0" w:tplc="A4E42E54">
      <w:start w:val="1"/>
      <w:numFmt w:val="decimal"/>
      <w:lvlText w:val="%1."/>
      <w:lvlJc w:val="left"/>
      <w:pPr>
        <w:ind w:left="1070" w:hanging="360"/>
      </w:pPr>
      <w:rPr>
        <w:b w:val="0"/>
        <w:color w:val="auto"/>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27C3122A"/>
    <w:multiLevelType w:val="hybridMultilevel"/>
    <w:tmpl w:val="2F86A070"/>
    <w:lvl w:ilvl="0" w:tplc="2C16BB84">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97A649D"/>
    <w:multiLevelType w:val="hybridMultilevel"/>
    <w:tmpl w:val="3140B62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2A7222FF"/>
    <w:multiLevelType w:val="multilevel"/>
    <w:tmpl w:val="905CB468"/>
    <w:lvl w:ilvl="0">
      <w:start w:val="1"/>
      <w:numFmt w:val="decimal"/>
      <w:lvlText w:val="(%1)"/>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27" w15:restartNumberingAfterBreak="0">
    <w:nsid w:val="2B7971C3"/>
    <w:multiLevelType w:val="hybridMultilevel"/>
    <w:tmpl w:val="3942E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BBC74DA"/>
    <w:multiLevelType w:val="multilevel"/>
    <w:tmpl w:val="A9824C30"/>
    <w:lvl w:ilvl="0">
      <w:start w:val="1"/>
      <w:numFmt w:val="lowerLetter"/>
      <w:lvlText w:val="(%1)"/>
      <w:lvlJc w:val="left"/>
      <w:rPr>
        <w:rFonts w:ascii="Times New Roman" w:eastAsia="Book Antiqua" w:hAnsi="Times New Roman" w:cs="Times New Roman"/>
        <w:b w:val="0"/>
        <w:bCs w:val="0"/>
        <w:i w:val="0"/>
        <w:iCs w:val="0"/>
        <w:smallCaps w:val="0"/>
        <w:strike w:val="0"/>
        <w:color w:val="000000"/>
        <w:spacing w:val="0"/>
        <w:w w:val="100"/>
        <w:position w:val="0"/>
        <w:sz w:val="24"/>
        <w:szCs w:val="24"/>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30" w15:restartNumberingAfterBreak="0">
    <w:nsid w:val="2D79254A"/>
    <w:multiLevelType w:val="hybridMultilevel"/>
    <w:tmpl w:val="78304D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30E56DAD"/>
    <w:multiLevelType w:val="hybridMultilevel"/>
    <w:tmpl w:val="00065F84"/>
    <w:lvl w:ilvl="0" w:tplc="2C16BB84">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29C464D"/>
    <w:multiLevelType w:val="hybridMultilevel"/>
    <w:tmpl w:val="7E3EA194"/>
    <w:lvl w:ilvl="0" w:tplc="C1D6BA52">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34" w15:restartNumberingAfterBreak="0">
    <w:nsid w:val="35CE6D49"/>
    <w:multiLevelType w:val="hybridMultilevel"/>
    <w:tmpl w:val="9B2A4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6D968FC"/>
    <w:multiLevelType w:val="multilevel"/>
    <w:tmpl w:val="65ACFB02"/>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39E303DB"/>
    <w:multiLevelType w:val="hybridMultilevel"/>
    <w:tmpl w:val="00065F84"/>
    <w:lvl w:ilvl="0" w:tplc="2C16BB84">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CCE5A82"/>
    <w:multiLevelType w:val="multilevel"/>
    <w:tmpl w:val="732A87CE"/>
    <w:lvl w:ilvl="0">
      <w:start w:val="35"/>
      <w:numFmt w:val="lowerLetter"/>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9" w15:restartNumberingAfterBreak="0">
    <w:nsid w:val="40CC24BB"/>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41162F44"/>
    <w:multiLevelType w:val="hybridMultilevel"/>
    <w:tmpl w:val="1714D0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27E2570"/>
    <w:multiLevelType w:val="hybridMultilevel"/>
    <w:tmpl w:val="EA70559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435B48EC"/>
    <w:multiLevelType w:val="multilevel"/>
    <w:tmpl w:val="77406D4E"/>
    <w:lvl w:ilvl="0">
      <w:start w:val="1"/>
      <w:numFmt w:val="lowerRoman"/>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435C5D60"/>
    <w:multiLevelType w:val="hybridMultilevel"/>
    <w:tmpl w:val="DF9C1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35E38C4"/>
    <w:multiLevelType w:val="hybridMultilevel"/>
    <w:tmpl w:val="BAEA4D44"/>
    <w:lvl w:ilvl="0" w:tplc="08090001">
      <w:start w:val="1"/>
      <w:numFmt w:val="bullet"/>
      <w:lvlText w:val=""/>
      <w:lvlJc w:val="left"/>
      <w:pPr>
        <w:ind w:left="822" w:hanging="360"/>
      </w:pPr>
      <w:rPr>
        <w:rFonts w:ascii="Symbol" w:hAnsi="Symbol"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45" w15:restartNumberingAfterBreak="0">
    <w:nsid w:val="443E43DC"/>
    <w:multiLevelType w:val="hybridMultilevel"/>
    <w:tmpl w:val="2F22B1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445521B9"/>
    <w:multiLevelType w:val="hybridMultilevel"/>
    <w:tmpl w:val="CD82A310"/>
    <w:lvl w:ilvl="0" w:tplc="21C049FE">
      <w:start w:val="1"/>
      <w:numFmt w:val="lowerRoman"/>
      <w:lvlText w:val="(%1)"/>
      <w:lvlJc w:val="left"/>
      <w:pPr>
        <w:ind w:left="753" w:hanging="720"/>
      </w:p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47" w15:restartNumberingAfterBreak="0">
    <w:nsid w:val="44694517"/>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15:restartNumberingAfterBreak="0">
    <w:nsid w:val="4838547F"/>
    <w:multiLevelType w:val="hybridMultilevel"/>
    <w:tmpl w:val="437A06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48CE15E1"/>
    <w:multiLevelType w:val="multilevel"/>
    <w:tmpl w:val="3948D12E"/>
    <w:lvl w:ilvl="0">
      <w:start w:val="1"/>
      <w:numFmt w:val="decimal"/>
      <w:lvlText w:val="%1."/>
      <w:lvlJc w:val="left"/>
      <w:pPr>
        <w:ind w:left="720" w:hanging="360"/>
      </w:pPr>
    </w:lvl>
    <w:lvl w:ilvl="1">
      <w:start w:val="1"/>
      <w:numFmt w:val="lowerLetter"/>
      <w:lvlText w:val="(%1)"/>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48FB7BE8"/>
    <w:multiLevelType w:val="hybridMultilevel"/>
    <w:tmpl w:val="DA2A1476"/>
    <w:lvl w:ilvl="0" w:tplc="3F82BFBA">
      <w:start w:val="1"/>
      <w:numFmt w:val="bullet"/>
      <w:lvlText w:val="-"/>
      <w:lvlJc w:val="left"/>
      <w:pPr>
        <w:ind w:left="1800" w:hanging="360"/>
      </w:pPr>
      <w:rPr>
        <w:rFonts w:ascii="Times New Roman" w:eastAsiaTheme="minorEastAsia" w:hAnsi="Times New Roman"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52" w15:restartNumberingAfterBreak="0">
    <w:nsid w:val="4DC846D4"/>
    <w:multiLevelType w:val="multilevel"/>
    <w:tmpl w:val="5A0C0808"/>
    <w:lvl w:ilvl="0">
      <w:start w:val="1"/>
      <w:numFmt w:val="lowerLetter"/>
      <w:lvlText w:val="(%1)"/>
      <w:lvlJc w:val="left"/>
      <w:rPr>
        <w:rFonts w:ascii="Times New Roman" w:eastAsia="Book Antiqua" w:hAnsi="Times New Roman" w:cs="Times New Roman" w:hint="default"/>
        <w:b w:val="0"/>
        <w:bCs w:val="0"/>
        <w:i w:val="0"/>
        <w:iCs w:val="0"/>
        <w:smallCaps w:val="0"/>
        <w:strike w:val="0"/>
        <w:color w:val="000000"/>
        <w:spacing w:val="0"/>
        <w:w w:val="100"/>
        <w:position w:val="0"/>
        <w:sz w:val="24"/>
        <w:szCs w:val="2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4F1B0208"/>
    <w:multiLevelType w:val="hybridMultilevel"/>
    <w:tmpl w:val="05026908"/>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2FD7464"/>
    <w:multiLevelType w:val="hybridMultilevel"/>
    <w:tmpl w:val="F7D07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4823D0A"/>
    <w:multiLevelType w:val="multilevel"/>
    <w:tmpl w:val="CD6893E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8" w15:restartNumberingAfterBreak="0">
    <w:nsid w:val="56E4204C"/>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15:restartNumberingAfterBreak="0">
    <w:nsid w:val="57DD727D"/>
    <w:multiLevelType w:val="hybridMultilevel"/>
    <w:tmpl w:val="A352F802"/>
    <w:lvl w:ilvl="0" w:tplc="42DA021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15:restartNumberingAfterBreak="0">
    <w:nsid w:val="5ADD1127"/>
    <w:multiLevelType w:val="hybridMultilevel"/>
    <w:tmpl w:val="44722EE6"/>
    <w:lvl w:ilvl="0" w:tplc="7D5EEB9C">
      <w:start w:val="1"/>
      <w:numFmt w:val="lowerRoman"/>
      <w:lvlText w:val="(%1)"/>
      <w:lvlJc w:val="left"/>
      <w:pPr>
        <w:ind w:left="753" w:hanging="720"/>
      </w:p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62" w15:restartNumberingAfterBreak="0">
    <w:nsid w:val="5B4A725B"/>
    <w:multiLevelType w:val="hybridMultilevel"/>
    <w:tmpl w:val="B25E71E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3" w15:restartNumberingAfterBreak="0">
    <w:nsid w:val="5BB62C96"/>
    <w:multiLevelType w:val="multilevel"/>
    <w:tmpl w:val="1AACA432"/>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5BC85E36"/>
    <w:multiLevelType w:val="hybridMultilevel"/>
    <w:tmpl w:val="F7ECA9FE"/>
    <w:lvl w:ilvl="0" w:tplc="0809000F">
      <w:start w:val="1"/>
      <w:numFmt w:val="decimal"/>
      <w:lvlText w:val="%1."/>
      <w:lvlJc w:val="left"/>
      <w:pPr>
        <w:ind w:left="8865"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5" w15:restartNumberingAfterBreak="0">
    <w:nsid w:val="68537505"/>
    <w:multiLevelType w:val="hybridMultilevel"/>
    <w:tmpl w:val="4566B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6A0E5E13"/>
    <w:multiLevelType w:val="hybridMultilevel"/>
    <w:tmpl w:val="37763C9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6A1B56EB"/>
    <w:multiLevelType w:val="hybridMultilevel"/>
    <w:tmpl w:val="84B82DAE"/>
    <w:lvl w:ilvl="0" w:tplc="58B80B0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69" w15:restartNumberingAfterBreak="0">
    <w:nsid w:val="6B486FF3"/>
    <w:multiLevelType w:val="multilevel"/>
    <w:tmpl w:val="351A9156"/>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71" w15:restartNumberingAfterBreak="0">
    <w:nsid w:val="6EE0459A"/>
    <w:multiLevelType w:val="multilevel"/>
    <w:tmpl w:val="A1247F16"/>
    <w:lvl w:ilvl="0">
      <w:start w:val="1"/>
      <w:numFmt w:val="decimal"/>
      <w:lvlText w:val="%1."/>
      <w:lvlJc w:val="left"/>
      <w:rPr>
        <w:rFonts w:ascii="Calibri" w:eastAsia="Calibri" w:hAnsi="Calibri" w:cs="Calibri"/>
        <w:b w:val="0"/>
        <w:bCs w:val="0"/>
        <w:i w:val="0"/>
        <w:iCs w:val="0"/>
        <w:smallCaps w:val="0"/>
        <w:strike w:val="0"/>
        <w:color w:val="000000"/>
        <w:spacing w:val="4"/>
        <w:w w:val="100"/>
        <w:position w:val="0"/>
        <w:sz w:val="22"/>
        <w:szCs w:val="22"/>
        <w:u w:val="none"/>
        <w:lang w:val="en-US"/>
      </w:rPr>
    </w:lvl>
    <w:lvl w:ilvl="1">
      <w:start w:val="1"/>
      <w:numFmt w:val="decimal"/>
      <w:lvlText w:val="%1.%2"/>
      <w:lvlJc w:val="left"/>
      <w:rPr>
        <w:rFonts w:ascii="Calibri" w:eastAsia="Calibri" w:hAnsi="Calibri" w:cs="Calibri"/>
        <w:b w:val="0"/>
        <w:bCs w:val="0"/>
        <w:i w:val="0"/>
        <w:iCs w:val="0"/>
        <w:smallCaps w:val="0"/>
        <w:strike w:val="0"/>
        <w:color w:val="000000"/>
        <w:spacing w:val="3"/>
        <w:w w:val="100"/>
        <w:position w:val="0"/>
        <w:sz w:val="29"/>
        <w:szCs w:val="29"/>
        <w:u w:val="none"/>
        <w:lang w:val="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72DC1F7D"/>
    <w:multiLevelType w:val="multilevel"/>
    <w:tmpl w:val="1FA8F3C0"/>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abstractNum w:abstractNumId="74" w15:restartNumberingAfterBreak="0">
    <w:nsid w:val="76C5464B"/>
    <w:multiLevelType w:val="hybridMultilevel"/>
    <w:tmpl w:val="66CAAE08"/>
    <w:lvl w:ilvl="0" w:tplc="1BE4675A">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5"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6" w15:restartNumberingAfterBreak="0">
    <w:nsid w:val="7C79739D"/>
    <w:multiLevelType w:val="hybridMultilevel"/>
    <w:tmpl w:val="6ED8BC8C"/>
    <w:lvl w:ilvl="0" w:tplc="1768339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61239037">
    <w:abstractNumId w:val="50"/>
  </w:num>
  <w:num w:numId="2" w16cid:durableId="2034720164">
    <w:abstractNumId w:val="48"/>
  </w:num>
  <w:num w:numId="3" w16cid:durableId="634917962">
    <w:abstractNumId w:val="7"/>
  </w:num>
  <w:num w:numId="4" w16cid:durableId="1625036184">
    <w:abstractNumId w:val="29"/>
  </w:num>
  <w:num w:numId="5" w16cid:durableId="501313629">
    <w:abstractNumId w:val="37"/>
  </w:num>
  <w:num w:numId="6" w16cid:durableId="125977460">
    <w:abstractNumId w:val="72"/>
  </w:num>
  <w:num w:numId="7" w16cid:durableId="1492795710">
    <w:abstractNumId w:val="2"/>
  </w:num>
  <w:num w:numId="8" w16cid:durableId="848526939">
    <w:abstractNumId w:val="70"/>
  </w:num>
  <w:num w:numId="9" w16cid:durableId="984771423">
    <w:abstractNumId w:val="54"/>
  </w:num>
  <w:num w:numId="10" w16cid:durableId="1745374140">
    <w:abstractNumId w:val="1"/>
  </w:num>
  <w:num w:numId="11" w16cid:durableId="435634678">
    <w:abstractNumId w:val="26"/>
  </w:num>
  <w:num w:numId="12" w16cid:durableId="182566249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81324398">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25844411">
    <w:abstractNumId w:val="23"/>
  </w:num>
  <w:num w:numId="15" w16cid:durableId="454912513">
    <w:abstractNumId w:val="46"/>
  </w:num>
  <w:num w:numId="16" w16cid:durableId="247931651">
    <w:abstractNumId w:val="11"/>
  </w:num>
  <w:num w:numId="17" w16cid:durableId="629675290">
    <w:abstractNumId w:val="76"/>
  </w:num>
  <w:num w:numId="18" w16cid:durableId="974874027">
    <w:abstractNumId w:val="58"/>
  </w:num>
  <w:num w:numId="19" w16cid:durableId="1402370064">
    <w:abstractNumId w:val="15"/>
  </w:num>
  <w:num w:numId="20" w16cid:durableId="849754039">
    <w:abstractNumId w:val="68"/>
  </w:num>
  <w:num w:numId="21" w16cid:durableId="1555045502">
    <w:abstractNumId w:val="16"/>
  </w:num>
  <w:num w:numId="22" w16cid:durableId="1983996845">
    <w:abstractNumId w:val="18"/>
  </w:num>
  <w:num w:numId="23" w16cid:durableId="1147625497">
    <w:abstractNumId w:val="53"/>
  </w:num>
  <w:num w:numId="24" w16cid:durableId="1494492982">
    <w:abstractNumId w:val="69"/>
  </w:num>
  <w:num w:numId="25" w16cid:durableId="1590187734">
    <w:abstractNumId w:val="5"/>
  </w:num>
  <w:num w:numId="26" w16cid:durableId="344672669">
    <w:abstractNumId w:val="28"/>
  </w:num>
  <w:num w:numId="27" w16cid:durableId="1398357806">
    <w:abstractNumId w:val="52"/>
  </w:num>
  <w:num w:numId="28" w16cid:durableId="1492793236">
    <w:abstractNumId w:val="25"/>
  </w:num>
  <w:num w:numId="29" w16cid:durableId="1828474610">
    <w:abstractNumId w:val="64"/>
  </w:num>
  <w:num w:numId="30" w16cid:durableId="1626891959">
    <w:abstractNumId w:val="14"/>
  </w:num>
  <w:num w:numId="31" w16cid:durableId="1056274108">
    <w:abstractNumId w:val="0"/>
  </w:num>
  <w:num w:numId="32" w16cid:durableId="696277863">
    <w:abstractNumId w:val="8"/>
  </w:num>
  <w:num w:numId="33" w16cid:durableId="797451239">
    <w:abstractNumId w:val="56"/>
  </w:num>
  <w:num w:numId="34" w16cid:durableId="533270072">
    <w:abstractNumId w:val="9"/>
  </w:num>
  <w:num w:numId="35" w16cid:durableId="1297645551">
    <w:abstractNumId w:val="40"/>
  </w:num>
  <w:num w:numId="36" w16cid:durableId="69499067">
    <w:abstractNumId w:val="20"/>
  </w:num>
  <w:num w:numId="37" w16cid:durableId="1786077219">
    <w:abstractNumId w:val="73"/>
  </w:num>
  <w:num w:numId="38" w16cid:durableId="1849715892">
    <w:abstractNumId w:val="44"/>
  </w:num>
  <w:num w:numId="39" w16cid:durableId="470027272">
    <w:abstractNumId w:val="43"/>
  </w:num>
  <w:num w:numId="40" w16cid:durableId="2091150559">
    <w:abstractNumId w:val="34"/>
  </w:num>
  <w:num w:numId="41" w16cid:durableId="1097024714">
    <w:abstractNumId w:val="55"/>
  </w:num>
  <w:num w:numId="42" w16cid:durableId="265041195">
    <w:abstractNumId w:val="65"/>
  </w:num>
  <w:num w:numId="43" w16cid:durableId="1298531767">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56378793">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60060838">
    <w:abstractNumId w:val="57"/>
  </w:num>
  <w:num w:numId="46" w16cid:durableId="650133405">
    <w:abstractNumId w:val="13"/>
  </w:num>
  <w:num w:numId="47" w16cid:durableId="1201744292">
    <w:abstractNumId w:val="39"/>
  </w:num>
  <w:num w:numId="48" w16cid:durableId="647905348">
    <w:abstractNumId w:val="41"/>
  </w:num>
  <w:num w:numId="49" w16cid:durableId="1246379891">
    <w:abstractNumId w:val="47"/>
  </w:num>
  <w:num w:numId="50" w16cid:durableId="1353142639">
    <w:abstractNumId w:val="30"/>
  </w:num>
  <w:num w:numId="51" w16cid:durableId="1033925350">
    <w:abstractNumId w:val="60"/>
  </w:num>
  <w:num w:numId="52" w16cid:durableId="530728398">
    <w:abstractNumId w:val="17"/>
  </w:num>
  <w:num w:numId="53" w16cid:durableId="1722052236">
    <w:abstractNumId w:val="75"/>
  </w:num>
  <w:num w:numId="54" w16cid:durableId="1314481135">
    <w:abstractNumId w:val="67"/>
  </w:num>
  <w:num w:numId="55" w16cid:durableId="497500178">
    <w:abstractNumId w:val="51"/>
  </w:num>
  <w:num w:numId="56" w16cid:durableId="1023288254">
    <w:abstractNumId w:val="66"/>
  </w:num>
  <w:num w:numId="57" w16cid:durableId="320694590">
    <w:abstractNumId w:val="74"/>
  </w:num>
  <w:num w:numId="58" w16cid:durableId="427307897">
    <w:abstractNumId w:val="6"/>
  </w:num>
  <w:num w:numId="59" w16cid:durableId="2117291170">
    <w:abstractNumId w:val="49"/>
  </w:num>
  <w:num w:numId="60" w16cid:durableId="1085302267">
    <w:abstractNumId w:val="32"/>
  </w:num>
  <w:num w:numId="61" w16cid:durableId="79260767">
    <w:abstractNumId w:val="22"/>
  </w:num>
  <w:num w:numId="62" w16cid:durableId="1940403543">
    <w:abstractNumId w:val="33"/>
  </w:num>
  <w:num w:numId="63" w16cid:durableId="139688166">
    <w:abstractNumId w:val="3"/>
  </w:num>
  <w:num w:numId="64" w16cid:durableId="1830436411">
    <w:abstractNumId w:val="21"/>
  </w:num>
  <w:num w:numId="65" w16cid:durableId="2121678578">
    <w:abstractNumId w:val="27"/>
  </w:num>
  <w:num w:numId="66" w16cid:durableId="374044681">
    <w:abstractNumId w:val="10"/>
  </w:num>
  <w:num w:numId="67" w16cid:durableId="1605650266">
    <w:abstractNumId w:val="59"/>
  </w:num>
  <w:num w:numId="68" w16cid:durableId="1737975728">
    <w:abstractNumId w:val="71"/>
  </w:num>
  <w:num w:numId="69" w16cid:durableId="2002196286">
    <w:abstractNumId w:val="63"/>
  </w:num>
  <w:num w:numId="70" w16cid:durableId="1111634297">
    <w:abstractNumId w:val="35"/>
  </w:num>
  <w:num w:numId="71" w16cid:durableId="1916090807">
    <w:abstractNumId w:val="42"/>
  </w:num>
  <w:num w:numId="72" w16cid:durableId="610163597">
    <w:abstractNumId w:val="38"/>
  </w:num>
  <w:num w:numId="73" w16cid:durableId="1496069310">
    <w:abstractNumId w:val="12"/>
  </w:num>
  <w:num w:numId="74" w16cid:durableId="977108779">
    <w:abstractNumId w:val="62"/>
  </w:num>
  <w:num w:numId="75" w16cid:durableId="18701256">
    <w:abstractNumId w:val="4"/>
  </w:num>
  <w:num w:numId="76" w16cid:durableId="1094519072">
    <w:abstractNumId w:val="31"/>
  </w:num>
  <w:num w:numId="77" w16cid:durableId="1617443384">
    <w:abstractNumId w:val="36"/>
  </w:num>
  <w:num w:numId="78" w16cid:durableId="1268926257">
    <w:abstractNumId w:val="45"/>
  </w:num>
  <w:num w:numId="79" w16cid:durableId="978068849">
    <w:abstractNumId w:val="46"/>
    <w:lvlOverride w:ilvl="0">
      <w:startOverride w:val="1"/>
    </w:lvlOverride>
  </w:num>
  <w:num w:numId="80" w16cid:durableId="232933388">
    <w:abstractNumId w:val="24"/>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embedSystemFonts/>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fr-BE" w:vendorID="64" w:dllVersion="0" w:nlCheck="1" w:checkStyle="0"/>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BA GL-REC 20XX XX (FINAL GLS-REC ON"/>
  </w:docVars>
  <w:rsids>
    <w:rsidRoot w:val="006307A5"/>
    <w:rsid w:val="00001873"/>
    <w:rsid w:val="00003BF5"/>
    <w:rsid w:val="00003F50"/>
    <w:rsid w:val="00004C00"/>
    <w:rsid w:val="000056A3"/>
    <w:rsid w:val="00007927"/>
    <w:rsid w:val="00010D29"/>
    <w:rsid w:val="00011540"/>
    <w:rsid w:val="00013281"/>
    <w:rsid w:val="000148C4"/>
    <w:rsid w:val="0001574B"/>
    <w:rsid w:val="00015C54"/>
    <w:rsid w:val="00015DE4"/>
    <w:rsid w:val="00016A5F"/>
    <w:rsid w:val="00016FB4"/>
    <w:rsid w:val="0001712C"/>
    <w:rsid w:val="000231B7"/>
    <w:rsid w:val="00023204"/>
    <w:rsid w:val="0002717D"/>
    <w:rsid w:val="00027CA0"/>
    <w:rsid w:val="00030D65"/>
    <w:rsid w:val="00032609"/>
    <w:rsid w:val="0003602B"/>
    <w:rsid w:val="000372FB"/>
    <w:rsid w:val="00040129"/>
    <w:rsid w:val="000405FC"/>
    <w:rsid w:val="000416AD"/>
    <w:rsid w:val="00042451"/>
    <w:rsid w:val="00045BB0"/>
    <w:rsid w:val="00047D69"/>
    <w:rsid w:val="000506BF"/>
    <w:rsid w:val="000506DE"/>
    <w:rsid w:val="00051895"/>
    <w:rsid w:val="00052987"/>
    <w:rsid w:val="00052C7E"/>
    <w:rsid w:val="000540E0"/>
    <w:rsid w:val="00054554"/>
    <w:rsid w:val="00054B2E"/>
    <w:rsid w:val="000561D1"/>
    <w:rsid w:val="00060F40"/>
    <w:rsid w:val="0006264F"/>
    <w:rsid w:val="00062830"/>
    <w:rsid w:val="00062937"/>
    <w:rsid w:val="000638BD"/>
    <w:rsid w:val="000639E7"/>
    <w:rsid w:val="000646F8"/>
    <w:rsid w:val="00064A87"/>
    <w:rsid w:val="00066A9A"/>
    <w:rsid w:val="00067739"/>
    <w:rsid w:val="00071DAB"/>
    <w:rsid w:val="00072A8C"/>
    <w:rsid w:val="00074660"/>
    <w:rsid w:val="00075A38"/>
    <w:rsid w:val="000762E4"/>
    <w:rsid w:val="00076626"/>
    <w:rsid w:val="000774B3"/>
    <w:rsid w:val="00080665"/>
    <w:rsid w:val="00082163"/>
    <w:rsid w:val="00083C33"/>
    <w:rsid w:val="000843CD"/>
    <w:rsid w:val="00084D8B"/>
    <w:rsid w:val="00084EED"/>
    <w:rsid w:val="00086123"/>
    <w:rsid w:val="0008757E"/>
    <w:rsid w:val="00091AA5"/>
    <w:rsid w:val="00092B75"/>
    <w:rsid w:val="000935C4"/>
    <w:rsid w:val="00093A51"/>
    <w:rsid w:val="00094030"/>
    <w:rsid w:val="00094A22"/>
    <w:rsid w:val="00096020"/>
    <w:rsid w:val="00096F96"/>
    <w:rsid w:val="000A1AF7"/>
    <w:rsid w:val="000A1C81"/>
    <w:rsid w:val="000A2565"/>
    <w:rsid w:val="000A2CE0"/>
    <w:rsid w:val="000A3851"/>
    <w:rsid w:val="000A3A4A"/>
    <w:rsid w:val="000A4A93"/>
    <w:rsid w:val="000A5C66"/>
    <w:rsid w:val="000A5FC4"/>
    <w:rsid w:val="000A6D95"/>
    <w:rsid w:val="000A7015"/>
    <w:rsid w:val="000B0073"/>
    <w:rsid w:val="000B04C4"/>
    <w:rsid w:val="000B0BBD"/>
    <w:rsid w:val="000B1645"/>
    <w:rsid w:val="000B2958"/>
    <w:rsid w:val="000B3C05"/>
    <w:rsid w:val="000B6D18"/>
    <w:rsid w:val="000C1BEC"/>
    <w:rsid w:val="000C2398"/>
    <w:rsid w:val="000C288C"/>
    <w:rsid w:val="000C3CA2"/>
    <w:rsid w:val="000C3FD6"/>
    <w:rsid w:val="000C4F64"/>
    <w:rsid w:val="000C5A8A"/>
    <w:rsid w:val="000C7892"/>
    <w:rsid w:val="000C7FD8"/>
    <w:rsid w:val="000D1DA9"/>
    <w:rsid w:val="000D1FC3"/>
    <w:rsid w:val="000D3626"/>
    <w:rsid w:val="000D4898"/>
    <w:rsid w:val="000D49BF"/>
    <w:rsid w:val="000D68DC"/>
    <w:rsid w:val="000D7A44"/>
    <w:rsid w:val="000E0C27"/>
    <w:rsid w:val="000E31D8"/>
    <w:rsid w:val="000E6D15"/>
    <w:rsid w:val="000E6E57"/>
    <w:rsid w:val="000F1F90"/>
    <w:rsid w:val="000F2A65"/>
    <w:rsid w:val="000F2F6E"/>
    <w:rsid w:val="000F32BD"/>
    <w:rsid w:val="000F33D3"/>
    <w:rsid w:val="000F3E72"/>
    <w:rsid w:val="000F607B"/>
    <w:rsid w:val="000F6495"/>
    <w:rsid w:val="000F6FD8"/>
    <w:rsid w:val="000F7313"/>
    <w:rsid w:val="000F7E65"/>
    <w:rsid w:val="0010160A"/>
    <w:rsid w:val="001023C0"/>
    <w:rsid w:val="00102CDD"/>
    <w:rsid w:val="00105DF4"/>
    <w:rsid w:val="00106155"/>
    <w:rsid w:val="001061FA"/>
    <w:rsid w:val="00106D1E"/>
    <w:rsid w:val="00107403"/>
    <w:rsid w:val="0011148D"/>
    <w:rsid w:val="00112469"/>
    <w:rsid w:val="0011517F"/>
    <w:rsid w:val="00115E0F"/>
    <w:rsid w:val="00116FC4"/>
    <w:rsid w:val="00120B38"/>
    <w:rsid w:val="00120BFF"/>
    <w:rsid w:val="00121BB0"/>
    <w:rsid w:val="00121C58"/>
    <w:rsid w:val="00121E46"/>
    <w:rsid w:val="001227EB"/>
    <w:rsid w:val="001266BE"/>
    <w:rsid w:val="0012686C"/>
    <w:rsid w:val="0013090C"/>
    <w:rsid w:val="00131820"/>
    <w:rsid w:val="00131C5D"/>
    <w:rsid w:val="001359DC"/>
    <w:rsid w:val="00135BA6"/>
    <w:rsid w:val="00141684"/>
    <w:rsid w:val="001418CA"/>
    <w:rsid w:val="00142ACD"/>
    <w:rsid w:val="00142DF6"/>
    <w:rsid w:val="00143A8B"/>
    <w:rsid w:val="00145D1A"/>
    <w:rsid w:val="00145D24"/>
    <w:rsid w:val="001460F4"/>
    <w:rsid w:val="00150734"/>
    <w:rsid w:val="00151991"/>
    <w:rsid w:val="00152593"/>
    <w:rsid w:val="00152832"/>
    <w:rsid w:val="00153D1C"/>
    <w:rsid w:val="00154596"/>
    <w:rsid w:val="00155718"/>
    <w:rsid w:val="001559B6"/>
    <w:rsid w:val="00155C96"/>
    <w:rsid w:val="00155EF6"/>
    <w:rsid w:val="00156E14"/>
    <w:rsid w:val="001600FC"/>
    <w:rsid w:val="00160C3E"/>
    <w:rsid w:val="001613AA"/>
    <w:rsid w:val="0016228C"/>
    <w:rsid w:val="00162381"/>
    <w:rsid w:val="001624C3"/>
    <w:rsid w:val="00162769"/>
    <w:rsid w:val="001639AB"/>
    <w:rsid w:val="001641E0"/>
    <w:rsid w:val="001649C3"/>
    <w:rsid w:val="0016737A"/>
    <w:rsid w:val="001703D3"/>
    <w:rsid w:val="00172007"/>
    <w:rsid w:val="00172621"/>
    <w:rsid w:val="001738A5"/>
    <w:rsid w:val="0017446F"/>
    <w:rsid w:val="00177CB9"/>
    <w:rsid w:val="00180606"/>
    <w:rsid w:val="00181C00"/>
    <w:rsid w:val="001828B1"/>
    <w:rsid w:val="001834D4"/>
    <w:rsid w:val="0018442D"/>
    <w:rsid w:val="00184DBF"/>
    <w:rsid w:val="00185341"/>
    <w:rsid w:val="00186588"/>
    <w:rsid w:val="00187C4B"/>
    <w:rsid w:val="00192044"/>
    <w:rsid w:val="00192287"/>
    <w:rsid w:val="00194611"/>
    <w:rsid w:val="00194BCC"/>
    <w:rsid w:val="00194F95"/>
    <w:rsid w:val="0019796E"/>
    <w:rsid w:val="001A016C"/>
    <w:rsid w:val="001A0C8D"/>
    <w:rsid w:val="001A1C04"/>
    <w:rsid w:val="001A2A81"/>
    <w:rsid w:val="001A32A3"/>
    <w:rsid w:val="001A4B58"/>
    <w:rsid w:val="001A5BD4"/>
    <w:rsid w:val="001A70A8"/>
    <w:rsid w:val="001A79EB"/>
    <w:rsid w:val="001B05D2"/>
    <w:rsid w:val="001B0CBA"/>
    <w:rsid w:val="001B2C0D"/>
    <w:rsid w:val="001B30FD"/>
    <w:rsid w:val="001B6017"/>
    <w:rsid w:val="001B703F"/>
    <w:rsid w:val="001B7A0B"/>
    <w:rsid w:val="001B7EB3"/>
    <w:rsid w:val="001C05E6"/>
    <w:rsid w:val="001C1FD9"/>
    <w:rsid w:val="001C2B69"/>
    <w:rsid w:val="001C2D18"/>
    <w:rsid w:val="001C2E4C"/>
    <w:rsid w:val="001C5BC2"/>
    <w:rsid w:val="001C76ED"/>
    <w:rsid w:val="001D0179"/>
    <w:rsid w:val="001D1E81"/>
    <w:rsid w:val="001D39CC"/>
    <w:rsid w:val="001D5526"/>
    <w:rsid w:val="001D6D89"/>
    <w:rsid w:val="001D6D9D"/>
    <w:rsid w:val="001D6E22"/>
    <w:rsid w:val="001D723A"/>
    <w:rsid w:val="001E0565"/>
    <w:rsid w:val="001E06A3"/>
    <w:rsid w:val="001E08AC"/>
    <w:rsid w:val="001E1188"/>
    <w:rsid w:val="001E194E"/>
    <w:rsid w:val="001E2AB8"/>
    <w:rsid w:val="001E3599"/>
    <w:rsid w:val="001E4698"/>
    <w:rsid w:val="001E7B53"/>
    <w:rsid w:val="001F0077"/>
    <w:rsid w:val="001F0720"/>
    <w:rsid w:val="001F13DC"/>
    <w:rsid w:val="001F16BB"/>
    <w:rsid w:val="001F18AA"/>
    <w:rsid w:val="001F1CB9"/>
    <w:rsid w:val="001F3BDC"/>
    <w:rsid w:val="001F53F8"/>
    <w:rsid w:val="001F7501"/>
    <w:rsid w:val="002003D9"/>
    <w:rsid w:val="00200A65"/>
    <w:rsid w:val="00200A9F"/>
    <w:rsid w:val="00201A16"/>
    <w:rsid w:val="00203C1C"/>
    <w:rsid w:val="00205139"/>
    <w:rsid w:val="00205878"/>
    <w:rsid w:val="00206A6B"/>
    <w:rsid w:val="00206BB0"/>
    <w:rsid w:val="0020758C"/>
    <w:rsid w:val="002079C0"/>
    <w:rsid w:val="002110ED"/>
    <w:rsid w:val="0021137D"/>
    <w:rsid w:val="00213620"/>
    <w:rsid w:val="00213D7B"/>
    <w:rsid w:val="00214DEC"/>
    <w:rsid w:val="002160C2"/>
    <w:rsid w:val="00221AC8"/>
    <w:rsid w:val="00222056"/>
    <w:rsid w:val="00222AAB"/>
    <w:rsid w:val="00223D0E"/>
    <w:rsid w:val="00224293"/>
    <w:rsid w:val="00224761"/>
    <w:rsid w:val="00224A3F"/>
    <w:rsid w:val="00224D96"/>
    <w:rsid w:val="00226B9B"/>
    <w:rsid w:val="0022771D"/>
    <w:rsid w:val="00227D8B"/>
    <w:rsid w:val="002306C7"/>
    <w:rsid w:val="00230CCE"/>
    <w:rsid w:val="00232C88"/>
    <w:rsid w:val="00232DF5"/>
    <w:rsid w:val="00234EEB"/>
    <w:rsid w:val="00235422"/>
    <w:rsid w:val="002354AB"/>
    <w:rsid w:val="002358D6"/>
    <w:rsid w:val="0023633E"/>
    <w:rsid w:val="0023741B"/>
    <w:rsid w:val="00237CC4"/>
    <w:rsid w:val="00241BD8"/>
    <w:rsid w:val="002434B0"/>
    <w:rsid w:val="0025111D"/>
    <w:rsid w:val="00251280"/>
    <w:rsid w:val="00251512"/>
    <w:rsid w:val="00251DE4"/>
    <w:rsid w:val="00253301"/>
    <w:rsid w:val="00254CA9"/>
    <w:rsid w:val="00254E82"/>
    <w:rsid w:val="00254EDB"/>
    <w:rsid w:val="00257472"/>
    <w:rsid w:val="00260404"/>
    <w:rsid w:val="00261F94"/>
    <w:rsid w:val="0026213C"/>
    <w:rsid w:val="00262FE8"/>
    <w:rsid w:val="002635C4"/>
    <w:rsid w:val="00263733"/>
    <w:rsid w:val="00265F47"/>
    <w:rsid w:val="00266A53"/>
    <w:rsid w:val="00266F94"/>
    <w:rsid w:val="00267DE5"/>
    <w:rsid w:val="002726E1"/>
    <w:rsid w:val="0027321E"/>
    <w:rsid w:val="0027418E"/>
    <w:rsid w:val="00275B5E"/>
    <w:rsid w:val="0027618C"/>
    <w:rsid w:val="002767AA"/>
    <w:rsid w:val="00277DFA"/>
    <w:rsid w:val="002804A6"/>
    <w:rsid w:val="00282104"/>
    <w:rsid w:val="0028290C"/>
    <w:rsid w:val="0028295F"/>
    <w:rsid w:val="00285768"/>
    <w:rsid w:val="00290DA3"/>
    <w:rsid w:val="002913DD"/>
    <w:rsid w:val="002921F0"/>
    <w:rsid w:val="00295952"/>
    <w:rsid w:val="002965CB"/>
    <w:rsid w:val="00296C53"/>
    <w:rsid w:val="00296DA9"/>
    <w:rsid w:val="00297196"/>
    <w:rsid w:val="00297BBD"/>
    <w:rsid w:val="00297D03"/>
    <w:rsid w:val="00297DC1"/>
    <w:rsid w:val="002A0424"/>
    <w:rsid w:val="002A0FF0"/>
    <w:rsid w:val="002A1EA1"/>
    <w:rsid w:val="002A351D"/>
    <w:rsid w:val="002A3A19"/>
    <w:rsid w:val="002A5938"/>
    <w:rsid w:val="002A5A3D"/>
    <w:rsid w:val="002A6C48"/>
    <w:rsid w:val="002B03F9"/>
    <w:rsid w:val="002B095B"/>
    <w:rsid w:val="002B2D10"/>
    <w:rsid w:val="002B6F7D"/>
    <w:rsid w:val="002B7ED3"/>
    <w:rsid w:val="002C0DCF"/>
    <w:rsid w:val="002C1D84"/>
    <w:rsid w:val="002C2DE0"/>
    <w:rsid w:val="002C308A"/>
    <w:rsid w:val="002C33D2"/>
    <w:rsid w:val="002C4B90"/>
    <w:rsid w:val="002C6C97"/>
    <w:rsid w:val="002D0A46"/>
    <w:rsid w:val="002D0C9D"/>
    <w:rsid w:val="002D13D3"/>
    <w:rsid w:val="002D1867"/>
    <w:rsid w:val="002D2E68"/>
    <w:rsid w:val="002D30B6"/>
    <w:rsid w:val="002D5297"/>
    <w:rsid w:val="002D56B7"/>
    <w:rsid w:val="002D5755"/>
    <w:rsid w:val="002D6BCB"/>
    <w:rsid w:val="002D7A65"/>
    <w:rsid w:val="002E24A1"/>
    <w:rsid w:val="002E327A"/>
    <w:rsid w:val="002E7E66"/>
    <w:rsid w:val="002F08A4"/>
    <w:rsid w:val="002F110A"/>
    <w:rsid w:val="002F1236"/>
    <w:rsid w:val="002F1302"/>
    <w:rsid w:val="002F1C66"/>
    <w:rsid w:val="002F2009"/>
    <w:rsid w:val="002F57E4"/>
    <w:rsid w:val="002F610D"/>
    <w:rsid w:val="002F6FCE"/>
    <w:rsid w:val="002F7090"/>
    <w:rsid w:val="00300859"/>
    <w:rsid w:val="00300924"/>
    <w:rsid w:val="0030153F"/>
    <w:rsid w:val="003023DA"/>
    <w:rsid w:val="003025A8"/>
    <w:rsid w:val="00305345"/>
    <w:rsid w:val="0030599F"/>
    <w:rsid w:val="00306353"/>
    <w:rsid w:val="00307662"/>
    <w:rsid w:val="00310C93"/>
    <w:rsid w:val="00311D86"/>
    <w:rsid w:val="003120EC"/>
    <w:rsid w:val="003129B6"/>
    <w:rsid w:val="00313821"/>
    <w:rsid w:val="00314152"/>
    <w:rsid w:val="00314D6E"/>
    <w:rsid w:val="003166E1"/>
    <w:rsid w:val="00317291"/>
    <w:rsid w:val="00320E57"/>
    <w:rsid w:val="00321967"/>
    <w:rsid w:val="003221EF"/>
    <w:rsid w:val="00322C23"/>
    <w:rsid w:val="00323781"/>
    <w:rsid w:val="003248A2"/>
    <w:rsid w:val="0032608C"/>
    <w:rsid w:val="00327D35"/>
    <w:rsid w:val="003305D3"/>
    <w:rsid w:val="00331C79"/>
    <w:rsid w:val="003333C5"/>
    <w:rsid w:val="00333C28"/>
    <w:rsid w:val="00334C85"/>
    <w:rsid w:val="00334EB8"/>
    <w:rsid w:val="00337D52"/>
    <w:rsid w:val="00340244"/>
    <w:rsid w:val="003414D7"/>
    <w:rsid w:val="00342320"/>
    <w:rsid w:val="00342529"/>
    <w:rsid w:val="00344101"/>
    <w:rsid w:val="00345633"/>
    <w:rsid w:val="00345F9C"/>
    <w:rsid w:val="00346640"/>
    <w:rsid w:val="003467E6"/>
    <w:rsid w:val="00347B65"/>
    <w:rsid w:val="00350D0D"/>
    <w:rsid w:val="00350FB6"/>
    <w:rsid w:val="00351A65"/>
    <w:rsid w:val="00352450"/>
    <w:rsid w:val="0035289D"/>
    <w:rsid w:val="0035477B"/>
    <w:rsid w:val="00355D90"/>
    <w:rsid w:val="003568B9"/>
    <w:rsid w:val="003604AA"/>
    <w:rsid w:val="003604F4"/>
    <w:rsid w:val="00360C8C"/>
    <w:rsid w:val="00360E38"/>
    <w:rsid w:val="003627BA"/>
    <w:rsid w:val="003631A5"/>
    <w:rsid w:val="00364E32"/>
    <w:rsid w:val="00365388"/>
    <w:rsid w:val="00365757"/>
    <w:rsid w:val="00370654"/>
    <w:rsid w:val="0037083D"/>
    <w:rsid w:val="00371795"/>
    <w:rsid w:val="00371F68"/>
    <w:rsid w:val="00372BEC"/>
    <w:rsid w:val="00373E86"/>
    <w:rsid w:val="00374FD3"/>
    <w:rsid w:val="00375DDC"/>
    <w:rsid w:val="0038076A"/>
    <w:rsid w:val="00381E59"/>
    <w:rsid w:val="0038336D"/>
    <w:rsid w:val="00384936"/>
    <w:rsid w:val="00386C4E"/>
    <w:rsid w:val="00386CBD"/>
    <w:rsid w:val="003906A4"/>
    <w:rsid w:val="00392385"/>
    <w:rsid w:val="00395966"/>
    <w:rsid w:val="00397D78"/>
    <w:rsid w:val="003A1224"/>
    <w:rsid w:val="003A2616"/>
    <w:rsid w:val="003A4578"/>
    <w:rsid w:val="003A6482"/>
    <w:rsid w:val="003A6FCC"/>
    <w:rsid w:val="003B0579"/>
    <w:rsid w:val="003B0D09"/>
    <w:rsid w:val="003B2F1D"/>
    <w:rsid w:val="003B4C84"/>
    <w:rsid w:val="003B5CA1"/>
    <w:rsid w:val="003B6056"/>
    <w:rsid w:val="003B6A5A"/>
    <w:rsid w:val="003B7D75"/>
    <w:rsid w:val="003C01F6"/>
    <w:rsid w:val="003C0305"/>
    <w:rsid w:val="003C095D"/>
    <w:rsid w:val="003C1B00"/>
    <w:rsid w:val="003C1E4F"/>
    <w:rsid w:val="003C20CD"/>
    <w:rsid w:val="003C2B40"/>
    <w:rsid w:val="003C332D"/>
    <w:rsid w:val="003C6475"/>
    <w:rsid w:val="003D01F8"/>
    <w:rsid w:val="003D04AB"/>
    <w:rsid w:val="003D0920"/>
    <w:rsid w:val="003D10B5"/>
    <w:rsid w:val="003D1ACD"/>
    <w:rsid w:val="003D450D"/>
    <w:rsid w:val="003D5072"/>
    <w:rsid w:val="003D6865"/>
    <w:rsid w:val="003D6DC8"/>
    <w:rsid w:val="003D6F47"/>
    <w:rsid w:val="003D7A72"/>
    <w:rsid w:val="003D7CC4"/>
    <w:rsid w:val="003E23AF"/>
    <w:rsid w:val="003E318D"/>
    <w:rsid w:val="003E4BF1"/>
    <w:rsid w:val="003E4CBD"/>
    <w:rsid w:val="003E5177"/>
    <w:rsid w:val="003F5644"/>
    <w:rsid w:val="003F5866"/>
    <w:rsid w:val="003F72E2"/>
    <w:rsid w:val="003F7A89"/>
    <w:rsid w:val="00402F34"/>
    <w:rsid w:val="004060AB"/>
    <w:rsid w:val="004077B1"/>
    <w:rsid w:val="00407991"/>
    <w:rsid w:val="00412567"/>
    <w:rsid w:val="004130C7"/>
    <w:rsid w:val="004131BA"/>
    <w:rsid w:val="00413EF0"/>
    <w:rsid w:val="004143EE"/>
    <w:rsid w:val="00415A7F"/>
    <w:rsid w:val="004164DF"/>
    <w:rsid w:val="00416DAD"/>
    <w:rsid w:val="004172D1"/>
    <w:rsid w:val="00424530"/>
    <w:rsid w:val="0042486A"/>
    <w:rsid w:val="00430599"/>
    <w:rsid w:val="00434252"/>
    <w:rsid w:val="00434289"/>
    <w:rsid w:val="0043432B"/>
    <w:rsid w:val="0043556A"/>
    <w:rsid w:val="0043577F"/>
    <w:rsid w:val="0043675A"/>
    <w:rsid w:val="004418CC"/>
    <w:rsid w:val="00441C8F"/>
    <w:rsid w:val="00441F85"/>
    <w:rsid w:val="00446E4F"/>
    <w:rsid w:val="004477A6"/>
    <w:rsid w:val="00451E45"/>
    <w:rsid w:val="00452214"/>
    <w:rsid w:val="00452468"/>
    <w:rsid w:val="0045301B"/>
    <w:rsid w:val="004541F3"/>
    <w:rsid w:val="0045539B"/>
    <w:rsid w:val="00455E0E"/>
    <w:rsid w:val="00456147"/>
    <w:rsid w:val="00457AB7"/>
    <w:rsid w:val="004600F5"/>
    <w:rsid w:val="0046019D"/>
    <w:rsid w:val="004606A7"/>
    <w:rsid w:val="00460FF6"/>
    <w:rsid w:val="00461836"/>
    <w:rsid w:val="00464BF3"/>
    <w:rsid w:val="00465D95"/>
    <w:rsid w:val="00466839"/>
    <w:rsid w:val="00466A4A"/>
    <w:rsid w:val="00471888"/>
    <w:rsid w:val="004719B4"/>
    <w:rsid w:val="00471CA1"/>
    <w:rsid w:val="00471CCE"/>
    <w:rsid w:val="0047368B"/>
    <w:rsid w:val="00474D9D"/>
    <w:rsid w:val="0047512D"/>
    <w:rsid w:val="00475381"/>
    <w:rsid w:val="00476A9A"/>
    <w:rsid w:val="00476E62"/>
    <w:rsid w:val="00476E72"/>
    <w:rsid w:val="00481AC4"/>
    <w:rsid w:val="00481C8A"/>
    <w:rsid w:val="00482FB6"/>
    <w:rsid w:val="00485C25"/>
    <w:rsid w:val="004919C9"/>
    <w:rsid w:val="004920DA"/>
    <w:rsid w:val="0049216F"/>
    <w:rsid w:val="004955E7"/>
    <w:rsid w:val="0049647A"/>
    <w:rsid w:val="0049781D"/>
    <w:rsid w:val="004A0B20"/>
    <w:rsid w:val="004A2B2B"/>
    <w:rsid w:val="004A2F42"/>
    <w:rsid w:val="004A3EB1"/>
    <w:rsid w:val="004A48EF"/>
    <w:rsid w:val="004A5BCD"/>
    <w:rsid w:val="004A5D8B"/>
    <w:rsid w:val="004A63D7"/>
    <w:rsid w:val="004A7312"/>
    <w:rsid w:val="004A7965"/>
    <w:rsid w:val="004B070F"/>
    <w:rsid w:val="004B089B"/>
    <w:rsid w:val="004B0974"/>
    <w:rsid w:val="004B15A9"/>
    <w:rsid w:val="004B15C1"/>
    <w:rsid w:val="004B2FC0"/>
    <w:rsid w:val="004B3092"/>
    <w:rsid w:val="004B55FB"/>
    <w:rsid w:val="004B62E8"/>
    <w:rsid w:val="004B634B"/>
    <w:rsid w:val="004B6869"/>
    <w:rsid w:val="004B7517"/>
    <w:rsid w:val="004B7784"/>
    <w:rsid w:val="004C098A"/>
    <w:rsid w:val="004C1B19"/>
    <w:rsid w:val="004C2561"/>
    <w:rsid w:val="004C320A"/>
    <w:rsid w:val="004C56D5"/>
    <w:rsid w:val="004C6392"/>
    <w:rsid w:val="004C6BB5"/>
    <w:rsid w:val="004C7D8D"/>
    <w:rsid w:val="004D1624"/>
    <w:rsid w:val="004D3523"/>
    <w:rsid w:val="004D4296"/>
    <w:rsid w:val="004D513A"/>
    <w:rsid w:val="004D588F"/>
    <w:rsid w:val="004D58B3"/>
    <w:rsid w:val="004D7668"/>
    <w:rsid w:val="004E19D2"/>
    <w:rsid w:val="004E1BFA"/>
    <w:rsid w:val="004E202D"/>
    <w:rsid w:val="004E360B"/>
    <w:rsid w:val="004E405B"/>
    <w:rsid w:val="004E64F1"/>
    <w:rsid w:val="004E6FA8"/>
    <w:rsid w:val="004E71F4"/>
    <w:rsid w:val="004E79EC"/>
    <w:rsid w:val="004F09DC"/>
    <w:rsid w:val="004F0AB6"/>
    <w:rsid w:val="004F33FD"/>
    <w:rsid w:val="004F55AC"/>
    <w:rsid w:val="004F5AB7"/>
    <w:rsid w:val="004F63DB"/>
    <w:rsid w:val="004F6EB1"/>
    <w:rsid w:val="004F7817"/>
    <w:rsid w:val="00501BEB"/>
    <w:rsid w:val="00501CEC"/>
    <w:rsid w:val="00501E35"/>
    <w:rsid w:val="005032A7"/>
    <w:rsid w:val="00505066"/>
    <w:rsid w:val="00505188"/>
    <w:rsid w:val="00505C64"/>
    <w:rsid w:val="00506DEA"/>
    <w:rsid w:val="005105EF"/>
    <w:rsid w:val="00511500"/>
    <w:rsid w:val="005125AD"/>
    <w:rsid w:val="005126F5"/>
    <w:rsid w:val="00512C0B"/>
    <w:rsid w:val="005146F2"/>
    <w:rsid w:val="00515161"/>
    <w:rsid w:val="00515E20"/>
    <w:rsid w:val="0051708C"/>
    <w:rsid w:val="005171B3"/>
    <w:rsid w:val="00517BBF"/>
    <w:rsid w:val="00520233"/>
    <w:rsid w:val="00523895"/>
    <w:rsid w:val="0052494B"/>
    <w:rsid w:val="00526237"/>
    <w:rsid w:val="00527130"/>
    <w:rsid w:val="00527FB3"/>
    <w:rsid w:val="005302F1"/>
    <w:rsid w:val="005371E5"/>
    <w:rsid w:val="00537BEC"/>
    <w:rsid w:val="005410AB"/>
    <w:rsid w:val="0054260F"/>
    <w:rsid w:val="005439FD"/>
    <w:rsid w:val="00543A44"/>
    <w:rsid w:val="005445E0"/>
    <w:rsid w:val="00544FF5"/>
    <w:rsid w:val="005453D2"/>
    <w:rsid w:val="00546903"/>
    <w:rsid w:val="005475A5"/>
    <w:rsid w:val="00550CE9"/>
    <w:rsid w:val="00550FA0"/>
    <w:rsid w:val="00553275"/>
    <w:rsid w:val="00553DB4"/>
    <w:rsid w:val="005541D9"/>
    <w:rsid w:val="00555DE1"/>
    <w:rsid w:val="00557482"/>
    <w:rsid w:val="00557747"/>
    <w:rsid w:val="0056332E"/>
    <w:rsid w:val="00563BE7"/>
    <w:rsid w:val="00563C4F"/>
    <w:rsid w:val="00563DEC"/>
    <w:rsid w:val="00564584"/>
    <w:rsid w:val="00565691"/>
    <w:rsid w:val="005672ED"/>
    <w:rsid w:val="005673AC"/>
    <w:rsid w:val="005710A4"/>
    <w:rsid w:val="00571BB6"/>
    <w:rsid w:val="0057356B"/>
    <w:rsid w:val="00574B91"/>
    <w:rsid w:val="00574FB1"/>
    <w:rsid w:val="005752E4"/>
    <w:rsid w:val="005753E4"/>
    <w:rsid w:val="00575BA7"/>
    <w:rsid w:val="005761F3"/>
    <w:rsid w:val="00576B59"/>
    <w:rsid w:val="00576BDE"/>
    <w:rsid w:val="0057717F"/>
    <w:rsid w:val="00582578"/>
    <w:rsid w:val="00582827"/>
    <w:rsid w:val="00582AA7"/>
    <w:rsid w:val="0058477C"/>
    <w:rsid w:val="0058568F"/>
    <w:rsid w:val="00586094"/>
    <w:rsid w:val="00591A53"/>
    <w:rsid w:val="00591C4C"/>
    <w:rsid w:val="00592DF9"/>
    <w:rsid w:val="00593D83"/>
    <w:rsid w:val="005947B9"/>
    <w:rsid w:val="00594B24"/>
    <w:rsid w:val="00596AA4"/>
    <w:rsid w:val="00596AB8"/>
    <w:rsid w:val="00597D20"/>
    <w:rsid w:val="005A079D"/>
    <w:rsid w:val="005A49A4"/>
    <w:rsid w:val="005A6911"/>
    <w:rsid w:val="005A6F1E"/>
    <w:rsid w:val="005A7CA0"/>
    <w:rsid w:val="005A7D64"/>
    <w:rsid w:val="005B1430"/>
    <w:rsid w:val="005B335E"/>
    <w:rsid w:val="005B4448"/>
    <w:rsid w:val="005B5C09"/>
    <w:rsid w:val="005B7CFD"/>
    <w:rsid w:val="005B7D63"/>
    <w:rsid w:val="005C0254"/>
    <w:rsid w:val="005C1518"/>
    <w:rsid w:val="005C2774"/>
    <w:rsid w:val="005C2E82"/>
    <w:rsid w:val="005C326D"/>
    <w:rsid w:val="005C3DFF"/>
    <w:rsid w:val="005C498B"/>
    <w:rsid w:val="005C4F0A"/>
    <w:rsid w:val="005C56D3"/>
    <w:rsid w:val="005C590A"/>
    <w:rsid w:val="005C7636"/>
    <w:rsid w:val="005D19A9"/>
    <w:rsid w:val="005D3A37"/>
    <w:rsid w:val="005D4005"/>
    <w:rsid w:val="005D40D1"/>
    <w:rsid w:val="005D6F4D"/>
    <w:rsid w:val="005D7532"/>
    <w:rsid w:val="005D775D"/>
    <w:rsid w:val="005E39B6"/>
    <w:rsid w:val="005E40A0"/>
    <w:rsid w:val="005E451E"/>
    <w:rsid w:val="005E6D2B"/>
    <w:rsid w:val="005E73F3"/>
    <w:rsid w:val="005F001B"/>
    <w:rsid w:val="005F0534"/>
    <w:rsid w:val="005F06BF"/>
    <w:rsid w:val="005F1675"/>
    <w:rsid w:val="005F3A66"/>
    <w:rsid w:val="005F3D24"/>
    <w:rsid w:val="005F3D92"/>
    <w:rsid w:val="005F41FE"/>
    <w:rsid w:val="005F6037"/>
    <w:rsid w:val="005F6F2A"/>
    <w:rsid w:val="005F7007"/>
    <w:rsid w:val="005F7A18"/>
    <w:rsid w:val="00600593"/>
    <w:rsid w:val="00600DDD"/>
    <w:rsid w:val="00601608"/>
    <w:rsid w:val="00601738"/>
    <w:rsid w:val="006017FA"/>
    <w:rsid w:val="006042D1"/>
    <w:rsid w:val="006048B7"/>
    <w:rsid w:val="00605635"/>
    <w:rsid w:val="006059B2"/>
    <w:rsid w:val="00606B03"/>
    <w:rsid w:val="00610305"/>
    <w:rsid w:val="00610419"/>
    <w:rsid w:val="00611D91"/>
    <w:rsid w:val="00611DDB"/>
    <w:rsid w:val="006127E4"/>
    <w:rsid w:val="00612C7B"/>
    <w:rsid w:val="006133C5"/>
    <w:rsid w:val="00615CA4"/>
    <w:rsid w:val="00616925"/>
    <w:rsid w:val="00620784"/>
    <w:rsid w:val="006209BD"/>
    <w:rsid w:val="00621DCF"/>
    <w:rsid w:val="006223C9"/>
    <w:rsid w:val="006224C1"/>
    <w:rsid w:val="00622726"/>
    <w:rsid w:val="00623545"/>
    <w:rsid w:val="00623C5B"/>
    <w:rsid w:val="006245D6"/>
    <w:rsid w:val="00625C96"/>
    <w:rsid w:val="006269B7"/>
    <w:rsid w:val="00626A11"/>
    <w:rsid w:val="00626EF8"/>
    <w:rsid w:val="00627DCB"/>
    <w:rsid w:val="00627FC1"/>
    <w:rsid w:val="006307A5"/>
    <w:rsid w:val="00631845"/>
    <w:rsid w:val="00632041"/>
    <w:rsid w:val="006322BD"/>
    <w:rsid w:val="00633DC7"/>
    <w:rsid w:val="00634158"/>
    <w:rsid w:val="00636E1D"/>
    <w:rsid w:val="00636FF7"/>
    <w:rsid w:val="0063793A"/>
    <w:rsid w:val="006400F5"/>
    <w:rsid w:val="00640342"/>
    <w:rsid w:val="006411EB"/>
    <w:rsid w:val="00641F64"/>
    <w:rsid w:val="006420A5"/>
    <w:rsid w:val="006420C4"/>
    <w:rsid w:val="00644388"/>
    <w:rsid w:val="00644661"/>
    <w:rsid w:val="00645F2E"/>
    <w:rsid w:val="006463CE"/>
    <w:rsid w:val="00650599"/>
    <w:rsid w:val="00650E07"/>
    <w:rsid w:val="00653220"/>
    <w:rsid w:val="00653B0D"/>
    <w:rsid w:val="00655112"/>
    <w:rsid w:val="00657A42"/>
    <w:rsid w:val="0066076D"/>
    <w:rsid w:val="0066145B"/>
    <w:rsid w:val="006617FE"/>
    <w:rsid w:val="00662487"/>
    <w:rsid w:val="00663106"/>
    <w:rsid w:val="00663B0A"/>
    <w:rsid w:val="006641F8"/>
    <w:rsid w:val="00664317"/>
    <w:rsid w:val="006671A5"/>
    <w:rsid w:val="006672B7"/>
    <w:rsid w:val="00670254"/>
    <w:rsid w:val="00670CD3"/>
    <w:rsid w:val="00671A56"/>
    <w:rsid w:val="00671AEF"/>
    <w:rsid w:val="00671B39"/>
    <w:rsid w:val="00672B8E"/>
    <w:rsid w:val="00676D73"/>
    <w:rsid w:val="00677BB2"/>
    <w:rsid w:val="00677CC7"/>
    <w:rsid w:val="00680674"/>
    <w:rsid w:val="00680D1E"/>
    <w:rsid w:val="00680E3F"/>
    <w:rsid w:val="006819CE"/>
    <w:rsid w:val="0068628A"/>
    <w:rsid w:val="00686DA5"/>
    <w:rsid w:val="006909C0"/>
    <w:rsid w:val="00692026"/>
    <w:rsid w:val="006924DA"/>
    <w:rsid w:val="00692E67"/>
    <w:rsid w:val="006937AC"/>
    <w:rsid w:val="006973AC"/>
    <w:rsid w:val="00697E73"/>
    <w:rsid w:val="006A0C31"/>
    <w:rsid w:val="006A0D6A"/>
    <w:rsid w:val="006A1213"/>
    <w:rsid w:val="006A12E0"/>
    <w:rsid w:val="006A6226"/>
    <w:rsid w:val="006B10D4"/>
    <w:rsid w:val="006B216E"/>
    <w:rsid w:val="006B29DC"/>
    <w:rsid w:val="006B5580"/>
    <w:rsid w:val="006B5FC0"/>
    <w:rsid w:val="006B762C"/>
    <w:rsid w:val="006C0184"/>
    <w:rsid w:val="006C068B"/>
    <w:rsid w:val="006C186D"/>
    <w:rsid w:val="006C2101"/>
    <w:rsid w:val="006C27A8"/>
    <w:rsid w:val="006C2ED8"/>
    <w:rsid w:val="006C4B59"/>
    <w:rsid w:val="006D005E"/>
    <w:rsid w:val="006D2179"/>
    <w:rsid w:val="006D2245"/>
    <w:rsid w:val="006D42F8"/>
    <w:rsid w:val="006D48B6"/>
    <w:rsid w:val="006D6654"/>
    <w:rsid w:val="006D7393"/>
    <w:rsid w:val="006D7A2B"/>
    <w:rsid w:val="006E02CE"/>
    <w:rsid w:val="006E1970"/>
    <w:rsid w:val="006E206F"/>
    <w:rsid w:val="006E3324"/>
    <w:rsid w:val="006E418C"/>
    <w:rsid w:val="006E48FA"/>
    <w:rsid w:val="006E55E1"/>
    <w:rsid w:val="006E5B84"/>
    <w:rsid w:val="006E5BB5"/>
    <w:rsid w:val="006E7646"/>
    <w:rsid w:val="006F0504"/>
    <w:rsid w:val="006F0B70"/>
    <w:rsid w:val="006F289E"/>
    <w:rsid w:val="006F2E13"/>
    <w:rsid w:val="006F445D"/>
    <w:rsid w:val="006F4922"/>
    <w:rsid w:val="006F72C6"/>
    <w:rsid w:val="007001D1"/>
    <w:rsid w:val="00700A5A"/>
    <w:rsid w:val="00701227"/>
    <w:rsid w:val="007018D2"/>
    <w:rsid w:val="0070213E"/>
    <w:rsid w:val="00702A38"/>
    <w:rsid w:val="00703E4E"/>
    <w:rsid w:val="00704085"/>
    <w:rsid w:val="0070442B"/>
    <w:rsid w:val="007047F5"/>
    <w:rsid w:val="007071C6"/>
    <w:rsid w:val="00710212"/>
    <w:rsid w:val="00711E1C"/>
    <w:rsid w:val="00712D06"/>
    <w:rsid w:val="00712D2C"/>
    <w:rsid w:val="00714810"/>
    <w:rsid w:val="007169EF"/>
    <w:rsid w:val="00716AB8"/>
    <w:rsid w:val="00716CBE"/>
    <w:rsid w:val="007174D6"/>
    <w:rsid w:val="00717607"/>
    <w:rsid w:val="00717705"/>
    <w:rsid w:val="00720050"/>
    <w:rsid w:val="00721557"/>
    <w:rsid w:val="00721FBA"/>
    <w:rsid w:val="00723270"/>
    <w:rsid w:val="00724E16"/>
    <w:rsid w:val="00726C67"/>
    <w:rsid w:val="00730352"/>
    <w:rsid w:val="00731F9A"/>
    <w:rsid w:val="00733C3F"/>
    <w:rsid w:val="007373E1"/>
    <w:rsid w:val="00742839"/>
    <w:rsid w:val="00743240"/>
    <w:rsid w:val="00743A14"/>
    <w:rsid w:val="00743C39"/>
    <w:rsid w:val="0074740A"/>
    <w:rsid w:val="007479E6"/>
    <w:rsid w:val="00750449"/>
    <w:rsid w:val="00752710"/>
    <w:rsid w:val="0075400D"/>
    <w:rsid w:val="007541A4"/>
    <w:rsid w:val="00754B35"/>
    <w:rsid w:val="00755505"/>
    <w:rsid w:val="00756492"/>
    <w:rsid w:val="00757F6D"/>
    <w:rsid w:val="0076078D"/>
    <w:rsid w:val="007614BF"/>
    <w:rsid w:val="0076316D"/>
    <w:rsid w:val="00764687"/>
    <w:rsid w:val="00765051"/>
    <w:rsid w:val="007653CB"/>
    <w:rsid w:val="00765ADE"/>
    <w:rsid w:val="00766737"/>
    <w:rsid w:val="007727DF"/>
    <w:rsid w:val="00772993"/>
    <w:rsid w:val="0077689B"/>
    <w:rsid w:val="007815FB"/>
    <w:rsid w:val="00781D80"/>
    <w:rsid w:val="00782DFF"/>
    <w:rsid w:val="00785478"/>
    <w:rsid w:val="007856BB"/>
    <w:rsid w:val="00786B1B"/>
    <w:rsid w:val="00787592"/>
    <w:rsid w:val="00791891"/>
    <w:rsid w:val="00791DE5"/>
    <w:rsid w:val="00792D0C"/>
    <w:rsid w:val="007934A8"/>
    <w:rsid w:val="00794978"/>
    <w:rsid w:val="00796CFC"/>
    <w:rsid w:val="007978E0"/>
    <w:rsid w:val="00797C68"/>
    <w:rsid w:val="007A0054"/>
    <w:rsid w:val="007A0354"/>
    <w:rsid w:val="007A0E5C"/>
    <w:rsid w:val="007A2A87"/>
    <w:rsid w:val="007A3415"/>
    <w:rsid w:val="007A38F2"/>
    <w:rsid w:val="007A3CAA"/>
    <w:rsid w:val="007A44A6"/>
    <w:rsid w:val="007A5353"/>
    <w:rsid w:val="007A57D6"/>
    <w:rsid w:val="007A588E"/>
    <w:rsid w:val="007A7DC0"/>
    <w:rsid w:val="007B082B"/>
    <w:rsid w:val="007B0F28"/>
    <w:rsid w:val="007B1A6B"/>
    <w:rsid w:val="007B3757"/>
    <w:rsid w:val="007B3827"/>
    <w:rsid w:val="007B3D63"/>
    <w:rsid w:val="007B415C"/>
    <w:rsid w:val="007B50BA"/>
    <w:rsid w:val="007B62AC"/>
    <w:rsid w:val="007B69D6"/>
    <w:rsid w:val="007B72C6"/>
    <w:rsid w:val="007B780E"/>
    <w:rsid w:val="007C0510"/>
    <w:rsid w:val="007C082D"/>
    <w:rsid w:val="007C2C69"/>
    <w:rsid w:val="007C38AF"/>
    <w:rsid w:val="007C3CD2"/>
    <w:rsid w:val="007C3D93"/>
    <w:rsid w:val="007C458A"/>
    <w:rsid w:val="007C55D0"/>
    <w:rsid w:val="007C6089"/>
    <w:rsid w:val="007C7C7B"/>
    <w:rsid w:val="007D0398"/>
    <w:rsid w:val="007D06F0"/>
    <w:rsid w:val="007D2991"/>
    <w:rsid w:val="007D2FDE"/>
    <w:rsid w:val="007D56C6"/>
    <w:rsid w:val="007D5D17"/>
    <w:rsid w:val="007D5EA0"/>
    <w:rsid w:val="007E14C6"/>
    <w:rsid w:val="007E17FF"/>
    <w:rsid w:val="007E24C2"/>
    <w:rsid w:val="007E2D51"/>
    <w:rsid w:val="007E39E1"/>
    <w:rsid w:val="007E3CA8"/>
    <w:rsid w:val="007E458E"/>
    <w:rsid w:val="007E4614"/>
    <w:rsid w:val="007E54AD"/>
    <w:rsid w:val="007E57CE"/>
    <w:rsid w:val="007E682F"/>
    <w:rsid w:val="007E6BF0"/>
    <w:rsid w:val="007E702D"/>
    <w:rsid w:val="007E704B"/>
    <w:rsid w:val="007E7246"/>
    <w:rsid w:val="007F3334"/>
    <w:rsid w:val="007F4CC8"/>
    <w:rsid w:val="007F5865"/>
    <w:rsid w:val="007F7B8E"/>
    <w:rsid w:val="00801891"/>
    <w:rsid w:val="00801A54"/>
    <w:rsid w:val="008033A1"/>
    <w:rsid w:val="00803BB4"/>
    <w:rsid w:val="00804563"/>
    <w:rsid w:val="008046A4"/>
    <w:rsid w:val="00804837"/>
    <w:rsid w:val="00805A13"/>
    <w:rsid w:val="00806A4C"/>
    <w:rsid w:val="008073A2"/>
    <w:rsid w:val="00810F8E"/>
    <w:rsid w:val="00811C0D"/>
    <w:rsid w:val="008123E1"/>
    <w:rsid w:val="00813BAC"/>
    <w:rsid w:val="00813CD4"/>
    <w:rsid w:val="008154B5"/>
    <w:rsid w:val="00815541"/>
    <w:rsid w:val="0081579E"/>
    <w:rsid w:val="00816970"/>
    <w:rsid w:val="00816C37"/>
    <w:rsid w:val="008171B5"/>
    <w:rsid w:val="00821B9D"/>
    <w:rsid w:val="008229B8"/>
    <w:rsid w:val="008239CF"/>
    <w:rsid w:val="00823AC0"/>
    <w:rsid w:val="00823FF9"/>
    <w:rsid w:val="00825D7E"/>
    <w:rsid w:val="008274B6"/>
    <w:rsid w:val="0082753B"/>
    <w:rsid w:val="00830C7A"/>
    <w:rsid w:val="00831BFB"/>
    <w:rsid w:val="0084180E"/>
    <w:rsid w:val="00843373"/>
    <w:rsid w:val="0084468C"/>
    <w:rsid w:val="00844EE2"/>
    <w:rsid w:val="008459B7"/>
    <w:rsid w:val="008461B5"/>
    <w:rsid w:val="00846679"/>
    <w:rsid w:val="008467D2"/>
    <w:rsid w:val="0084689D"/>
    <w:rsid w:val="00846C63"/>
    <w:rsid w:val="00850101"/>
    <w:rsid w:val="0085041F"/>
    <w:rsid w:val="0085052A"/>
    <w:rsid w:val="00850CDC"/>
    <w:rsid w:val="00851DC4"/>
    <w:rsid w:val="00852142"/>
    <w:rsid w:val="008539BB"/>
    <w:rsid w:val="00854452"/>
    <w:rsid w:val="008552A0"/>
    <w:rsid w:val="0085591A"/>
    <w:rsid w:val="008559E8"/>
    <w:rsid w:val="00855AC9"/>
    <w:rsid w:val="00856198"/>
    <w:rsid w:val="0085648F"/>
    <w:rsid w:val="008564DC"/>
    <w:rsid w:val="00856927"/>
    <w:rsid w:val="008572F0"/>
    <w:rsid w:val="0086003C"/>
    <w:rsid w:val="00862D23"/>
    <w:rsid w:val="00865492"/>
    <w:rsid w:val="00866385"/>
    <w:rsid w:val="008670A9"/>
    <w:rsid w:val="00867519"/>
    <w:rsid w:val="00867CB4"/>
    <w:rsid w:val="008708AB"/>
    <w:rsid w:val="00870C48"/>
    <w:rsid w:val="00874ED5"/>
    <w:rsid w:val="00880BCD"/>
    <w:rsid w:val="008810BC"/>
    <w:rsid w:val="00884510"/>
    <w:rsid w:val="00884DC4"/>
    <w:rsid w:val="00884EF0"/>
    <w:rsid w:val="00886EA4"/>
    <w:rsid w:val="008903CA"/>
    <w:rsid w:val="00892096"/>
    <w:rsid w:val="00894E62"/>
    <w:rsid w:val="00895131"/>
    <w:rsid w:val="00896D04"/>
    <w:rsid w:val="00896EF0"/>
    <w:rsid w:val="00897CC1"/>
    <w:rsid w:val="008A13D3"/>
    <w:rsid w:val="008A3B4F"/>
    <w:rsid w:val="008A40BC"/>
    <w:rsid w:val="008A5DA7"/>
    <w:rsid w:val="008A7074"/>
    <w:rsid w:val="008B0845"/>
    <w:rsid w:val="008B0FA6"/>
    <w:rsid w:val="008B1748"/>
    <w:rsid w:val="008B248A"/>
    <w:rsid w:val="008B269B"/>
    <w:rsid w:val="008B2816"/>
    <w:rsid w:val="008B6B85"/>
    <w:rsid w:val="008C1700"/>
    <w:rsid w:val="008C1A94"/>
    <w:rsid w:val="008C231E"/>
    <w:rsid w:val="008C27E6"/>
    <w:rsid w:val="008C47B2"/>
    <w:rsid w:val="008C5B82"/>
    <w:rsid w:val="008C672C"/>
    <w:rsid w:val="008C6A4E"/>
    <w:rsid w:val="008D04B4"/>
    <w:rsid w:val="008D08E6"/>
    <w:rsid w:val="008D0CBA"/>
    <w:rsid w:val="008D2C6D"/>
    <w:rsid w:val="008D2FFB"/>
    <w:rsid w:val="008D4828"/>
    <w:rsid w:val="008D5ED6"/>
    <w:rsid w:val="008D7CD4"/>
    <w:rsid w:val="008E13F9"/>
    <w:rsid w:val="008E292A"/>
    <w:rsid w:val="008E3D64"/>
    <w:rsid w:val="008E5652"/>
    <w:rsid w:val="008E60F6"/>
    <w:rsid w:val="008E6407"/>
    <w:rsid w:val="008E7970"/>
    <w:rsid w:val="008F0F53"/>
    <w:rsid w:val="008F1BEA"/>
    <w:rsid w:val="008F1F77"/>
    <w:rsid w:val="008F27B9"/>
    <w:rsid w:val="008F3908"/>
    <w:rsid w:val="008F44EB"/>
    <w:rsid w:val="008F61C1"/>
    <w:rsid w:val="009000F3"/>
    <w:rsid w:val="009008FD"/>
    <w:rsid w:val="009012CB"/>
    <w:rsid w:val="009014B6"/>
    <w:rsid w:val="0090166B"/>
    <w:rsid w:val="00905D8E"/>
    <w:rsid w:val="0090605F"/>
    <w:rsid w:val="00906A17"/>
    <w:rsid w:val="00906BC5"/>
    <w:rsid w:val="0090729F"/>
    <w:rsid w:val="00910181"/>
    <w:rsid w:val="00912882"/>
    <w:rsid w:val="00912895"/>
    <w:rsid w:val="00913FC8"/>
    <w:rsid w:val="00916227"/>
    <w:rsid w:val="0091630D"/>
    <w:rsid w:val="00916645"/>
    <w:rsid w:val="00920072"/>
    <w:rsid w:val="009210DE"/>
    <w:rsid w:val="0092311E"/>
    <w:rsid w:val="00923509"/>
    <w:rsid w:val="009247C0"/>
    <w:rsid w:val="009251B5"/>
    <w:rsid w:val="009251C2"/>
    <w:rsid w:val="0092541C"/>
    <w:rsid w:val="00925BA6"/>
    <w:rsid w:val="00925F13"/>
    <w:rsid w:val="009260D6"/>
    <w:rsid w:val="009273BC"/>
    <w:rsid w:val="00930C30"/>
    <w:rsid w:val="009313A8"/>
    <w:rsid w:val="00931B46"/>
    <w:rsid w:val="00933038"/>
    <w:rsid w:val="00933AEE"/>
    <w:rsid w:val="00935472"/>
    <w:rsid w:val="009360B2"/>
    <w:rsid w:val="009360C9"/>
    <w:rsid w:val="00937718"/>
    <w:rsid w:val="00937854"/>
    <w:rsid w:val="00940268"/>
    <w:rsid w:val="0094125D"/>
    <w:rsid w:val="00943B87"/>
    <w:rsid w:val="00943C57"/>
    <w:rsid w:val="009448BC"/>
    <w:rsid w:val="009501D6"/>
    <w:rsid w:val="00950346"/>
    <w:rsid w:val="00950374"/>
    <w:rsid w:val="00952710"/>
    <w:rsid w:val="009531CB"/>
    <w:rsid w:val="009559E1"/>
    <w:rsid w:val="0095719B"/>
    <w:rsid w:val="0095789C"/>
    <w:rsid w:val="00960F30"/>
    <w:rsid w:val="00961460"/>
    <w:rsid w:val="0096160F"/>
    <w:rsid w:val="00962BEA"/>
    <w:rsid w:val="00964393"/>
    <w:rsid w:val="00965B6B"/>
    <w:rsid w:val="00965B80"/>
    <w:rsid w:val="00965BEA"/>
    <w:rsid w:val="009662C5"/>
    <w:rsid w:val="00967458"/>
    <w:rsid w:val="009674E9"/>
    <w:rsid w:val="00971B4D"/>
    <w:rsid w:val="00971F67"/>
    <w:rsid w:val="00972012"/>
    <w:rsid w:val="00973859"/>
    <w:rsid w:val="00974607"/>
    <w:rsid w:val="00974F4E"/>
    <w:rsid w:val="00974FF4"/>
    <w:rsid w:val="0097538A"/>
    <w:rsid w:val="009761BB"/>
    <w:rsid w:val="009774B6"/>
    <w:rsid w:val="00977676"/>
    <w:rsid w:val="0097793C"/>
    <w:rsid w:val="00982373"/>
    <w:rsid w:val="0098401F"/>
    <w:rsid w:val="00984D23"/>
    <w:rsid w:val="00987078"/>
    <w:rsid w:val="00987120"/>
    <w:rsid w:val="00990058"/>
    <w:rsid w:val="00990A8A"/>
    <w:rsid w:val="00991278"/>
    <w:rsid w:val="009927CC"/>
    <w:rsid w:val="00992BEF"/>
    <w:rsid w:val="00993B1E"/>
    <w:rsid w:val="009944B4"/>
    <w:rsid w:val="009947D6"/>
    <w:rsid w:val="00994B4F"/>
    <w:rsid w:val="009953F9"/>
    <w:rsid w:val="00997339"/>
    <w:rsid w:val="00997406"/>
    <w:rsid w:val="009976D7"/>
    <w:rsid w:val="00997826"/>
    <w:rsid w:val="00997B3E"/>
    <w:rsid w:val="009A2610"/>
    <w:rsid w:val="009A3EE8"/>
    <w:rsid w:val="009A4635"/>
    <w:rsid w:val="009A5D7A"/>
    <w:rsid w:val="009A6978"/>
    <w:rsid w:val="009B033C"/>
    <w:rsid w:val="009B1BD7"/>
    <w:rsid w:val="009B71C6"/>
    <w:rsid w:val="009B747C"/>
    <w:rsid w:val="009B7766"/>
    <w:rsid w:val="009B7ED5"/>
    <w:rsid w:val="009C12C9"/>
    <w:rsid w:val="009C1931"/>
    <w:rsid w:val="009C1CE7"/>
    <w:rsid w:val="009C23C8"/>
    <w:rsid w:val="009C319B"/>
    <w:rsid w:val="009C39EE"/>
    <w:rsid w:val="009C3A8F"/>
    <w:rsid w:val="009C4983"/>
    <w:rsid w:val="009C6B20"/>
    <w:rsid w:val="009C741F"/>
    <w:rsid w:val="009D0637"/>
    <w:rsid w:val="009D10AD"/>
    <w:rsid w:val="009D1372"/>
    <w:rsid w:val="009D1C5F"/>
    <w:rsid w:val="009D2A94"/>
    <w:rsid w:val="009D2ABE"/>
    <w:rsid w:val="009D2F9B"/>
    <w:rsid w:val="009D3166"/>
    <w:rsid w:val="009D55F7"/>
    <w:rsid w:val="009D693E"/>
    <w:rsid w:val="009D7D01"/>
    <w:rsid w:val="009D7FCB"/>
    <w:rsid w:val="009E0794"/>
    <w:rsid w:val="009E18E8"/>
    <w:rsid w:val="009E1A3F"/>
    <w:rsid w:val="009E1F4E"/>
    <w:rsid w:val="009E325D"/>
    <w:rsid w:val="009E327E"/>
    <w:rsid w:val="009E38A2"/>
    <w:rsid w:val="009E4107"/>
    <w:rsid w:val="009E420B"/>
    <w:rsid w:val="009E5245"/>
    <w:rsid w:val="009E5BB2"/>
    <w:rsid w:val="009E5CAA"/>
    <w:rsid w:val="009E70EF"/>
    <w:rsid w:val="009E76BE"/>
    <w:rsid w:val="009E79BF"/>
    <w:rsid w:val="009E7BA6"/>
    <w:rsid w:val="009E7E40"/>
    <w:rsid w:val="009F12DA"/>
    <w:rsid w:val="009F2AE6"/>
    <w:rsid w:val="009F3FE6"/>
    <w:rsid w:val="009F4E0E"/>
    <w:rsid w:val="009F53AF"/>
    <w:rsid w:val="009F6FF4"/>
    <w:rsid w:val="00A00793"/>
    <w:rsid w:val="00A00E34"/>
    <w:rsid w:val="00A02839"/>
    <w:rsid w:val="00A02E02"/>
    <w:rsid w:val="00A03D37"/>
    <w:rsid w:val="00A0415A"/>
    <w:rsid w:val="00A04FB4"/>
    <w:rsid w:val="00A060B7"/>
    <w:rsid w:val="00A062C7"/>
    <w:rsid w:val="00A077FE"/>
    <w:rsid w:val="00A1014D"/>
    <w:rsid w:val="00A10257"/>
    <w:rsid w:val="00A1040A"/>
    <w:rsid w:val="00A10DC8"/>
    <w:rsid w:val="00A11903"/>
    <w:rsid w:val="00A13383"/>
    <w:rsid w:val="00A14332"/>
    <w:rsid w:val="00A146D1"/>
    <w:rsid w:val="00A14E14"/>
    <w:rsid w:val="00A1502F"/>
    <w:rsid w:val="00A17AD1"/>
    <w:rsid w:val="00A21493"/>
    <w:rsid w:val="00A23608"/>
    <w:rsid w:val="00A239F6"/>
    <w:rsid w:val="00A25707"/>
    <w:rsid w:val="00A25A56"/>
    <w:rsid w:val="00A260BD"/>
    <w:rsid w:val="00A26EB4"/>
    <w:rsid w:val="00A27B9D"/>
    <w:rsid w:val="00A27D88"/>
    <w:rsid w:val="00A304D0"/>
    <w:rsid w:val="00A30AB0"/>
    <w:rsid w:val="00A31F22"/>
    <w:rsid w:val="00A3253E"/>
    <w:rsid w:val="00A342E8"/>
    <w:rsid w:val="00A3511F"/>
    <w:rsid w:val="00A36FE2"/>
    <w:rsid w:val="00A37FED"/>
    <w:rsid w:val="00A4409F"/>
    <w:rsid w:val="00A44A20"/>
    <w:rsid w:val="00A4547A"/>
    <w:rsid w:val="00A4607D"/>
    <w:rsid w:val="00A477D8"/>
    <w:rsid w:val="00A53163"/>
    <w:rsid w:val="00A53EC9"/>
    <w:rsid w:val="00A63886"/>
    <w:rsid w:val="00A65365"/>
    <w:rsid w:val="00A70C66"/>
    <w:rsid w:val="00A725D6"/>
    <w:rsid w:val="00A72C70"/>
    <w:rsid w:val="00A72C7D"/>
    <w:rsid w:val="00A731F2"/>
    <w:rsid w:val="00A744C3"/>
    <w:rsid w:val="00A81586"/>
    <w:rsid w:val="00A81B96"/>
    <w:rsid w:val="00A82137"/>
    <w:rsid w:val="00A83523"/>
    <w:rsid w:val="00A84F93"/>
    <w:rsid w:val="00A85168"/>
    <w:rsid w:val="00A86B82"/>
    <w:rsid w:val="00A86C90"/>
    <w:rsid w:val="00A87CC2"/>
    <w:rsid w:val="00A905E9"/>
    <w:rsid w:val="00A9116C"/>
    <w:rsid w:val="00A919FB"/>
    <w:rsid w:val="00A91A51"/>
    <w:rsid w:val="00A92440"/>
    <w:rsid w:val="00A92865"/>
    <w:rsid w:val="00A96F56"/>
    <w:rsid w:val="00AA03D6"/>
    <w:rsid w:val="00AA073A"/>
    <w:rsid w:val="00AA1005"/>
    <w:rsid w:val="00AA4533"/>
    <w:rsid w:val="00AA6023"/>
    <w:rsid w:val="00AA71FA"/>
    <w:rsid w:val="00AA755F"/>
    <w:rsid w:val="00AA7604"/>
    <w:rsid w:val="00AB104D"/>
    <w:rsid w:val="00AB10CF"/>
    <w:rsid w:val="00AB2476"/>
    <w:rsid w:val="00AB2B10"/>
    <w:rsid w:val="00AB3DDB"/>
    <w:rsid w:val="00AB6E04"/>
    <w:rsid w:val="00AB7318"/>
    <w:rsid w:val="00AC7521"/>
    <w:rsid w:val="00AC7855"/>
    <w:rsid w:val="00AD0C73"/>
    <w:rsid w:val="00AD18C7"/>
    <w:rsid w:val="00AD1D63"/>
    <w:rsid w:val="00AD264A"/>
    <w:rsid w:val="00AD2FD9"/>
    <w:rsid w:val="00AD339F"/>
    <w:rsid w:val="00AD4A4D"/>
    <w:rsid w:val="00AD50A9"/>
    <w:rsid w:val="00AD56DA"/>
    <w:rsid w:val="00AD7048"/>
    <w:rsid w:val="00AE1A2D"/>
    <w:rsid w:val="00AE24A6"/>
    <w:rsid w:val="00AE46E2"/>
    <w:rsid w:val="00AE5347"/>
    <w:rsid w:val="00AE55F6"/>
    <w:rsid w:val="00AE56DB"/>
    <w:rsid w:val="00AE56F4"/>
    <w:rsid w:val="00AE5E5A"/>
    <w:rsid w:val="00AE5F3C"/>
    <w:rsid w:val="00AE7702"/>
    <w:rsid w:val="00AE79FD"/>
    <w:rsid w:val="00AF09D9"/>
    <w:rsid w:val="00AF3FBC"/>
    <w:rsid w:val="00AF5BC7"/>
    <w:rsid w:val="00AF5BD3"/>
    <w:rsid w:val="00AF5FB0"/>
    <w:rsid w:val="00AF7442"/>
    <w:rsid w:val="00AF759F"/>
    <w:rsid w:val="00AF7F7B"/>
    <w:rsid w:val="00B022BD"/>
    <w:rsid w:val="00B02FAA"/>
    <w:rsid w:val="00B03C60"/>
    <w:rsid w:val="00B043DF"/>
    <w:rsid w:val="00B04D5C"/>
    <w:rsid w:val="00B05624"/>
    <w:rsid w:val="00B05A34"/>
    <w:rsid w:val="00B06E31"/>
    <w:rsid w:val="00B06E5A"/>
    <w:rsid w:val="00B10EE4"/>
    <w:rsid w:val="00B115D7"/>
    <w:rsid w:val="00B13C87"/>
    <w:rsid w:val="00B13EED"/>
    <w:rsid w:val="00B13F6E"/>
    <w:rsid w:val="00B14BF5"/>
    <w:rsid w:val="00B14F07"/>
    <w:rsid w:val="00B1710D"/>
    <w:rsid w:val="00B215CA"/>
    <w:rsid w:val="00B2180A"/>
    <w:rsid w:val="00B21D0B"/>
    <w:rsid w:val="00B225AD"/>
    <w:rsid w:val="00B2494F"/>
    <w:rsid w:val="00B25B60"/>
    <w:rsid w:val="00B27DE5"/>
    <w:rsid w:val="00B30607"/>
    <w:rsid w:val="00B32510"/>
    <w:rsid w:val="00B34DF5"/>
    <w:rsid w:val="00B35302"/>
    <w:rsid w:val="00B3595C"/>
    <w:rsid w:val="00B35EC3"/>
    <w:rsid w:val="00B36D5E"/>
    <w:rsid w:val="00B37911"/>
    <w:rsid w:val="00B41BA6"/>
    <w:rsid w:val="00B41F41"/>
    <w:rsid w:val="00B424AE"/>
    <w:rsid w:val="00B42808"/>
    <w:rsid w:val="00B42FCC"/>
    <w:rsid w:val="00B43E07"/>
    <w:rsid w:val="00B45EC6"/>
    <w:rsid w:val="00B46138"/>
    <w:rsid w:val="00B47342"/>
    <w:rsid w:val="00B50FAA"/>
    <w:rsid w:val="00B51FBE"/>
    <w:rsid w:val="00B526A8"/>
    <w:rsid w:val="00B55FAB"/>
    <w:rsid w:val="00B60B8B"/>
    <w:rsid w:val="00B61210"/>
    <w:rsid w:val="00B619B5"/>
    <w:rsid w:val="00B61E87"/>
    <w:rsid w:val="00B65627"/>
    <w:rsid w:val="00B66069"/>
    <w:rsid w:val="00B66725"/>
    <w:rsid w:val="00B6734E"/>
    <w:rsid w:val="00B702CB"/>
    <w:rsid w:val="00B7264B"/>
    <w:rsid w:val="00B73040"/>
    <w:rsid w:val="00B742ED"/>
    <w:rsid w:val="00B74E92"/>
    <w:rsid w:val="00B75B00"/>
    <w:rsid w:val="00B76198"/>
    <w:rsid w:val="00B77F75"/>
    <w:rsid w:val="00B80ACA"/>
    <w:rsid w:val="00B813A4"/>
    <w:rsid w:val="00B819E3"/>
    <w:rsid w:val="00B83D9D"/>
    <w:rsid w:val="00B84529"/>
    <w:rsid w:val="00B84C30"/>
    <w:rsid w:val="00B85D66"/>
    <w:rsid w:val="00B878E1"/>
    <w:rsid w:val="00B90CD4"/>
    <w:rsid w:val="00B90FA7"/>
    <w:rsid w:val="00B925A1"/>
    <w:rsid w:val="00B955D7"/>
    <w:rsid w:val="00B96040"/>
    <w:rsid w:val="00B96F7F"/>
    <w:rsid w:val="00BA16FE"/>
    <w:rsid w:val="00BA25D7"/>
    <w:rsid w:val="00BA3D4A"/>
    <w:rsid w:val="00BA3F02"/>
    <w:rsid w:val="00BA414B"/>
    <w:rsid w:val="00BB0828"/>
    <w:rsid w:val="00BB2111"/>
    <w:rsid w:val="00BB2F0A"/>
    <w:rsid w:val="00BB3630"/>
    <w:rsid w:val="00BB5993"/>
    <w:rsid w:val="00BB61BA"/>
    <w:rsid w:val="00BC17BA"/>
    <w:rsid w:val="00BC1BBB"/>
    <w:rsid w:val="00BC266E"/>
    <w:rsid w:val="00BC304C"/>
    <w:rsid w:val="00BC3279"/>
    <w:rsid w:val="00BC3DE2"/>
    <w:rsid w:val="00BC43CA"/>
    <w:rsid w:val="00BC59E3"/>
    <w:rsid w:val="00BC5D5C"/>
    <w:rsid w:val="00BC5EDF"/>
    <w:rsid w:val="00BC7891"/>
    <w:rsid w:val="00BC7FD2"/>
    <w:rsid w:val="00BD096A"/>
    <w:rsid w:val="00BD36EC"/>
    <w:rsid w:val="00BD47F0"/>
    <w:rsid w:val="00BD5160"/>
    <w:rsid w:val="00BD6316"/>
    <w:rsid w:val="00BD6CEB"/>
    <w:rsid w:val="00BD7BFA"/>
    <w:rsid w:val="00BE1E3D"/>
    <w:rsid w:val="00BE57B5"/>
    <w:rsid w:val="00BE5B8B"/>
    <w:rsid w:val="00BF0153"/>
    <w:rsid w:val="00BF4B43"/>
    <w:rsid w:val="00BF5A15"/>
    <w:rsid w:val="00C0296F"/>
    <w:rsid w:val="00C02B7D"/>
    <w:rsid w:val="00C03AE7"/>
    <w:rsid w:val="00C05D9D"/>
    <w:rsid w:val="00C06107"/>
    <w:rsid w:val="00C06196"/>
    <w:rsid w:val="00C06BF3"/>
    <w:rsid w:val="00C078D2"/>
    <w:rsid w:val="00C07AC6"/>
    <w:rsid w:val="00C12FA8"/>
    <w:rsid w:val="00C1369A"/>
    <w:rsid w:val="00C14E2E"/>
    <w:rsid w:val="00C21218"/>
    <w:rsid w:val="00C21F2D"/>
    <w:rsid w:val="00C23460"/>
    <w:rsid w:val="00C25EF9"/>
    <w:rsid w:val="00C261D1"/>
    <w:rsid w:val="00C2642F"/>
    <w:rsid w:val="00C269AF"/>
    <w:rsid w:val="00C27083"/>
    <w:rsid w:val="00C27533"/>
    <w:rsid w:val="00C27C47"/>
    <w:rsid w:val="00C31378"/>
    <w:rsid w:val="00C317C5"/>
    <w:rsid w:val="00C32BA3"/>
    <w:rsid w:val="00C336F2"/>
    <w:rsid w:val="00C34FA6"/>
    <w:rsid w:val="00C35592"/>
    <w:rsid w:val="00C356AF"/>
    <w:rsid w:val="00C35ADE"/>
    <w:rsid w:val="00C41927"/>
    <w:rsid w:val="00C41C25"/>
    <w:rsid w:val="00C423C6"/>
    <w:rsid w:val="00C439D6"/>
    <w:rsid w:val="00C43FD9"/>
    <w:rsid w:val="00C449CC"/>
    <w:rsid w:val="00C44EB2"/>
    <w:rsid w:val="00C47E8F"/>
    <w:rsid w:val="00C5067F"/>
    <w:rsid w:val="00C51ABA"/>
    <w:rsid w:val="00C521A7"/>
    <w:rsid w:val="00C5413F"/>
    <w:rsid w:val="00C54CC8"/>
    <w:rsid w:val="00C57BC4"/>
    <w:rsid w:val="00C57EDE"/>
    <w:rsid w:val="00C60915"/>
    <w:rsid w:val="00C60DC3"/>
    <w:rsid w:val="00C61ECA"/>
    <w:rsid w:val="00C647B4"/>
    <w:rsid w:val="00C653D1"/>
    <w:rsid w:val="00C672A2"/>
    <w:rsid w:val="00C67DA4"/>
    <w:rsid w:val="00C7005A"/>
    <w:rsid w:val="00C70386"/>
    <w:rsid w:val="00C73E7D"/>
    <w:rsid w:val="00C76093"/>
    <w:rsid w:val="00C764D4"/>
    <w:rsid w:val="00C77B80"/>
    <w:rsid w:val="00C83C5F"/>
    <w:rsid w:val="00C83CCD"/>
    <w:rsid w:val="00C85681"/>
    <w:rsid w:val="00C87617"/>
    <w:rsid w:val="00C91078"/>
    <w:rsid w:val="00C91A79"/>
    <w:rsid w:val="00C92333"/>
    <w:rsid w:val="00C9428A"/>
    <w:rsid w:val="00C964B8"/>
    <w:rsid w:val="00CA2627"/>
    <w:rsid w:val="00CA2EE1"/>
    <w:rsid w:val="00CA31E6"/>
    <w:rsid w:val="00CA3E30"/>
    <w:rsid w:val="00CA5681"/>
    <w:rsid w:val="00CA7C9C"/>
    <w:rsid w:val="00CB0067"/>
    <w:rsid w:val="00CB165B"/>
    <w:rsid w:val="00CB18B6"/>
    <w:rsid w:val="00CB380B"/>
    <w:rsid w:val="00CB467F"/>
    <w:rsid w:val="00CB5CCE"/>
    <w:rsid w:val="00CB5E7D"/>
    <w:rsid w:val="00CB6369"/>
    <w:rsid w:val="00CB75B7"/>
    <w:rsid w:val="00CB7616"/>
    <w:rsid w:val="00CB7909"/>
    <w:rsid w:val="00CC3440"/>
    <w:rsid w:val="00CC3CE0"/>
    <w:rsid w:val="00CC67A6"/>
    <w:rsid w:val="00CC6BF2"/>
    <w:rsid w:val="00CC7137"/>
    <w:rsid w:val="00CC78F6"/>
    <w:rsid w:val="00CC7F18"/>
    <w:rsid w:val="00CD0596"/>
    <w:rsid w:val="00CD11FD"/>
    <w:rsid w:val="00CD362D"/>
    <w:rsid w:val="00CD3A14"/>
    <w:rsid w:val="00CD405C"/>
    <w:rsid w:val="00CD4AF7"/>
    <w:rsid w:val="00CD4C1C"/>
    <w:rsid w:val="00CD5E13"/>
    <w:rsid w:val="00CD5F69"/>
    <w:rsid w:val="00CD6464"/>
    <w:rsid w:val="00CE019E"/>
    <w:rsid w:val="00CE0D13"/>
    <w:rsid w:val="00CE0E15"/>
    <w:rsid w:val="00CE10B8"/>
    <w:rsid w:val="00CE1421"/>
    <w:rsid w:val="00CE18D8"/>
    <w:rsid w:val="00CE24A0"/>
    <w:rsid w:val="00CE3517"/>
    <w:rsid w:val="00CE3697"/>
    <w:rsid w:val="00CE6381"/>
    <w:rsid w:val="00CE6407"/>
    <w:rsid w:val="00CE6D3F"/>
    <w:rsid w:val="00CE7B9B"/>
    <w:rsid w:val="00CF0F43"/>
    <w:rsid w:val="00CF1A52"/>
    <w:rsid w:val="00CF378E"/>
    <w:rsid w:val="00CF720A"/>
    <w:rsid w:val="00CF77AE"/>
    <w:rsid w:val="00D00E7F"/>
    <w:rsid w:val="00D01670"/>
    <w:rsid w:val="00D023D9"/>
    <w:rsid w:val="00D02B9D"/>
    <w:rsid w:val="00D0344C"/>
    <w:rsid w:val="00D05C26"/>
    <w:rsid w:val="00D062A3"/>
    <w:rsid w:val="00D062AC"/>
    <w:rsid w:val="00D07048"/>
    <w:rsid w:val="00D072CD"/>
    <w:rsid w:val="00D07969"/>
    <w:rsid w:val="00D120EF"/>
    <w:rsid w:val="00D152E7"/>
    <w:rsid w:val="00D15B1C"/>
    <w:rsid w:val="00D15B3E"/>
    <w:rsid w:val="00D169DB"/>
    <w:rsid w:val="00D17A3D"/>
    <w:rsid w:val="00D17AA8"/>
    <w:rsid w:val="00D21F91"/>
    <w:rsid w:val="00D235E1"/>
    <w:rsid w:val="00D241C6"/>
    <w:rsid w:val="00D261F9"/>
    <w:rsid w:val="00D26269"/>
    <w:rsid w:val="00D26F4C"/>
    <w:rsid w:val="00D26F70"/>
    <w:rsid w:val="00D277F2"/>
    <w:rsid w:val="00D312C4"/>
    <w:rsid w:val="00D33027"/>
    <w:rsid w:val="00D35D87"/>
    <w:rsid w:val="00D3796C"/>
    <w:rsid w:val="00D40254"/>
    <w:rsid w:val="00D41963"/>
    <w:rsid w:val="00D419B2"/>
    <w:rsid w:val="00D44171"/>
    <w:rsid w:val="00D44360"/>
    <w:rsid w:val="00D44595"/>
    <w:rsid w:val="00D44788"/>
    <w:rsid w:val="00D45137"/>
    <w:rsid w:val="00D451DC"/>
    <w:rsid w:val="00D45B2B"/>
    <w:rsid w:val="00D50D2F"/>
    <w:rsid w:val="00D51CB3"/>
    <w:rsid w:val="00D52BC8"/>
    <w:rsid w:val="00D53948"/>
    <w:rsid w:val="00D549B9"/>
    <w:rsid w:val="00D554A0"/>
    <w:rsid w:val="00D557EE"/>
    <w:rsid w:val="00D56058"/>
    <w:rsid w:val="00D57C2B"/>
    <w:rsid w:val="00D57D71"/>
    <w:rsid w:val="00D57F4B"/>
    <w:rsid w:val="00D619D1"/>
    <w:rsid w:val="00D6287E"/>
    <w:rsid w:val="00D6395D"/>
    <w:rsid w:val="00D647C0"/>
    <w:rsid w:val="00D65226"/>
    <w:rsid w:val="00D656AD"/>
    <w:rsid w:val="00D66977"/>
    <w:rsid w:val="00D66E5F"/>
    <w:rsid w:val="00D67004"/>
    <w:rsid w:val="00D67BF8"/>
    <w:rsid w:val="00D7026F"/>
    <w:rsid w:val="00D70314"/>
    <w:rsid w:val="00D73660"/>
    <w:rsid w:val="00D73AC8"/>
    <w:rsid w:val="00D74376"/>
    <w:rsid w:val="00D74C07"/>
    <w:rsid w:val="00D76E91"/>
    <w:rsid w:val="00D80B84"/>
    <w:rsid w:val="00D81A0E"/>
    <w:rsid w:val="00D829C2"/>
    <w:rsid w:val="00D82B0B"/>
    <w:rsid w:val="00D82E5A"/>
    <w:rsid w:val="00D834F3"/>
    <w:rsid w:val="00D845D4"/>
    <w:rsid w:val="00D84643"/>
    <w:rsid w:val="00D849AA"/>
    <w:rsid w:val="00D84CC9"/>
    <w:rsid w:val="00D85025"/>
    <w:rsid w:val="00D872D1"/>
    <w:rsid w:val="00D9007B"/>
    <w:rsid w:val="00D90463"/>
    <w:rsid w:val="00D92B8D"/>
    <w:rsid w:val="00D93652"/>
    <w:rsid w:val="00D93B57"/>
    <w:rsid w:val="00D93DDB"/>
    <w:rsid w:val="00D95507"/>
    <w:rsid w:val="00D955EC"/>
    <w:rsid w:val="00D961EB"/>
    <w:rsid w:val="00D96782"/>
    <w:rsid w:val="00D96A21"/>
    <w:rsid w:val="00D975F5"/>
    <w:rsid w:val="00D97BBA"/>
    <w:rsid w:val="00DA02D6"/>
    <w:rsid w:val="00DA0899"/>
    <w:rsid w:val="00DA1750"/>
    <w:rsid w:val="00DA1988"/>
    <w:rsid w:val="00DA2298"/>
    <w:rsid w:val="00DA24E5"/>
    <w:rsid w:val="00DA2E87"/>
    <w:rsid w:val="00DA4228"/>
    <w:rsid w:val="00DA44B7"/>
    <w:rsid w:val="00DA58AA"/>
    <w:rsid w:val="00DA590B"/>
    <w:rsid w:val="00DA6122"/>
    <w:rsid w:val="00DA75DF"/>
    <w:rsid w:val="00DB0727"/>
    <w:rsid w:val="00DB0F14"/>
    <w:rsid w:val="00DB1245"/>
    <w:rsid w:val="00DB1F94"/>
    <w:rsid w:val="00DB2478"/>
    <w:rsid w:val="00DB2C3F"/>
    <w:rsid w:val="00DB3BA4"/>
    <w:rsid w:val="00DB40F8"/>
    <w:rsid w:val="00DB4809"/>
    <w:rsid w:val="00DB5C62"/>
    <w:rsid w:val="00DB5E8F"/>
    <w:rsid w:val="00DB70BC"/>
    <w:rsid w:val="00DB7371"/>
    <w:rsid w:val="00DB767C"/>
    <w:rsid w:val="00DC0972"/>
    <w:rsid w:val="00DC2C46"/>
    <w:rsid w:val="00DC31E2"/>
    <w:rsid w:val="00DC3E99"/>
    <w:rsid w:val="00DC58CE"/>
    <w:rsid w:val="00DC7C3E"/>
    <w:rsid w:val="00DD083C"/>
    <w:rsid w:val="00DD0A9E"/>
    <w:rsid w:val="00DD0C4D"/>
    <w:rsid w:val="00DD1BAA"/>
    <w:rsid w:val="00DD32A8"/>
    <w:rsid w:val="00DD70C0"/>
    <w:rsid w:val="00DD7C7A"/>
    <w:rsid w:val="00DE0B97"/>
    <w:rsid w:val="00DE30E0"/>
    <w:rsid w:val="00DE591A"/>
    <w:rsid w:val="00DE69D4"/>
    <w:rsid w:val="00DE70B4"/>
    <w:rsid w:val="00DE70F4"/>
    <w:rsid w:val="00DF2151"/>
    <w:rsid w:val="00DF2592"/>
    <w:rsid w:val="00DF3029"/>
    <w:rsid w:val="00DF4356"/>
    <w:rsid w:val="00DF6040"/>
    <w:rsid w:val="00DF7007"/>
    <w:rsid w:val="00E00FB2"/>
    <w:rsid w:val="00E010B0"/>
    <w:rsid w:val="00E027E0"/>
    <w:rsid w:val="00E06339"/>
    <w:rsid w:val="00E074D4"/>
    <w:rsid w:val="00E07A8C"/>
    <w:rsid w:val="00E10D35"/>
    <w:rsid w:val="00E13C1A"/>
    <w:rsid w:val="00E14AA0"/>
    <w:rsid w:val="00E157D6"/>
    <w:rsid w:val="00E16772"/>
    <w:rsid w:val="00E17906"/>
    <w:rsid w:val="00E202F8"/>
    <w:rsid w:val="00E20398"/>
    <w:rsid w:val="00E2251B"/>
    <w:rsid w:val="00E22BCE"/>
    <w:rsid w:val="00E258D8"/>
    <w:rsid w:val="00E25BE4"/>
    <w:rsid w:val="00E27DB4"/>
    <w:rsid w:val="00E31545"/>
    <w:rsid w:val="00E316B3"/>
    <w:rsid w:val="00E326FF"/>
    <w:rsid w:val="00E34B8E"/>
    <w:rsid w:val="00E3582F"/>
    <w:rsid w:val="00E35F30"/>
    <w:rsid w:val="00E361B0"/>
    <w:rsid w:val="00E361D1"/>
    <w:rsid w:val="00E374D9"/>
    <w:rsid w:val="00E40751"/>
    <w:rsid w:val="00E41216"/>
    <w:rsid w:val="00E41563"/>
    <w:rsid w:val="00E4274A"/>
    <w:rsid w:val="00E42943"/>
    <w:rsid w:val="00E42DA7"/>
    <w:rsid w:val="00E432CC"/>
    <w:rsid w:val="00E43903"/>
    <w:rsid w:val="00E44FA7"/>
    <w:rsid w:val="00E4695A"/>
    <w:rsid w:val="00E50210"/>
    <w:rsid w:val="00E52D11"/>
    <w:rsid w:val="00E53A75"/>
    <w:rsid w:val="00E53AA8"/>
    <w:rsid w:val="00E53BA2"/>
    <w:rsid w:val="00E54081"/>
    <w:rsid w:val="00E55AB5"/>
    <w:rsid w:val="00E572D1"/>
    <w:rsid w:val="00E574A1"/>
    <w:rsid w:val="00E577AC"/>
    <w:rsid w:val="00E61F96"/>
    <w:rsid w:val="00E62DB8"/>
    <w:rsid w:val="00E63010"/>
    <w:rsid w:val="00E63804"/>
    <w:rsid w:val="00E653BD"/>
    <w:rsid w:val="00E65948"/>
    <w:rsid w:val="00E677EF"/>
    <w:rsid w:val="00E70D84"/>
    <w:rsid w:val="00E7159B"/>
    <w:rsid w:val="00E71996"/>
    <w:rsid w:val="00E71BDD"/>
    <w:rsid w:val="00E72421"/>
    <w:rsid w:val="00E72D02"/>
    <w:rsid w:val="00E7380A"/>
    <w:rsid w:val="00E74C1B"/>
    <w:rsid w:val="00E81EF9"/>
    <w:rsid w:val="00E840B5"/>
    <w:rsid w:val="00E84451"/>
    <w:rsid w:val="00E84CFD"/>
    <w:rsid w:val="00E859DF"/>
    <w:rsid w:val="00E866CC"/>
    <w:rsid w:val="00E86C14"/>
    <w:rsid w:val="00E86C84"/>
    <w:rsid w:val="00E87041"/>
    <w:rsid w:val="00E91192"/>
    <w:rsid w:val="00E931ED"/>
    <w:rsid w:val="00E93B05"/>
    <w:rsid w:val="00E94AED"/>
    <w:rsid w:val="00E94B0F"/>
    <w:rsid w:val="00E95201"/>
    <w:rsid w:val="00E9631E"/>
    <w:rsid w:val="00E966DD"/>
    <w:rsid w:val="00EA0625"/>
    <w:rsid w:val="00EA10E7"/>
    <w:rsid w:val="00EA1574"/>
    <w:rsid w:val="00EA1807"/>
    <w:rsid w:val="00EA38FE"/>
    <w:rsid w:val="00EA4947"/>
    <w:rsid w:val="00EA5554"/>
    <w:rsid w:val="00EA6540"/>
    <w:rsid w:val="00EA7350"/>
    <w:rsid w:val="00EB0731"/>
    <w:rsid w:val="00EB5C1B"/>
    <w:rsid w:val="00EB5EE5"/>
    <w:rsid w:val="00EB7170"/>
    <w:rsid w:val="00EC0C41"/>
    <w:rsid w:val="00EC11F0"/>
    <w:rsid w:val="00EC14FA"/>
    <w:rsid w:val="00EC1594"/>
    <w:rsid w:val="00EC1C8C"/>
    <w:rsid w:val="00EC3DC7"/>
    <w:rsid w:val="00EC5FD5"/>
    <w:rsid w:val="00EC6377"/>
    <w:rsid w:val="00EC6FE0"/>
    <w:rsid w:val="00ED12E1"/>
    <w:rsid w:val="00ED2521"/>
    <w:rsid w:val="00ED2FB9"/>
    <w:rsid w:val="00ED34AC"/>
    <w:rsid w:val="00ED6873"/>
    <w:rsid w:val="00ED6F18"/>
    <w:rsid w:val="00ED73EF"/>
    <w:rsid w:val="00EE0293"/>
    <w:rsid w:val="00EE0AA4"/>
    <w:rsid w:val="00EE0C7D"/>
    <w:rsid w:val="00EE1F54"/>
    <w:rsid w:val="00EE40F7"/>
    <w:rsid w:val="00EE456B"/>
    <w:rsid w:val="00EE508D"/>
    <w:rsid w:val="00EE6446"/>
    <w:rsid w:val="00EE7CB2"/>
    <w:rsid w:val="00EF01B0"/>
    <w:rsid w:val="00EF0BB3"/>
    <w:rsid w:val="00EF20A6"/>
    <w:rsid w:val="00EF284B"/>
    <w:rsid w:val="00EF35BF"/>
    <w:rsid w:val="00EF381C"/>
    <w:rsid w:val="00EF5780"/>
    <w:rsid w:val="00EF741C"/>
    <w:rsid w:val="00EF7C61"/>
    <w:rsid w:val="00F00C37"/>
    <w:rsid w:val="00F011EF"/>
    <w:rsid w:val="00F034AC"/>
    <w:rsid w:val="00F03879"/>
    <w:rsid w:val="00F0416A"/>
    <w:rsid w:val="00F0439B"/>
    <w:rsid w:val="00F05C83"/>
    <w:rsid w:val="00F06745"/>
    <w:rsid w:val="00F06853"/>
    <w:rsid w:val="00F1066F"/>
    <w:rsid w:val="00F10D0F"/>
    <w:rsid w:val="00F11167"/>
    <w:rsid w:val="00F1163E"/>
    <w:rsid w:val="00F118ED"/>
    <w:rsid w:val="00F12979"/>
    <w:rsid w:val="00F148D9"/>
    <w:rsid w:val="00F160D2"/>
    <w:rsid w:val="00F16314"/>
    <w:rsid w:val="00F17EBA"/>
    <w:rsid w:val="00F2068C"/>
    <w:rsid w:val="00F20817"/>
    <w:rsid w:val="00F2335D"/>
    <w:rsid w:val="00F26F28"/>
    <w:rsid w:val="00F27A76"/>
    <w:rsid w:val="00F300F3"/>
    <w:rsid w:val="00F31F68"/>
    <w:rsid w:val="00F327C9"/>
    <w:rsid w:val="00F339A2"/>
    <w:rsid w:val="00F33E3A"/>
    <w:rsid w:val="00F35070"/>
    <w:rsid w:val="00F3523C"/>
    <w:rsid w:val="00F35EA5"/>
    <w:rsid w:val="00F40A8B"/>
    <w:rsid w:val="00F41EA7"/>
    <w:rsid w:val="00F45138"/>
    <w:rsid w:val="00F4580F"/>
    <w:rsid w:val="00F4748D"/>
    <w:rsid w:val="00F51143"/>
    <w:rsid w:val="00F515D4"/>
    <w:rsid w:val="00F53497"/>
    <w:rsid w:val="00F53841"/>
    <w:rsid w:val="00F53B21"/>
    <w:rsid w:val="00F53D9A"/>
    <w:rsid w:val="00F555D1"/>
    <w:rsid w:val="00F55CBB"/>
    <w:rsid w:val="00F57D0B"/>
    <w:rsid w:val="00F612B3"/>
    <w:rsid w:val="00F64D10"/>
    <w:rsid w:val="00F653FF"/>
    <w:rsid w:val="00F657C0"/>
    <w:rsid w:val="00F676C1"/>
    <w:rsid w:val="00F7064A"/>
    <w:rsid w:val="00F7383F"/>
    <w:rsid w:val="00F747AD"/>
    <w:rsid w:val="00F75FFC"/>
    <w:rsid w:val="00F766F2"/>
    <w:rsid w:val="00F829DE"/>
    <w:rsid w:val="00F83255"/>
    <w:rsid w:val="00F83D74"/>
    <w:rsid w:val="00F84674"/>
    <w:rsid w:val="00F86E04"/>
    <w:rsid w:val="00F87C1E"/>
    <w:rsid w:val="00F87F11"/>
    <w:rsid w:val="00F916A4"/>
    <w:rsid w:val="00F91DF5"/>
    <w:rsid w:val="00F930B1"/>
    <w:rsid w:val="00F93819"/>
    <w:rsid w:val="00F942CA"/>
    <w:rsid w:val="00F9452C"/>
    <w:rsid w:val="00F94EDA"/>
    <w:rsid w:val="00F96224"/>
    <w:rsid w:val="00F975CE"/>
    <w:rsid w:val="00FA02BC"/>
    <w:rsid w:val="00FA0964"/>
    <w:rsid w:val="00FA1376"/>
    <w:rsid w:val="00FA157C"/>
    <w:rsid w:val="00FA357C"/>
    <w:rsid w:val="00FA3F25"/>
    <w:rsid w:val="00FA53CB"/>
    <w:rsid w:val="00FA65ED"/>
    <w:rsid w:val="00FA7ECF"/>
    <w:rsid w:val="00FB11A6"/>
    <w:rsid w:val="00FB46C5"/>
    <w:rsid w:val="00FB535B"/>
    <w:rsid w:val="00FB7206"/>
    <w:rsid w:val="00FB745E"/>
    <w:rsid w:val="00FC0E1A"/>
    <w:rsid w:val="00FC1D72"/>
    <w:rsid w:val="00FC1F2A"/>
    <w:rsid w:val="00FC2827"/>
    <w:rsid w:val="00FC40CE"/>
    <w:rsid w:val="00FC5BDA"/>
    <w:rsid w:val="00FC5E60"/>
    <w:rsid w:val="00FC5ECD"/>
    <w:rsid w:val="00FD061B"/>
    <w:rsid w:val="00FD1DEB"/>
    <w:rsid w:val="00FD5310"/>
    <w:rsid w:val="00FD656A"/>
    <w:rsid w:val="00FD7616"/>
    <w:rsid w:val="00FE019A"/>
    <w:rsid w:val="00FE0384"/>
    <w:rsid w:val="00FE0C92"/>
    <w:rsid w:val="00FE10D6"/>
    <w:rsid w:val="00FE51ED"/>
    <w:rsid w:val="00FE5577"/>
    <w:rsid w:val="00FE5B17"/>
    <w:rsid w:val="00FE5EA2"/>
    <w:rsid w:val="00FF1BC1"/>
    <w:rsid w:val="00FF2C73"/>
    <w:rsid w:val="00FF34CA"/>
    <w:rsid w:val="00FF734C"/>
    <w:rsid w:val="00FF741A"/>
    <w:rsid w:val="011EB94E"/>
    <w:rsid w:val="0158CAAE"/>
    <w:rsid w:val="01729F59"/>
    <w:rsid w:val="01A5A38D"/>
    <w:rsid w:val="01C4795D"/>
    <w:rsid w:val="01EA3F61"/>
    <w:rsid w:val="02948503"/>
    <w:rsid w:val="029B38D6"/>
    <w:rsid w:val="02CEAAE1"/>
    <w:rsid w:val="02FD1F9E"/>
    <w:rsid w:val="0375B667"/>
    <w:rsid w:val="0418D01E"/>
    <w:rsid w:val="04D15067"/>
    <w:rsid w:val="059F3FDA"/>
    <w:rsid w:val="05DBA372"/>
    <w:rsid w:val="05E0432D"/>
    <w:rsid w:val="064EA782"/>
    <w:rsid w:val="066E43CF"/>
    <w:rsid w:val="067565B6"/>
    <w:rsid w:val="073E80CB"/>
    <w:rsid w:val="07936550"/>
    <w:rsid w:val="07A21C04"/>
    <w:rsid w:val="07D6FA60"/>
    <w:rsid w:val="07E8D75B"/>
    <w:rsid w:val="087AD0A2"/>
    <w:rsid w:val="08910383"/>
    <w:rsid w:val="090724F1"/>
    <w:rsid w:val="092F35B1"/>
    <w:rsid w:val="09C514EB"/>
    <w:rsid w:val="09C7423A"/>
    <w:rsid w:val="09FDC736"/>
    <w:rsid w:val="0AA3BC63"/>
    <w:rsid w:val="0AC4D0E5"/>
    <w:rsid w:val="0ACB0612"/>
    <w:rsid w:val="0B127E3B"/>
    <w:rsid w:val="0BDACBD0"/>
    <w:rsid w:val="0BE8301A"/>
    <w:rsid w:val="0BEB4DB1"/>
    <w:rsid w:val="0BF8AC3B"/>
    <w:rsid w:val="0C9409CA"/>
    <w:rsid w:val="0CC12875"/>
    <w:rsid w:val="0CEFFB03"/>
    <w:rsid w:val="0CF4BDBF"/>
    <w:rsid w:val="0D16D167"/>
    <w:rsid w:val="0D533000"/>
    <w:rsid w:val="0DEA4BE8"/>
    <w:rsid w:val="0E02A6D4"/>
    <w:rsid w:val="0E267E43"/>
    <w:rsid w:val="0E4D6C73"/>
    <w:rsid w:val="0EE2FAE1"/>
    <w:rsid w:val="0F1FD0DC"/>
    <w:rsid w:val="0F3DF06C"/>
    <w:rsid w:val="0F5D33E1"/>
    <w:rsid w:val="0F81387E"/>
    <w:rsid w:val="0F9231B7"/>
    <w:rsid w:val="10126B36"/>
    <w:rsid w:val="1080FB89"/>
    <w:rsid w:val="10C70F9D"/>
    <w:rsid w:val="11897AB6"/>
    <w:rsid w:val="119238F7"/>
    <w:rsid w:val="11BE2F02"/>
    <w:rsid w:val="12C8A0D3"/>
    <w:rsid w:val="1346BE8D"/>
    <w:rsid w:val="135EFF1E"/>
    <w:rsid w:val="140188BD"/>
    <w:rsid w:val="14B44DA7"/>
    <w:rsid w:val="157A8E5C"/>
    <w:rsid w:val="157ED670"/>
    <w:rsid w:val="15A479FF"/>
    <w:rsid w:val="15F08764"/>
    <w:rsid w:val="16345C44"/>
    <w:rsid w:val="1672A17F"/>
    <w:rsid w:val="1760375A"/>
    <w:rsid w:val="176FBF53"/>
    <w:rsid w:val="17BDEA5B"/>
    <w:rsid w:val="18871FC4"/>
    <w:rsid w:val="18888685"/>
    <w:rsid w:val="188DFE58"/>
    <w:rsid w:val="18950573"/>
    <w:rsid w:val="189D187F"/>
    <w:rsid w:val="1924F6C0"/>
    <w:rsid w:val="192AEF23"/>
    <w:rsid w:val="19BA6323"/>
    <w:rsid w:val="1A92E59C"/>
    <w:rsid w:val="1A957FEA"/>
    <w:rsid w:val="1AA3629F"/>
    <w:rsid w:val="1AD42AD8"/>
    <w:rsid w:val="1AE10747"/>
    <w:rsid w:val="1B061D51"/>
    <w:rsid w:val="1B2A5D39"/>
    <w:rsid w:val="1B6DE4D9"/>
    <w:rsid w:val="1B8BAD11"/>
    <w:rsid w:val="1BC5B7BA"/>
    <w:rsid w:val="1BE56CD4"/>
    <w:rsid w:val="1BF9D9BC"/>
    <w:rsid w:val="1CFB5751"/>
    <w:rsid w:val="1D034038"/>
    <w:rsid w:val="1DA4C039"/>
    <w:rsid w:val="1DCACE77"/>
    <w:rsid w:val="1E6506E0"/>
    <w:rsid w:val="1E81A1BA"/>
    <w:rsid w:val="1EA1B1C5"/>
    <w:rsid w:val="1F0D5365"/>
    <w:rsid w:val="1F4425E9"/>
    <w:rsid w:val="1F760897"/>
    <w:rsid w:val="20252006"/>
    <w:rsid w:val="20C27026"/>
    <w:rsid w:val="20F72472"/>
    <w:rsid w:val="2115996A"/>
    <w:rsid w:val="21273817"/>
    <w:rsid w:val="214AEF14"/>
    <w:rsid w:val="224923CC"/>
    <w:rsid w:val="22546D0B"/>
    <w:rsid w:val="226850BC"/>
    <w:rsid w:val="2293A27E"/>
    <w:rsid w:val="229F503C"/>
    <w:rsid w:val="22EB90F1"/>
    <w:rsid w:val="233ACBB4"/>
    <w:rsid w:val="2358AC1F"/>
    <w:rsid w:val="236B9E50"/>
    <w:rsid w:val="237522E8"/>
    <w:rsid w:val="23B75454"/>
    <w:rsid w:val="241D9EC5"/>
    <w:rsid w:val="242CACA5"/>
    <w:rsid w:val="24B9E96D"/>
    <w:rsid w:val="24D4CF55"/>
    <w:rsid w:val="24FB3019"/>
    <w:rsid w:val="252FDF1A"/>
    <w:rsid w:val="25F885F2"/>
    <w:rsid w:val="2608D44C"/>
    <w:rsid w:val="26904CE1"/>
    <w:rsid w:val="27833950"/>
    <w:rsid w:val="27858F3E"/>
    <w:rsid w:val="27B51660"/>
    <w:rsid w:val="27B60CAA"/>
    <w:rsid w:val="27C222AB"/>
    <w:rsid w:val="28006049"/>
    <w:rsid w:val="282F6BAE"/>
    <w:rsid w:val="28C794A6"/>
    <w:rsid w:val="290D057F"/>
    <w:rsid w:val="298882F6"/>
    <w:rsid w:val="2A039646"/>
    <w:rsid w:val="2A589D0B"/>
    <w:rsid w:val="2AD94C47"/>
    <w:rsid w:val="2ADD7A79"/>
    <w:rsid w:val="2B63221F"/>
    <w:rsid w:val="2BF274D2"/>
    <w:rsid w:val="2C215C67"/>
    <w:rsid w:val="2CA50614"/>
    <w:rsid w:val="2D539CE3"/>
    <w:rsid w:val="2D69FF0F"/>
    <w:rsid w:val="2D7BD561"/>
    <w:rsid w:val="2DC805BB"/>
    <w:rsid w:val="2E0397D7"/>
    <w:rsid w:val="2E8AE2A5"/>
    <w:rsid w:val="2E8FB911"/>
    <w:rsid w:val="2EB9EBC3"/>
    <w:rsid w:val="2EE6B69F"/>
    <w:rsid w:val="2F01D42E"/>
    <w:rsid w:val="2F927025"/>
    <w:rsid w:val="2FA30F8D"/>
    <w:rsid w:val="30490191"/>
    <w:rsid w:val="305D9E43"/>
    <w:rsid w:val="306A3A8B"/>
    <w:rsid w:val="30772495"/>
    <w:rsid w:val="30BE402E"/>
    <w:rsid w:val="314BD7BF"/>
    <w:rsid w:val="31A8073E"/>
    <w:rsid w:val="320CBAD1"/>
    <w:rsid w:val="326A1920"/>
    <w:rsid w:val="3295DB25"/>
    <w:rsid w:val="32CBBAA9"/>
    <w:rsid w:val="332AECF2"/>
    <w:rsid w:val="343D4541"/>
    <w:rsid w:val="34825C3E"/>
    <w:rsid w:val="3493AFA4"/>
    <w:rsid w:val="34F9A432"/>
    <w:rsid w:val="367CCC2D"/>
    <w:rsid w:val="37B2E115"/>
    <w:rsid w:val="37B7F2A1"/>
    <w:rsid w:val="3812DD51"/>
    <w:rsid w:val="38189C8E"/>
    <w:rsid w:val="383431B3"/>
    <w:rsid w:val="3853AA5F"/>
    <w:rsid w:val="38559E16"/>
    <w:rsid w:val="38FDE5FF"/>
    <w:rsid w:val="3A2677CE"/>
    <w:rsid w:val="3A54292B"/>
    <w:rsid w:val="3AF7B93D"/>
    <w:rsid w:val="3C4A4B8E"/>
    <w:rsid w:val="3C57CAD0"/>
    <w:rsid w:val="3C8B555F"/>
    <w:rsid w:val="3C8FEC0E"/>
    <w:rsid w:val="3CF6D9EF"/>
    <w:rsid w:val="3DC74B52"/>
    <w:rsid w:val="3DF39B31"/>
    <w:rsid w:val="3E8EFD63"/>
    <w:rsid w:val="3F1D28A5"/>
    <w:rsid w:val="3F1E9409"/>
    <w:rsid w:val="3F2FBA83"/>
    <w:rsid w:val="3FBF28E0"/>
    <w:rsid w:val="3FD76FAE"/>
    <w:rsid w:val="400C2540"/>
    <w:rsid w:val="4029D152"/>
    <w:rsid w:val="40889B85"/>
    <w:rsid w:val="40FC7C6D"/>
    <w:rsid w:val="410736E0"/>
    <w:rsid w:val="41B26DB6"/>
    <w:rsid w:val="41BFFFA5"/>
    <w:rsid w:val="42317B8B"/>
    <w:rsid w:val="42499FCC"/>
    <w:rsid w:val="4257A6BD"/>
    <w:rsid w:val="42EDB449"/>
    <w:rsid w:val="434AB769"/>
    <w:rsid w:val="437D79D9"/>
    <w:rsid w:val="438F5C9C"/>
    <w:rsid w:val="43EB62D7"/>
    <w:rsid w:val="43F593B2"/>
    <w:rsid w:val="444B4105"/>
    <w:rsid w:val="4462DCB5"/>
    <w:rsid w:val="44CF7327"/>
    <w:rsid w:val="4522E488"/>
    <w:rsid w:val="46888761"/>
    <w:rsid w:val="46DAD62F"/>
    <w:rsid w:val="46F27009"/>
    <w:rsid w:val="4856FF09"/>
    <w:rsid w:val="48604EBF"/>
    <w:rsid w:val="49364DD8"/>
    <w:rsid w:val="49406210"/>
    <w:rsid w:val="49BB7348"/>
    <w:rsid w:val="49BBA50F"/>
    <w:rsid w:val="4A488C42"/>
    <w:rsid w:val="4A6BB852"/>
    <w:rsid w:val="4AD21E39"/>
    <w:rsid w:val="4B12A314"/>
    <w:rsid w:val="4C11E031"/>
    <w:rsid w:val="4C6C4DE4"/>
    <w:rsid w:val="4C945797"/>
    <w:rsid w:val="4D769726"/>
    <w:rsid w:val="4E183227"/>
    <w:rsid w:val="4EB0F04C"/>
    <w:rsid w:val="4EC6E523"/>
    <w:rsid w:val="4F126787"/>
    <w:rsid w:val="4F95E4E7"/>
    <w:rsid w:val="50BFD341"/>
    <w:rsid w:val="50F78CFC"/>
    <w:rsid w:val="51356DF0"/>
    <w:rsid w:val="51C606F1"/>
    <w:rsid w:val="524A0849"/>
    <w:rsid w:val="5268180A"/>
    <w:rsid w:val="529EDDB8"/>
    <w:rsid w:val="52F215B7"/>
    <w:rsid w:val="5361D752"/>
    <w:rsid w:val="551786B0"/>
    <w:rsid w:val="5596F4ED"/>
    <w:rsid w:val="55B4BA10"/>
    <w:rsid w:val="55FC1717"/>
    <w:rsid w:val="564F8672"/>
    <w:rsid w:val="567D2889"/>
    <w:rsid w:val="56D9F13E"/>
    <w:rsid w:val="57367E53"/>
    <w:rsid w:val="57A0E310"/>
    <w:rsid w:val="58966BEA"/>
    <w:rsid w:val="58B949CD"/>
    <w:rsid w:val="59ACB6DD"/>
    <w:rsid w:val="59C8E997"/>
    <w:rsid w:val="5A47EC39"/>
    <w:rsid w:val="5A551A2E"/>
    <w:rsid w:val="5A82E686"/>
    <w:rsid w:val="5AF02F89"/>
    <w:rsid w:val="5B10DF4F"/>
    <w:rsid w:val="5BE3BC9A"/>
    <w:rsid w:val="5C1EB6E7"/>
    <w:rsid w:val="5C5F0D00"/>
    <w:rsid w:val="5C82E46C"/>
    <w:rsid w:val="5CD3BA00"/>
    <w:rsid w:val="5CEC6A0D"/>
    <w:rsid w:val="5D1C092A"/>
    <w:rsid w:val="5D24594A"/>
    <w:rsid w:val="5D9E3E54"/>
    <w:rsid w:val="5DAF4537"/>
    <w:rsid w:val="5E3E7C8C"/>
    <w:rsid w:val="5E883A6E"/>
    <w:rsid w:val="5EE16811"/>
    <w:rsid w:val="5F17B02B"/>
    <w:rsid w:val="5F288B51"/>
    <w:rsid w:val="5F3D2F4C"/>
    <w:rsid w:val="5FE3ECB9"/>
    <w:rsid w:val="60109554"/>
    <w:rsid w:val="6016A13E"/>
    <w:rsid w:val="60240ACF"/>
    <w:rsid w:val="603C1525"/>
    <w:rsid w:val="60686E33"/>
    <w:rsid w:val="615672BE"/>
    <w:rsid w:val="61BFDB30"/>
    <w:rsid w:val="61FADE14"/>
    <w:rsid w:val="633E1149"/>
    <w:rsid w:val="638BC0DA"/>
    <w:rsid w:val="64F41C31"/>
    <w:rsid w:val="652DD7F3"/>
    <w:rsid w:val="657D008E"/>
    <w:rsid w:val="65F04A31"/>
    <w:rsid w:val="65F46E0C"/>
    <w:rsid w:val="6608BB0B"/>
    <w:rsid w:val="6679BC7E"/>
    <w:rsid w:val="673610D2"/>
    <w:rsid w:val="67BB1379"/>
    <w:rsid w:val="68370A3A"/>
    <w:rsid w:val="68A4DA89"/>
    <w:rsid w:val="68AA1364"/>
    <w:rsid w:val="69048C70"/>
    <w:rsid w:val="69B9102E"/>
    <w:rsid w:val="6A22251C"/>
    <w:rsid w:val="6A3DBE6D"/>
    <w:rsid w:val="6AA8856B"/>
    <w:rsid w:val="6B09C282"/>
    <w:rsid w:val="6B19F664"/>
    <w:rsid w:val="6B474D68"/>
    <w:rsid w:val="6B4FCCD5"/>
    <w:rsid w:val="6B84787B"/>
    <w:rsid w:val="6B9BDC37"/>
    <w:rsid w:val="6C518B6A"/>
    <w:rsid w:val="6CB16966"/>
    <w:rsid w:val="6D7CBE4A"/>
    <w:rsid w:val="6E0E91B1"/>
    <w:rsid w:val="6E416344"/>
    <w:rsid w:val="6E93BF14"/>
    <w:rsid w:val="6FD90119"/>
    <w:rsid w:val="6FDD33A5"/>
    <w:rsid w:val="701949B1"/>
    <w:rsid w:val="7031397C"/>
    <w:rsid w:val="70421C1F"/>
    <w:rsid w:val="70425B95"/>
    <w:rsid w:val="70988B10"/>
    <w:rsid w:val="7143C398"/>
    <w:rsid w:val="719718FB"/>
    <w:rsid w:val="71B55015"/>
    <w:rsid w:val="721B136B"/>
    <w:rsid w:val="7284D14C"/>
    <w:rsid w:val="73924059"/>
    <w:rsid w:val="7456809E"/>
    <w:rsid w:val="748D4ACD"/>
    <w:rsid w:val="74B354EA"/>
    <w:rsid w:val="75135BB5"/>
    <w:rsid w:val="75D0C967"/>
    <w:rsid w:val="76C231EB"/>
    <w:rsid w:val="76F85752"/>
    <w:rsid w:val="772B5DB2"/>
    <w:rsid w:val="774C44EA"/>
    <w:rsid w:val="77877EA5"/>
    <w:rsid w:val="77A156BA"/>
    <w:rsid w:val="77E19EAF"/>
    <w:rsid w:val="780C907C"/>
    <w:rsid w:val="78424DDD"/>
    <w:rsid w:val="787D61BB"/>
    <w:rsid w:val="7881A9CF"/>
    <w:rsid w:val="78924C31"/>
    <w:rsid w:val="78927E07"/>
    <w:rsid w:val="7A2A077D"/>
    <w:rsid w:val="7A2E1C92"/>
    <w:rsid w:val="7A5B4152"/>
    <w:rsid w:val="7AED5704"/>
    <w:rsid w:val="7B688439"/>
    <w:rsid w:val="7B80AFEE"/>
    <w:rsid w:val="7BA63CC2"/>
    <w:rsid w:val="7BCA1EC9"/>
    <w:rsid w:val="7CB62396"/>
    <w:rsid w:val="7D0DC1F4"/>
    <w:rsid w:val="7D34DBDB"/>
    <w:rsid w:val="7DC5B9F4"/>
    <w:rsid w:val="7F4DE44F"/>
    <w:rsid w:val="7F705AF8"/>
    <w:rsid w:val="7F76E0FD"/>
    <w:rsid w:val="7F9AF996"/>
    <w:rsid w:val="7FFDDF43"/>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578B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uiPriority="9" w:qFormat="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7DA4"/>
    <w:rPr>
      <w:sz w:val="22"/>
    </w:rPr>
  </w:style>
  <w:style w:type="paragraph" w:styleId="Heading1">
    <w:name w:val="heading 1"/>
    <w:aliases w:val="Cover title white"/>
    <w:next w:val="Normal"/>
    <w:link w:val="Heading1Char"/>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uiPriority w:val="9"/>
    <w:semiHidden/>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4"/>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4"/>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4"/>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4"/>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4"/>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8"/>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482FB6"/>
    <w:pPr>
      <w:numPr>
        <w:ilvl w:val="1"/>
        <w:numId w:val="8"/>
      </w:numPr>
    </w:pPr>
  </w:style>
  <w:style w:type="paragraph" w:customStyle="1" w:styleId="Titlelevel2">
    <w:name w:val="Title level 2"/>
    <w:qFormat/>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lang w:val="fr-FR"/>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lang w:val="fr-FR"/>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lang w:val="fr-FR"/>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lang w:val="fr-FR"/>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lang w:val="fr-FR"/>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8F3908"/>
    <w:pPr>
      <w:numPr>
        <w:numId w:val="6"/>
      </w:numPr>
    </w:pPr>
    <w:rPr>
      <w:sz w:val="22"/>
      <w:szCs w:val="22"/>
    </w:rPr>
  </w:style>
  <w:style w:type="paragraph" w:styleId="Footer">
    <w:name w:val="footer"/>
    <w:basedOn w:val="Normal"/>
    <w:link w:val="FooterChar"/>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val="en-IE"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7"/>
      </w:numPr>
      <w:spacing w:before="240" w:after="12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3221EF"/>
    <w:pPr>
      <w:keepNext/>
      <w:spacing w:before="360" w:after="360"/>
    </w:pPr>
    <w:rPr>
      <w:rFonts w:eastAsia="Times New Roman" w:cs="Times New Roman"/>
      <w:bCs/>
      <w:noProof/>
      <w:color w:val="2F5773" w:themeColor="text2"/>
      <w:szCs w:val="20"/>
      <w:lang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basedOn w:val="body"/>
    <w:link w:val="FootnoteTextChar"/>
    <w:autoRedefine/>
    <w:qFormat/>
    <w:rsid w:val="004B070F"/>
    <w:pPr>
      <w:spacing w:before="80" w:after="0" w:line="200" w:lineRule="exact"/>
    </w:pPr>
    <w:rPr>
      <w:sz w:val="18"/>
      <w:szCs w:val="18"/>
    </w:rPr>
  </w:style>
  <w:style w:type="character" w:customStyle="1" w:styleId="FootnoteTextChar">
    <w:name w:val="Footnote Text Char"/>
    <w:basedOn w:val="DefaultParagraphFont"/>
    <w:link w:val="FootnoteText"/>
    <w:rsid w:val="004B070F"/>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3"/>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2"/>
      </w:numPr>
    </w:pPr>
    <w:rPr>
      <w:szCs w:val="22"/>
    </w:rPr>
  </w:style>
  <w:style w:type="paragraph" w:customStyle="1" w:styleId="Numberedtitlelevel3">
    <w:name w:val="Numbered title level 3"/>
    <w:basedOn w:val="Titlelevel3"/>
    <w:next w:val="body"/>
    <w:qFormat/>
    <w:rsid w:val="008F3908"/>
    <w:pPr>
      <w:numPr>
        <w:ilvl w:val="2"/>
        <w:numId w:val="8"/>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5D4005"/>
    <w:pPr>
      <w:numPr>
        <w:numId w:val="5"/>
      </w:numPr>
    </w:pPr>
  </w:style>
  <w:style w:type="paragraph" w:styleId="Header">
    <w:name w:val="header"/>
    <w:basedOn w:val="Normal"/>
    <w:link w:val="HeaderChar"/>
    <w:uiPriority w:val="99"/>
    <w:rsid w:val="00A92440"/>
    <w:pPr>
      <w:tabs>
        <w:tab w:val="center" w:pos="4320"/>
        <w:tab w:val="right" w:pos="8640"/>
      </w:tabs>
    </w:pPr>
  </w:style>
  <w:style w:type="character" w:customStyle="1" w:styleId="HeaderChar">
    <w:name w:val="Header Char"/>
    <w:basedOn w:val="DefaultParagraphFont"/>
    <w:link w:val="Header"/>
    <w:uiPriority w:val="99"/>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fr-FR"/>
    </w:rPr>
  </w:style>
  <w:style w:type="character" w:styleId="BookTitle">
    <w:name w:val="Book Title"/>
    <w:basedOn w:val="DefaultParagraphFont"/>
    <w:uiPriority w:val="33"/>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eastAsia="en-GB"/>
    </w:rPr>
  </w:style>
  <w:style w:type="paragraph" w:styleId="ListBullet">
    <w:name w:val="List Bullet"/>
    <w:basedOn w:val="Normal"/>
    <w:semiHidden/>
    <w:qFormat/>
    <w:rsid w:val="00A304D0"/>
    <w:pPr>
      <w:numPr>
        <w:numId w:val="10"/>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qFormat/>
    <w:rsid w:val="00E22BCE"/>
    <w:pPr>
      <w:numPr>
        <w:numId w:val="9"/>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rPr>
  </w:style>
  <w:style w:type="paragraph" w:styleId="TOCHeading">
    <w:name w:val="TOC Heading"/>
    <w:basedOn w:val="Heading1"/>
    <w:next w:val="Normal"/>
    <w:uiPriority w:val="39"/>
    <w:semiHidden/>
    <w:qFormat/>
    <w:rsid w:val="00B43E07"/>
    <w:pPr>
      <w:spacing w:before="480"/>
      <w:outlineLvl w:val="9"/>
    </w:pPr>
    <w:rPr>
      <w:caps w:val="0"/>
      <w:color w:val="234156" w:themeColor="accent1" w:themeShade="BF"/>
      <w:sz w:val="28"/>
      <w:szCs w:val="28"/>
    </w:r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B43E07"/>
    <w:pPr>
      <w:numPr>
        <w:numId w:val="11"/>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F12DA"/>
    <w:pPr>
      <w:ind w:left="720"/>
    </w:pPr>
    <w:rPr>
      <w:rFonts w:ascii="Calibri" w:eastAsia="Calibri" w:hAnsi="Calibri" w:cs="Times New Roman"/>
      <w:szCs w:val="22"/>
    </w:rPr>
  </w:style>
  <w:style w:type="character" w:styleId="CommentReference">
    <w:name w:val="annotation reference"/>
    <w:basedOn w:val="DefaultParagraphFont"/>
    <w:uiPriority w:val="99"/>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D120EF"/>
    <w:pPr>
      <w:spacing w:after="200"/>
    </w:pPr>
    <w:rPr>
      <w:b/>
      <w:bCs/>
      <w:color w:val="2F5773" w:themeColor="accent1"/>
      <w:sz w:val="18"/>
      <w:szCs w:val="18"/>
    </w:rPr>
  </w:style>
  <w:style w:type="paragraph" w:customStyle="1" w:styleId="TableMainHeading">
    <w:name w:val="TableMainHeading"/>
    <w:basedOn w:val="Normal"/>
    <w:next w:val="Normal"/>
    <w:uiPriority w:val="99"/>
    <w:rsid w:val="00810F8E"/>
    <w:pPr>
      <w:spacing w:before="120" w:after="120"/>
    </w:pPr>
    <w:rPr>
      <w:rFonts w:ascii="Segoe UI" w:eastAsia="Times New Roman" w:hAnsi="Segoe UI" w:cs="Times New Roman"/>
      <w:szCs w:val="20"/>
    </w:rPr>
  </w:style>
  <w:style w:type="paragraph" w:customStyle="1" w:styleId="TableNote">
    <w:name w:val="TableNote"/>
    <w:basedOn w:val="Normal"/>
    <w:rsid w:val="006F0B70"/>
    <w:pPr>
      <w:spacing w:before="60" w:after="120"/>
      <w:jc w:val="both"/>
    </w:pPr>
    <w:rPr>
      <w:rFonts w:ascii="Segoe UI" w:eastAsia="Times New Roman" w:hAnsi="Segoe UI" w:cs="Times New Roman"/>
      <w:sz w:val="15"/>
      <w:szCs w:val="20"/>
    </w:rPr>
  </w:style>
  <w:style w:type="paragraph" w:customStyle="1" w:styleId="CM11">
    <w:name w:val="CM1+1"/>
    <w:basedOn w:val="Default"/>
    <w:next w:val="Default"/>
    <w:uiPriority w:val="99"/>
    <w:rsid w:val="008539BB"/>
    <w:rPr>
      <w:rFonts w:ascii="EUAlbertina" w:eastAsiaTheme="minorEastAsia" w:hAnsi="EUAlbertina" w:cstheme="minorBidi"/>
      <w:color w:val="auto"/>
    </w:rPr>
  </w:style>
  <w:style w:type="paragraph" w:customStyle="1" w:styleId="CM31">
    <w:name w:val="CM3+1"/>
    <w:basedOn w:val="Default"/>
    <w:next w:val="Default"/>
    <w:uiPriority w:val="99"/>
    <w:rsid w:val="008539BB"/>
    <w:rPr>
      <w:rFonts w:ascii="EUAlbertina" w:eastAsiaTheme="minorEastAsia" w:hAnsi="EUAlbertina" w:cstheme="minorBidi"/>
      <w:color w:val="auto"/>
    </w:rPr>
  </w:style>
  <w:style w:type="paragraph" w:customStyle="1" w:styleId="CM13">
    <w:name w:val="CM1+3"/>
    <w:basedOn w:val="Default"/>
    <w:next w:val="Default"/>
    <w:uiPriority w:val="99"/>
    <w:rsid w:val="004B3092"/>
    <w:rPr>
      <w:rFonts w:ascii="EUAlbertina" w:eastAsiaTheme="minorEastAsia" w:hAnsi="EUAlbertina" w:cstheme="minorBidi"/>
      <w:color w:val="auto"/>
    </w:rPr>
  </w:style>
  <w:style w:type="paragraph" w:customStyle="1" w:styleId="CM33">
    <w:name w:val="CM3+3"/>
    <w:basedOn w:val="Default"/>
    <w:next w:val="Default"/>
    <w:uiPriority w:val="99"/>
    <w:rsid w:val="004B3092"/>
    <w:rPr>
      <w:rFonts w:ascii="EUAlbertina" w:eastAsiaTheme="minorEastAsia" w:hAnsi="EUAlbertina" w:cstheme="minorBidi"/>
      <w:color w:val="auto"/>
    </w:rPr>
  </w:style>
  <w:style w:type="paragraph" w:styleId="Revision">
    <w:name w:val="Revision"/>
    <w:hidden/>
    <w:uiPriority w:val="99"/>
    <w:semiHidden/>
    <w:rsid w:val="00997826"/>
    <w:rPr>
      <w:sz w:val="22"/>
    </w:rPr>
  </w:style>
  <w:style w:type="character" w:customStyle="1" w:styleId="InstructionsTextChar">
    <w:name w:val="Instructions Text Char"/>
    <w:link w:val="InstructionsText"/>
    <w:locked/>
    <w:rsid w:val="00677BB2"/>
    <w:rPr>
      <w:rFonts w:ascii="Times New Roman" w:hAnsi="Times New Roman" w:cs="Times New Roman"/>
      <w:b/>
      <w:bCs/>
      <w:lang w:val="fr-FR" w:eastAsia="de-DE"/>
    </w:rPr>
  </w:style>
  <w:style w:type="paragraph" w:customStyle="1" w:styleId="InstructionsText">
    <w:name w:val="Instructions Text"/>
    <w:basedOn w:val="Normal"/>
    <w:link w:val="InstructionsTextChar"/>
    <w:autoRedefine/>
    <w:rsid w:val="00677BB2"/>
    <w:pPr>
      <w:spacing w:after="120"/>
      <w:ind w:left="61" w:hanging="28"/>
      <w:jc w:val="both"/>
    </w:pPr>
    <w:rPr>
      <w:rFonts w:ascii="Times New Roman" w:hAnsi="Times New Roman" w:cs="Times New Roman"/>
      <w:b/>
      <w:bCs/>
      <w:sz w:val="24"/>
      <w:lang w:eastAsia="de-DE"/>
    </w:rPr>
  </w:style>
  <w:style w:type="paragraph" w:customStyle="1" w:styleId="TableParagraph">
    <w:name w:val="Table Paragraph"/>
    <w:basedOn w:val="Normal"/>
    <w:uiPriority w:val="1"/>
    <w:qFormat/>
    <w:rsid w:val="009501D6"/>
    <w:pPr>
      <w:widowControl w:val="0"/>
    </w:pPr>
    <w:rPr>
      <w:rFonts w:eastAsiaTheme="minorHAnsi"/>
      <w:szCs w:val="22"/>
    </w:rPr>
  </w:style>
  <w:style w:type="character" w:customStyle="1" w:styleId="TeksttreciPogrubienie">
    <w:name w:val="Tekst treści + Pogrubienie"/>
    <w:basedOn w:val="DefaultParagraphFont"/>
    <w:rsid w:val="00816C37"/>
    <w:rPr>
      <w:rFonts w:ascii="Book Antiqua" w:eastAsia="Book Antiqua" w:hAnsi="Book Antiqua" w:cs="Book Antiqua"/>
      <w:b/>
      <w:bCs/>
      <w:i w:val="0"/>
      <w:iCs w:val="0"/>
      <w:smallCaps w:val="0"/>
      <w:strike w:val="0"/>
      <w:color w:val="000000"/>
      <w:spacing w:val="0"/>
      <w:w w:val="100"/>
      <w:position w:val="0"/>
      <w:sz w:val="16"/>
      <w:szCs w:val="16"/>
      <w:u w:val="none"/>
      <w:shd w:val="clear" w:color="auto" w:fill="FFFFFF"/>
      <w:lang w:val="fr-FR"/>
    </w:rPr>
  </w:style>
  <w:style w:type="character" w:customStyle="1" w:styleId="Teksttreci">
    <w:name w:val="Tekst treści_"/>
    <w:basedOn w:val="DefaultParagraphFont"/>
    <w:link w:val="Teksttreci0"/>
    <w:rsid w:val="00816C37"/>
    <w:rPr>
      <w:rFonts w:ascii="Book Antiqua" w:eastAsia="Book Antiqua" w:hAnsi="Book Antiqua" w:cs="Book Antiqua"/>
      <w:sz w:val="16"/>
      <w:szCs w:val="16"/>
      <w:shd w:val="clear" w:color="auto" w:fill="FFFFFF"/>
    </w:rPr>
  </w:style>
  <w:style w:type="paragraph" w:customStyle="1" w:styleId="Teksttreci0">
    <w:name w:val="Tekst treści"/>
    <w:basedOn w:val="Normal"/>
    <w:link w:val="Teksttreci"/>
    <w:rsid w:val="00816C37"/>
    <w:pPr>
      <w:widowControl w:val="0"/>
      <w:shd w:val="clear" w:color="auto" w:fill="FFFFFF"/>
      <w:spacing w:line="0" w:lineRule="atLeast"/>
      <w:ind w:hanging="540"/>
      <w:jc w:val="both"/>
    </w:pPr>
    <w:rPr>
      <w:rFonts w:ascii="Book Antiqua" w:eastAsia="Book Antiqua" w:hAnsi="Book Antiqua" w:cs="Book Antiqua"/>
      <w:sz w:val="16"/>
      <w:szCs w:val="16"/>
    </w:rPr>
  </w:style>
  <w:style w:type="paragraph" w:customStyle="1" w:styleId="TableTitle">
    <w:name w:val="TableTitle"/>
    <w:basedOn w:val="Normal"/>
    <w:next w:val="Normal"/>
    <w:link w:val="TableTitleChar"/>
    <w:rsid w:val="007B082B"/>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7B082B"/>
    <w:rPr>
      <w:rFonts w:ascii="Arial" w:eastAsia="MS Mincho" w:hAnsi="Arial" w:cs="Times New Roman"/>
      <w:b/>
      <w:noProof/>
      <w:sz w:val="22"/>
      <w:szCs w:val="20"/>
      <w:lang w:val="fr-FR"/>
    </w:rPr>
  </w:style>
  <w:style w:type="character" w:customStyle="1" w:styleId="InstructionsTabelleberschrift">
    <w:name w:val="Instructions Tabelle Überschrift"/>
    <w:qFormat/>
    <w:rsid w:val="007B082B"/>
    <w:rPr>
      <w:rFonts w:ascii="Verdana" w:hAnsi="Verdana" w:cs="Times New Roman"/>
      <w:b/>
      <w:bCs/>
      <w:sz w:val="20"/>
      <w:u w:val="single"/>
    </w:rPr>
  </w:style>
  <w:style w:type="paragraph" w:styleId="EndnoteText">
    <w:name w:val="endnote text"/>
    <w:basedOn w:val="Normal"/>
    <w:link w:val="EndnoteTextChar"/>
    <w:uiPriority w:val="99"/>
    <w:semiHidden/>
    <w:unhideWhenUsed/>
    <w:rsid w:val="00CE019E"/>
    <w:rPr>
      <w:sz w:val="20"/>
      <w:szCs w:val="20"/>
    </w:rPr>
  </w:style>
  <w:style w:type="character" w:customStyle="1" w:styleId="EndnoteTextChar">
    <w:name w:val="Endnote Text Char"/>
    <w:basedOn w:val="DefaultParagraphFont"/>
    <w:link w:val="EndnoteText"/>
    <w:uiPriority w:val="99"/>
    <w:semiHidden/>
    <w:rsid w:val="00CE019E"/>
    <w:rPr>
      <w:sz w:val="20"/>
      <w:szCs w:val="20"/>
    </w:rPr>
  </w:style>
  <w:style w:type="character" w:styleId="EndnoteReference">
    <w:name w:val="endnote reference"/>
    <w:basedOn w:val="DefaultParagraphFont"/>
    <w:uiPriority w:val="99"/>
    <w:semiHidden/>
    <w:unhideWhenUsed/>
    <w:rsid w:val="00CE019E"/>
    <w:rPr>
      <w:vertAlign w:val="superscript"/>
    </w:rPr>
  </w:style>
  <w:style w:type="character" w:customStyle="1" w:styleId="Nagwek2">
    <w:name w:val="Nagłówek #2_"/>
    <w:basedOn w:val="DefaultParagraphFont"/>
    <w:link w:val="Nagwek20"/>
    <w:rsid w:val="000A7015"/>
    <w:rPr>
      <w:rFonts w:ascii="Book Antiqua" w:eastAsia="Book Antiqua" w:hAnsi="Book Antiqua" w:cs="Book Antiqua"/>
      <w:b/>
      <w:bCs/>
      <w:sz w:val="16"/>
      <w:szCs w:val="16"/>
      <w:shd w:val="clear" w:color="auto" w:fill="FFFFFF"/>
    </w:rPr>
  </w:style>
  <w:style w:type="paragraph" w:customStyle="1" w:styleId="Nagwek20">
    <w:name w:val="Nagłówek #2"/>
    <w:basedOn w:val="Normal"/>
    <w:link w:val="Nagwek2"/>
    <w:rsid w:val="000A7015"/>
    <w:pPr>
      <w:widowControl w:val="0"/>
      <w:shd w:val="clear" w:color="auto" w:fill="FFFFFF"/>
      <w:spacing w:line="0" w:lineRule="atLeast"/>
      <w:jc w:val="center"/>
      <w:outlineLvl w:val="1"/>
    </w:pPr>
    <w:rPr>
      <w:rFonts w:ascii="Book Antiqua" w:eastAsia="Book Antiqua" w:hAnsi="Book Antiqua" w:cs="Book Antiqua"/>
      <w:b/>
      <w:bCs/>
      <w:sz w:val="16"/>
      <w:szCs w:val="16"/>
    </w:rPr>
  </w:style>
  <w:style w:type="character" w:customStyle="1" w:styleId="Teksttreci2">
    <w:name w:val="Tekst treści (2)_"/>
    <w:basedOn w:val="DefaultParagraphFont"/>
    <w:link w:val="Teksttreci20"/>
    <w:rsid w:val="000A7015"/>
    <w:rPr>
      <w:rFonts w:ascii="Book Antiqua" w:eastAsia="Book Antiqua" w:hAnsi="Book Antiqua" w:cs="Book Antiqua"/>
      <w:b/>
      <w:bCs/>
      <w:sz w:val="16"/>
      <w:szCs w:val="16"/>
      <w:shd w:val="clear" w:color="auto" w:fill="FFFFFF"/>
    </w:rPr>
  </w:style>
  <w:style w:type="paragraph" w:customStyle="1" w:styleId="Teksttreci20">
    <w:name w:val="Tekst treści (2)"/>
    <w:basedOn w:val="Normal"/>
    <w:link w:val="Teksttreci2"/>
    <w:rsid w:val="000A7015"/>
    <w:pPr>
      <w:widowControl w:val="0"/>
      <w:shd w:val="clear" w:color="auto" w:fill="FFFFFF"/>
      <w:spacing w:line="336" w:lineRule="exact"/>
      <w:jc w:val="center"/>
    </w:pPr>
    <w:rPr>
      <w:rFonts w:ascii="Book Antiqua" w:eastAsia="Book Antiqua" w:hAnsi="Book Antiqua" w:cs="Book Antiqua"/>
      <w:b/>
      <w:bCs/>
      <w:sz w:val="16"/>
      <w:szCs w:val="16"/>
    </w:rPr>
  </w:style>
  <w:style w:type="character" w:customStyle="1" w:styleId="Nagwek1">
    <w:name w:val="Nagłówek #1_"/>
    <w:basedOn w:val="DefaultParagraphFont"/>
    <w:link w:val="Nagwek10"/>
    <w:rsid w:val="000A7015"/>
    <w:rPr>
      <w:rFonts w:ascii="Book Antiqua" w:eastAsia="Book Antiqua" w:hAnsi="Book Antiqua" w:cs="Book Antiqua"/>
      <w:b/>
      <w:bCs/>
      <w:sz w:val="16"/>
      <w:szCs w:val="16"/>
      <w:shd w:val="clear" w:color="auto" w:fill="FFFFFF"/>
    </w:rPr>
  </w:style>
  <w:style w:type="paragraph" w:customStyle="1" w:styleId="Nagwek10">
    <w:name w:val="Nagłówek #1"/>
    <w:basedOn w:val="Normal"/>
    <w:link w:val="Nagwek1"/>
    <w:rsid w:val="000A7015"/>
    <w:pPr>
      <w:widowControl w:val="0"/>
      <w:shd w:val="clear" w:color="auto" w:fill="FFFFFF"/>
      <w:spacing w:line="0" w:lineRule="atLeast"/>
      <w:jc w:val="center"/>
      <w:outlineLvl w:val="0"/>
    </w:pPr>
    <w:rPr>
      <w:rFonts w:ascii="Book Antiqua" w:eastAsia="Book Antiqua" w:hAnsi="Book Antiqua" w:cs="Book Antiqua"/>
      <w:b/>
      <w:bCs/>
      <w:sz w:val="16"/>
      <w:szCs w:val="16"/>
    </w:rPr>
  </w:style>
  <w:style w:type="character" w:customStyle="1" w:styleId="TeksttreciPogrubienieOdstpy1pt">
    <w:name w:val="Tekst treści + Pogrubienie;Odstępy 1 pt"/>
    <w:basedOn w:val="Teksttreci"/>
    <w:rsid w:val="000A7015"/>
    <w:rPr>
      <w:rFonts w:ascii="Book Antiqua" w:eastAsia="Book Antiqua" w:hAnsi="Book Antiqua" w:cs="Book Antiqua"/>
      <w:b/>
      <w:bCs/>
      <w:i w:val="0"/>
      <w:iCs w:val="0"/>
      <w:smallCaps w:val="0"/>
      <w:strike w:val="0"/>
      <w:color w:val="000000"/>
      <w:spacing w:val="20"/>
      <w:w w:val="100"/>
      <w:position w:val="0"/>
      <w:sz w:val="16"/>
      <w:szCs w:val="16"/>
      <w:u w:val="none"/>
      <w:shd w:val="clear" w:color="auto" w:fill="FFFFFF"/>
      <w:lang w:val="fr-FR"/>
    </w:rPr>
  </w:style>
  <w:style w:type="character" w:customStyle="1" w:styleId="DeltaViewInsertion">
    <w:name w:val="DeltaView Insertion"/>
    <w:uiPriority w:val="99"/>
    <w:rsid w:val="000A7015"/>
    <w:rPr>
      <w:b/>
      <w:i/>
      <w:color w:val="00C000"/>
    </w:rPr>
  </w:style>
  <w:style w:type="character" w:customStyle="1" w:styleId="DeltaViewDeletion">
    <w:name w:val="DeltaView Deletion"/>
    <w:uiPriority w:val="99"/>
    <w:rsid w:val="000A7015"/>
    <w:rPr>
      <w:strike/>
      <w:color w:val="FF0000"/>
    </w:rPr>
  </w:style>
  <w:style w:type="paragraph" w:customStyle="1" w:styleId="BodyText1">
    <w:name w:val="Body Text1"/>
    <w:basedOn w:val="Normal"/>
    <w:qFormat/>
    <w:rsid w:val="000A7015"/>
    <w:pPr>
      <w:tabs>
        <w:tab w:val="left" w:pos="0"/>
      </w:tabs>
      <w:spacing w:line="300" w:lineRule="exact"/>
      <w:jc w:val="both"/>
    </w:pPr>
    <w:rPr>
      <w:rFonts w:ascii="Arial" w:eastAsia="Times New Roman" w:hAnsi="Arial" w:cs="Times New Roman"/>
      <w:color w:val="000000"/>
      <w:sz w:val="20"/>
      <w:szCs w:val="20"/>
    </w:rPr>
  </w:style>
  <w:style w:type="paragraph" w:customStyle="1" w:styleId="hd-lg">
    <w:name w:val="hd-lg"/>
    <w:basedOn w:val="Normal"/>
    <w:rsid w:val="000A7015"/>
    <w:pPr>
      <w:pBdr>
        <w:top w:val="single" w:sz="6" w:space="0" w:color="000000"/>
        <w:left w:val="single" w:sz="6" w:space="0" w:color="000000"/>
        <w:bottom w:val="single" w:sz="6" w:space="0" w:color="000000"/>
        <w:right w:val="single" w:sz="6" w:space="0" w:color="000000"/>
      </w:pBdr>
      <w:autoSpaceDE w:val="0"/>
      <w:autoSpaceDN w:val="0"/>
      <w:adjustRightInd w:val="0"/>
      <w:spacing w:before="120" w:after="120"/>
      <w:jc w:val="center"/>
    </w:pPr>
    <w:rPr>
      <w:rFonts w:ascii="Times New Roman" w:hAnsi="Times New Roman" w:cs="Times New Roman"/>
      <w:sz w:val="24"/>
      <w:lang w:eastAsia="en-GB"/>
    </w:rPr>
  </w:style>
  <w:style w:type="character" w:customStyle="1" w:styleId="Teksttreci3">
    <w:name w:val="Tekst treści (3)_"/>
    <w:basedOn w:val="DefaultParagraphFont"/>
    <w:link w:val="Teksttreci30"/>
    <w:rsid w:val="000A7015"/>
    <w:rPr>
      <w:rFonts w:ascii="Book Antiqua" w:eastAsia="Book Antiqua" w:hAnsi="Book Antiqua" w:cs="Book Antiqua"/>
      <w:i/>
      <w:iCs/>
      <w:sz w:val="16"/>
      <w:szCs w:val="16"/>
      <w:shd w:val="clear" w:color="auto" w:fill="FFFFFF"/>
    </w:rPr>
  </w:style>
  <w:style w:type="paragraph" w:customStyle="1" w:styleId="Teksttreci30">
    <w:name w:val="Tekst treści (3)"/>
    <w:basedOn w:val="Normal"/>
    <w:link w:val="Teksttreci3"/>
    <w:rsid w:val="000A7015"/>
    <w:pPr>
      <w:widowControl w:val="0"/>
      <w:shd w:val="clear" w:color="auto" w:fill="FFFFFF"/>
      <w:spacing w:line="0" w:lineRule="atLeast"/>
      <w:jc w:val="center"/>
    </w:pPr>
    <w:rPr>
      <w:rFonts w:ascii="Book Antiqua" w:eastAsia="Book Antiqua" w:hAnsi="Book Antiqua" w:cs="Book Antiqua"/>
      <w:i/>
      <w:iCs/>
      <w:sz w:val="16"/>
      <w:szCs w:val="16"/>
    </w:rPr>
  </w:style>
  <w:style w:type="paragraph" w:customStyle="1" w:styleId="ReferenceText">
    <w:name w:val="Reference Text"/>
    <w:basedOn w:val="Header"/>
    <w:qFormat/>
    <w:rsid w:val="000A7015"/>
    <w:pPr>
      <w:framePr w:w="3976" w:h="1381" w:wrap="notBeside" w:vAnchor="page" w:hAnchor="page" w:x="6526" w:y="946" w:anchorLock="1"/>
      <w:tabs>
        <w:tab w:val="clear" w:pos="4320"/>
        <w:tab w:val="clear" w:pos="8640"/>
        <w:tab w:val="center" w:pos="4153"/>
        <w:tab w:val="right" w:pos="9072"/>
      </w:tabs>
      <w:spacing w:line="300" w:lineRule="exact"/>
      <w:jc w:val="right"/>
    </w:pPr>
    <w:rPr>
      <w:rFonts w:eastAsia="Times New Roman" w:cs="Times New Roman"/>
      <w:color w:val="EA933B" w:themeColor="accent2"/>
      <w:sz w:val="20"/>
      <w:szCs w:val="20"/>
    </w:rPr>
  </w:style>
  <w:style w:type="paragraph" w:styleId="ListNumber">
    <w:name w:val="List Number"/>
    <w:basedOn w:val="Normal"/>
    <w:uiPriority w:val="9"/>
    <w:qFormat/>
    <w:rsid w:val="001E06A3"/>
    <w:pPr>
      <w:numPr>
        <w:numId w:val="31"/>
      </w:numPr>
      <w:contextualSpacing/>
    </w:pPr>
  </w:style>
  <w:style w:type="character" w:customStyle="1" w:styleId="Stopka2">
    <w:name w:val="Stopka2"/>
    <w:basedOn w:val="DefaultParagraphFont"/>
    <w:rsid w:val="001E06A3"/>
    <w:rPr>
      <w:rFonts w:ascii="Calibri" w:eastAsia="Calibri" w:hAnsi="Calibri" w:cs="Calibri"/>
      <w:b w:val="0"/>
      <w:bCs w:val="0"/>
      <w:i w:val="0"/>
      <w:iCs w:val="0"/>
      <w:smallCaps w:val="0"/>
      <w:strike w:val="0"/>
      <w:color w:val="000000"/>
      <w:spacing w:val="0"/>
      <w:w w:val="100"/>
      <w:position w:val="0"/>
      <w:sz w:val="16"/>
      <w:szCs w:val="16"/>
      <w:u w:val="none"/>
    </w:rPr>
  </w:style>
  <w:style w:type="character" w:customStyle="1" w:styleId="Podpistabeli">
    <w:name w:val="Podpis tabeli_"/>
    <w:basedOn w:val="DefaultParagraphFont"/>
    <w:link w:val="Podpistabeli0"/>
    <w:rsid w:val="001E06A3"/>
    <w:rPr>
      <w:rFonts w:ascii="Calibri" w:eastAsia="Calibri" w:hAnsi="Calibri" w:cs="Calibri"/>
      <w:sz w:val="16"/>
      <w:szCs w:val="16"/>
      <w:shd w:val="clear" w:color="auto" w:fill="FFFFFF"/>
    </w:rPr>
  </w:style>
  <w:style w:type="paragraph" w:customStyle="1" w:styleId="Podpistabeli0">
    <w:name w:val="Podpis tabeli"/>
    <w:basedOn w:val="Normal"/>
    <w:link w:val="Podpistabeli"/>
    <w:rsid w:val="001E06A3"/>
    <w:pPr>
      <w:widowControl w:val="0"/>
      <w:shd w:val="clear" w:color="auto" w:fill="FFFFFF"/>
      <w:spacing w:line="202" w:lineRule="exact"/>
      <w:jc w:val="both"/>
    </w:pPr>
    <w:rPr>
      <w:rFonts w:ascii="Calibri" w:eastAsia="Calibri" w:hAnsi="Calibri" w:cs="Calibri"/>
      <w:sz w:val="16"/>
      <w:szCs w:val="16"/>
    </w:rPr>
  </w:style>
  <w:style w:type="character" w:customStyle="1" w:styleId="TeksttreciKursywa">
    <w:name w:val="Tekst treści + Kursywa"/>
    <w:basedOn w:val="Teksttreci"/>
    <w:rsid w:val="001E06A3"/>
    <w:rPr>
      <w:rFonts w:ascii="Calibri" w:eastAsia="Calibri" w:hAnsi="Calibri" w:cs="Calibri"/>
      <w:b w:val="0"/>
      <w:bCs w:val="0"/>
      <w:i/>
      <w:iCs/>
      <w:smallCaps w:val="0"/>
      <w:strike w:val="0"/>
      <w:color w:val="000000"/>
      <w:spacing w:val="0"/>
      <w:w w:val="100"/>
      <w:position w:val="0"/>
      <w:sz w:val="19"/>
      <w:szCs w:val="19"/>
      <w:u w:val="none"/>
      <w:shd w:val="clear" w:color="auto" w:fill="FFFFFF"/>
      <w:lang w:val="fr-FR"/>
    </w:rPr>
  </w:style>
  <w:style w:type="character" w:customStyle="1" w:styleId="Podpistabeli2">
    <w:name w:val="Podpis tabeli (2)_"/>
    <w:basedOn w:val="DefaultParagraphFont"/>
    <w:link w:val="Podpistabeli20"/>
    <w:rsid w:val="001E06A3"/>
    <w:rPr>
      <w:rFonts w:ascii="Calibri" w:eastAsia="Calibri" w:hAnsi="Calibri" w:cs="Calibri"/>
      <w:sz w:val="19"/>
      <w:szCs w:val="19"/>
      <w:shd w:val="clear" w:color="auto" w:fill="FFFFFF"/>
    </w:rPr>
  </w:style>
  <w:style w:type="paragraph" w:customStyle="1" w:styleId="Podpistabeli20">
    <w:name w:val="Podpis tabeli (2)"/>
    <w:basedOn w:val="Normal"/>
    <w:link w:val="Podpistabeli2"/>
    <w:rsid w:val="001E06A3"/>
    <w:pPr>
      <w:widowControl w:val="0"/>
      <w:shd w:val="clear" w:color="auto" w:fill="FFFFFF"/>
      <w:spacing w:line="0" w:lineRule="atLeast"/>
    </w:pPr>
    <w:rPr>
      <w:rFonts w:ascii="Calibri" w:eastAsia="Calibri" w:hAnsi="Calibri" w:cs="Calibri"/>
      <w:sz w:val="19"/>
      <w:szCs w:val="19"/>
    </w:rPr>
  </w:style>
  <w:style w:type="numbering" w:customStyle="1" w:styleId="NumreradLista">
    <w:name w:val="NumreradLista"/>
    <w:uiPriority w:val="99"/>
    <w:rsid w:val="001E06A3"/>
    <w:pPr>
      <w:numPr>
        <w:numId w:val="36"/>
      </w:numPr>
    </w:pPr>
  </w:style>
  <w:style w:type="paragraph" w:customStyle="1" w:styleId="Baseparagraphnumbered">
    <w:name w:val="Base paragraph numbered"/>
    <w:basedOn w:val="Normal"/>
    <w:link w:val="BaseparagraphnumberedChar"/>
    <w:qFormat/>
    <w:rsid w:val="004E71F4"/>
    <w:pPr>
      <w:numPr>
        <w:numId w:val="46"/>
      </w:numPr>
      <w:spacing w:after="240"/>
      <w:jc w:val="both"/>
    </w:pPr>
    <w:rPr>
      <w:rFonts w:ascii="Times New Roman" w:eastAsia="Times New Roman" w:hAnsi="Times New Roman" w:cs="Times New Roman"/>
      <w:sz w:val="24"/>
      <w:lang w:eastAsia="en-GB"/>
    </w:rPr>
  </w:style>
  <w:style w:type="character" w:customStyle="1" w:styleId="BaseparagraphnumberedChar">
    <w:name w:val="Base paragraph numbered Char"/>
    <w:link w:val="Baseparagraphnumbered"/>
    <w:rsid w:val="004E71F4"/>
    <w:rPr>
      <w:rFonts w:ascii="Times New Roman" w:eastAsia="Times New Roman" w:hAnsi="Times New Roman" w:cs="Times New Roman"/>
      <w:lang w:val="fr-FR" w:eastAsia="en-GB"/>
    </w:rPr>
  </w:style>
  <w:style w:type="numbering" w:customStyle="1" w:styleId="Style3">
    <w:name w:val="Style3"/>
    <w:rsid w:val="004E71F4"/>
    <w:pPr>
      <w:numPr>
        <w:numId w:val="45"/>
      </w:numPr>
    </w:pPr>
  </w:style>
  <w:style w:type="character" w:customStyle="1" w:styleId="InstructionsTabelleText">
    <w:name w:val="Instructions Tabelle Text"/>
    <w:rsid w:val="000646F8"/>
    <w:rPr>
      <w:rFonts w:ascii="Verdana" w:hAnsi="Verdana" w:cs="Times New Roman"/>
      <w:sz w:val="20"/>
    </w:rPr>
  </w:style>
  <w:style w:type="paragraph" w:customStyle="1" w:styleId="InstructionsText2">
    <w:name w:val="Instructions Text 2"/>
    <w:basedOn w:val="Normal"/>
    <w:qFormat/>
    <w:rsid w:val="00FA02BC"/>
    <w:pPr>
      <w:numPr>
        <w:numId w:val="62"/>
      </w:numPr>
      <w:spacing w:after="240"/>
      <w:jc w:val="both"/>
    </w:pPr>
    <w:rPr>
      <w:rFonts w:ascii="Times New Roman" w:eastAsia="Times New Roman" w:hAnsi="Times New Roman" w:cs="Times New Roman"/>
      <w:sz w:val="24"/>
      <w:lang w:eastAsia="de-DE"/>
    </w:rPr>
  </w:style>
  <w:style w:type="character" w:customStyle="1" w:styleId="PogrubienieTeksttreciTimesNewRoman105ptOdstpy0pt">
    <w:name w:val="Pogrubienie;Tekst treści + Times New Roman;10;5 pt;Odstępy 0 pt"/>
    <w:basedOn w:val="Teksttreci"/>
    <w:rsid w:val="00D312C4"/>
    <w:rPr>
      <w:rFonts w:ascii="Times New Roman" w:eastAsia="Times New Roman" w:hAnsi="Times New Roman" w:cs="Times New Roman"/>
      <w:b/>
      <w:bCs/>
      <w:color w:val="000000"/>
      <w:spacing w:val="4"/>
      <w:w w:val="100"/>
      <w:position w:val="0"/>
      <w:sz w:val="21"/>
      <w:szCs w:val="21"/>
      <w:shd w:val="clear" w:color="auto" w:fill="FFFFFF"/>
      <w:lang w:val="fr-FR"/>
    </w:rPr>
  </w:style>
  <w:style w:type="character" w:customStyle="1" w:styleId="TeksttreciTimesNewRoman105ptOdstpy0pt">
    <w:name w:val="Tekst treści + Times New Roman;10;5 pt;Odstępy 0 pt"/>
    <w:basedOn w:val="Teksttreci"/>
    <w:rsid w:val="00D312C4"/>
    <w:rPr>
      <w:rFonts w:ascii="Times New Roman" w:eastAsia="Times New Roman" w:hAnsi="Times New Roman" w:cs="Times New Roman"/>
      <w:color w:val="000000"/>
      <w:spacing w:val="4"/>
      <w:w w:val="100"/>
      <w:position w:val="0"/>
      <w:sz w:val="21"/>
      <w:szCs w:val="21"/>
      <w:shd w:val="clear" w:color="auto" w:fill="FFFFFF"/>
      <w:lang w:val="fr-FR"/>
    </w:rPr>
  </w:style>
  <w:style w:type="character" w:customStyle="1" w:styleId="Teksttreci5">
    <w:name w:val="Tekst treści (5)_"/>
    <w:basedOn w:val="DefaultParagraphFont"/>
    <w:link w:val="Teksttreci50"/>
    <w:rsid w:val="00D312C4"/>
    <w:rPr>
      <w:rFonts w:ascii="Times New Roman" w:eastAsia="Times New Roman" w:hAnsi="Times New Roman" w:cs="Times New Roman"/>
      <w:spacing w:val="4"/>
      <w:sz w:val="21"/>
      <w:szCs w:val="21"/>
      <w:shd w:val="clear" w:color="auto" w:fill="FFFFFF"/>
    </w:rPr>
  </w:style>
  <w:style w:type="paragraph" w:customStyle="1" w:styleId="Teksttreci50">
    <w:name w:val="Tekst treści (5)"/>
    <w:basedOn w:val="Normal"/>
    <w:link w:val="Teksttreci5"/>
    <w:rsid w:val="00D312C4"/>
    <w:pPr>
      <w:widowControl w:val="0"/>
      <w:shd w:val="clear" w:color="auto" w:fill="FFFFFF"/>
      <w:spacing w:before="300" w:after="660" w:line="0" w:lineRule="atLeast"/>
      <w:ind w:hanging="840"/>
      <w:jc w:val="center"/>
    </w:pPr>
    <w:rPr>
      <w:rFonts w:ascii="Times New Roman" w:eastAsia="Times New Roman" w:hAnsi="Times New Roman" w:cs="Times New Roman"/>
      <w:spacing w:val="4"/>
      <w:sz w:val="21"/>
      <w:szCs w:val="21"/>
    </w:rPr>
  </w:style>
  <w:style w:type="character" w:styleId="Mention">
    <w:name w:val="Mention"/>
    <w:basedOn w:val="DefaultParagraphFont"/>
    <w:uiPriority w:val="99"/>
    <w:unhideWhenUsed/>
    <w:rsid w:val="004C7D8D"/>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71405863">
      <w:bodyDiv w:val="1"/>
      <w:marLeft w:val="0"/>
      <w:marRight w:val="0"/>
      <w:marTop w:val="0"/>
      <w:marBottom w:val="0"/>
      <w:divBdr>
        <w:top w:val="none" w:sz="0" w:space="0" w:color="auto"/>
        <w:left w:val="none" w:sz="0" w:space="0" w:color="auto"/>
        <w:bottom w:val="none" w:sz="0" w:space="0" w:color="auto"/>
        <w:right w:val="none" w:sz="0" w:space="0" w:color="auto"/>
      </w:divBdr>
    </w:div>
    <w:div w:id="513152592">
      <w:bodyDiv w:val="1"/>
      <w:marLeft w:val="0"/>
      <w:marRight w:val="0"/>
      <w:marTop w:val="0"/>
      <w:marBottom w:val="0"/>
      <w:divBdr>
        <w:top w:val="none" w:sz="0" w:space="0" w:color="auto"/>
        <w:left w:val="none" w:sz="0" w:space="0" w:color="auto"/>
        <w:bottom w:val="none" w:sz="0" w:space="0" w:color="auto"/>
        <w:right w:val="none" w:sz="0" w:space="0" w:color="auto"/>
      </w:divBdr>
    </w:div>
    <w:div w:id="730928745">
      <w:bodyDiv w:val="1"/>
      <w:marLeft w:val="0"/>
      <w:marRight w:val="0"/>
      <w:marTop w:val="0"/>
      <w:marBottom w:val="0"/>
      <w:divBdr>
        <w:top w:val="none" w:sz="0" w:space="0" w:color="auto"/>
        <w:left w:val="none" w:sz="0" w:space="0" w:color="auto"/>
        <w:bottom w:val="none" w:sz="0" w:space="0" w:color="auto"/>
        <w:right w:val="none" w:sz="0" w:space="0" w:color="auto"/>
      </w:divBdr>
    </w:div>
    <w:div w:id="870726697">
      <w:bodyDiv w:val="1"/>
      <w:marLeft w:val="0"/>
      <w:marRight w:val="0"/>
      <w:marTop w:val="0"/>
      <w:marBottom w:val="0"/>
      <w:divBdr>
        <w:top w:val="none" w:sz="0" w:space="0" w:color="auto"/>
        <w:left w:val="none" w:sz="0" w:space="0" w:color="auto"/>
        <w:bottom w:val="none" w:sz="0" w:space="0" w:color="auto"/>
        <w:right w:val="none" w:sz="0" w:space="0" w:color="auto"/>
      </w:divBdr>
    </w:div>
    <w:div w:id="936715033">
      <w:bodyDiv w:val="1"/>
      <w:marLeft w:val="0"/>
      <w:marRight w:val="0"/>
      <w:marTop w:val="0"/>
      <w:marBottom w:val="0"/>
      <w:divBdr>
        <w:top w:val="none" w:sz="0" w:space="0" w:color="auto"/>
        <w:left w:val="none" w:sz="0" w:space="0" w:color="auto"/>
        <w:bottom w:val="none" w:sz="0" w:space="0" w:color="auto"/>
        <w:right w:val="none" w:sz="0" w:space="0" w:color="auto"/>
      </w:divBdr>
    </w:div>
    <w:div w:id="977031047">
      <w:bodyDiv w:val="1"/>
      <w:marLeft w:val="0"/>
      <w:marRight w:val="0"/>
      <w:marTop w:val="0"/>
      <w:marBottom w:val="0"/>
      <w:divBdr>
        <w:top w:val="none" w:sz="0" w:space="0" w:color="auto"/>
        <w:left w:val="none" w:sz="0" w:space="0" w:color="auto"/>
        <w:bottom w:val="none" w:sz="0" w:space="0" w:color="auto"/>
        <w:right w:val="none" w:sz="0" w:space="0" w:color="auto"/>
      </w:divBdr>
    </w:div>
    <w:div w:id="1009408660">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220751002">
      <w:bodyDiv w:val="1"/>
      <w:marLeft w:val="0"/>
      <w:marRight w:val="0"/>
      <w:marTop w:val="0"/>
      <w:marBottom w:val="0"/>
      <w:divBdr>
        <w:top w:val="none" w:sz="0" w:space="0" w:color="auto"/>
        <w:left w:val="none" w:sz="0" w:space="0" w:color="auto"/>
        <w:bottom w:val="none" w:sz="0" w:space="0" w:color="auto"/>
        <w:right w:val="none" w:sz="0" w:space="0" w:color="auto"/>
      </w:divBdr>
    </w:div>
    <w:div w:id="1271661559">
      <w:bodyDiv w:val="1"/>
      <w:marLeft w:val="0"/>
      <w:marRight w:val="0"/>
      <w:marTop w:val="0"/>
      <w:marBottom w:val="0"/>
      <w:divBdr>
        <w:top w:val="none" w:sz="0" w:space="0" w:color="auto"/>
        <w:left w:val="none" w:sz="0" w:space="0" w:color="auto"/>
        <w:bottom w:val="none" w:sz="0" w:space="0" w:color="auto"/>
        <w:right w:val="none" w:sz="0" w:space="0" w:color="auto"/>
      </w:divBdr>
    </w:div>
    <w:div w:id="1418671045">
      <w:bodyDiv w:val="1"/>
      <w:marLeft w:val="0"/>
      <w:marRight w:val="0"/>
      <w:marTop w:val="0"/>
      <w:marBottom w:val="0"/>
      <w:divBdr>
        <w:top w:val="none" w:sz="0" w:space="0" w:color="auto"/>
        <w:left w:val="none" w:sz="0" w:space="0" w:color="auto"/>
        <w:bottom w:val="none" w:sz="0" w:space="0" w:color="auto"/>
        <w:right w:val="none" w:sz="0" w:space="0" w:color="auto"/>
      </w:divBdr>
    </w:div>
    <w:div w:id="1627926797">
      <w:bodyDiv w:val="1"/>
      <w:marLeft w:val="0"/>
      <w:marRight w:val="0"/>
      <w:marTop w:val="0"/>
      <w:marBottom w:val="0"/>
      <w:divBdr>
        <w:top w:val="none" w:sz="0" w:space="0" w:color="auto"/>
        <w:left w:val="none" w:sz="0" w:space="0" w:color="auto"/>
        <w:bottom w:val="none" w:sz="0" w:space="0" w:color="auto"/>
        <w:right w:val="none" w:sz="0" w:space="0" w:color="auto"/>
      </w:divBdr>
    </w:div>
    <w:div w:id="20546481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FR/TXT/?uri=OJ:L_202401623" TargetMode="External"/><Relationship Id="rId1" Type="http://schemas.openxmlformats.org/officeDocument/2006/relationships/hyperlink" Target="https://eur-lex.europa.eu/legal-content/FR/AUTO/?uri=OJ:L:2013:176:TOC"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E0453FE-EE91-4CC1-9899-DAA0B594C723}">
  <ds:schemaRefs>
    <ds:schemaRef ds:uri="http://schemas.openxmlformats.org/officeDocument/2006/bibliography"/>
  </ds:schemaRefs>
</ds:datastoreItem>
</file>

<file path=customXml/itemProps2.xml><?xml version="1.0" encoding="utf-8"?>
<ds:datastoreItem xmlns:ds="http://schemas.openxmlformats.org/officeDocument/2006/customXml" ds:itemID="{0554F053-FE3E-4E4E-9E1F-2E942EED6B51}"/>
</file>

<file path=customXml/itemProps3.xml><?xml version="1.0" encoding="utf-8"?>
<ds:datastoreItem xmlns:ds="http://schemas.openxmlformats.org/officeDocument/2006/customXml" ds:itemID="{0497142A-A965-4D09-A092-B4838B8650C2}"/>
</file>

<file path=customXml/itemProps4.xml><?xml version="1.0" encoding="utf-8"?>
<ds:datastoreItem xmlns:ds="http://schemas.openxmlformats.org/officeDocument/2006/customXml" ds:itemID="{CC3975FB-A1D3-4458-9964-408AED3971C0}"/>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20</Pages>
  <Words>6679</Words>
  <Characters>36268</Characters>
  <Application>Microsoft Office Word</Application>
  <DocSecurity>0</DocSecurity>
  <Lines>906</Lines>
  <Paragraphs>505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2024-06-06T13:28:00Z</dcterms:created>
  <dcterms:modified xsi:type="dcterms:W3CDTF">2024-10-17T12:32:00Z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2024-06-28T07:57:22Z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6751ffcc-0dd9-4bf6-bdf7-157d1d36e1fb</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