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BILAG XXIV — Offentliggørelse af specialiseret långivning og aktieeksponeringer</w:t>
      </w:r>
      <w:r>
        <w:t xml:space="preserve">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sz w:val="24"/>
          <w:rFonts w:ascii="Times New Roman" w:hAnsi="Times New Roman"/>
        </w:rPr>
      </w:pPr>
      <w:r>
        <w:rPr>
          <w:sz w:val="24"/>
          <w:b/>
          <w:rFonts w:ascii="Times New Roman" w:hAnsi="Times New Roman"/>
        </w:rPr>
        <w:t xml:space="preserve">Skema EU CR10 – Offentliggørelse af specialiseret långivning og aktieeksponeringer.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skemaformat.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Institutterne offentliggør de oplysninger, som er omhandlet i artikel 438, litra e), i forordning (EU) nr. 575/2013 ("CRR")</w:t>
      </w:r>
      <w:r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, ved at følge instrukserne i dette bilag til udfyldelse af skema EU CR10, som findes i bilag XXIII til EBA's IT-løsninger.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Institutterne skal offentliggøre: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oplysninger om følgende typer af specialiserede långivningseksponeringer, der er omhandlet i tabel 1 i artikel 153, stk. 5: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"projektfinansiering" i skema EU CR10.1,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"indtægtsgenerende fast ejendom og erhvervsejendomme med høj volatilitet" i skema EU CR10.2,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"projektfinansiering" i skema EU CR10.3,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"råvarefinansiering" i skema EU CR10.4,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oplysninger om aktieeksponeringer i skema EU 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Kolonnereference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Balanceførte eksponeringer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offentliggør eksponeringsværdien af balanceførte eksponeringer i overensstemmelse med artikel 166, stk. 1-7, og artikel 167, stk. 1, i forordning (EU) nr. 575/2013.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Ikkebalanceført eksponering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offentliggør eksponeringsværdien af ikkebalanceførte eksponeringer i overensstemmelse med artikel 166 og artikel 167, stk. 2, i forordning (EU) nr. 575/2013 uden hensyntagen til konverteringsfaktorerne i artikel 166, stk. 8 eller 9, i forordning (EU) nr. 575/2013 eller procentsatserne i artikel 166, stk. 10, i forordning (EU) nr. 575/2013.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Ikkebalanceførte eksponeringer omfatter alle forpligtede, men ikketrukne beløb og alle ikkebalanceførte poster som anført i bilag I til forordning (EU) nr. 575/2013.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Risikovægt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Dette er en fast kolonne for skema EU CR 10.1 til EU CR 10.4.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 må ikke ændres.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AF282A3" w14:textId="143D6409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kolonne er blevet fastsat i henhold til artikel 153, stk. 5, i forordning (EU) nr. 575/2013 for skema EU CR10.1 til EU CR10.4.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For skema EU CR 10.5 er denne kolonne fleksibel.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Institutterne anvender de relevante risikovægte i overensstemmelse med artikel 133, stk. 3-6, og artikel 495a, stk. 3, i forordning (EU) nr. 575/2013.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Eksponeringsværdi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Eksponeringsværdi i overensstemmelse med artikel 166 eller 167 i forordning (EU) nr. 575/2013.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kolonne omfatter summen af eksponeringsværdien af balanceførte og eksponeringsværdien af ikkebalanceførte eksponeringer efter konverteringsfaktorer og procentsatser i overensstemmelse med artikel 166, stk. 8-10,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 (skema EU CR10.1 til EU 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Risikovægtede eksponeringer (specialiseret långivning omfattet af kategoriseringsmetoden)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risikovægtede eksponeringer beregnet i henhold til artikel 153, stk. 5, i forordning (EU) nr. 575/2013, efter anvendelse af støttefaktorer, i overensstemmelse med artikel 501 og 501a i forordning (EU) nr. 575/2013, hvis relevant.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 (skema EU CR10.1 til EU 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Forventet tab (specialiseret långivning omfattet af kategoriseringsmetoden)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forventede tab beregnet i overensstemmelse med artikel 158, stk. 6, i forordning (EU) nr. 575/2013.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 (skema EU 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Forventet tab (aktieeksponeringer i henhold til den forenklede risikovægtningsmetode)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forventede tab beregnet i overensstemmelse med artikel 158, stk. 7, i forordning (EU) nr. 575/2013, hvis relevant.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Række nr.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Lovbestemt kategori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Skema EU CR10.1 – EU 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 lovbestemte kategorier for specialiseret långivning omfattet af kategoriseringsmetoden for hver klasse af specialiseret långivning,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jf. artikel 153, stk. 5, i forordning (EU) nr. 575/2013 og i det endelige udkast til reguleringsmæssige tekniske standarder for kategoriseringsmetoden.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Kategorier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b/>
                <w:sz w:val="24"/>
                <w:rFonts w:ascii="Times New Roman" w:eastAsiaTheme="minorHAnsi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Skema EU CR10.5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Fleksibelt skemaformat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sz w:val="24"/>
                <w:rFonts w:ascii="Times New Roman" w:eastAsiaTheme="minorHAnsi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Institutterne medtager de relevante lovbestemte kategorier i henhold til artikel 133, stk. 3-6, og artikel 495a, stk. 3, i forordning (EU) nr.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Europa-Parlamentets og Rådets forordning (EU) nr. 575/2013 af 26. juni 2013 om tilsynsmæssige krav til kreditinstitutter og om ændring af forordning (EU) nr. 648/2012, som ændret ved (EU) 2024/1623 (</w:t>
      </w:r>
      <w:hyperlink r:id="rId1" w:history="1">
        <w:r>
          <w:rPr>
            <w:rStyle w:val="Hyperlink"/>
            <w:color w:val="800080"/>
          </w:rPr>
          <w:t xml:space="preserve">EUT L 176 af 27.6.2013, s. 1</w:t>
        </w:r>
      </w:hyperlink>
      <w:r>
        <w:t xml:space="preserve">).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Forordning - EU - 2024/1623 - DA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F68CB"/>
    <w:rsid w:val="00C15CE4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  <w:lang w:val="da-DK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da-D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DA/TXT/?uri=OJ:L_202401623" TargetMode="External"/><Relationship Id="rId1" Type="http://schemas.openxmlformats.org/officeDocument/2006/relationships/hyperlink" Target="https://eur-lex.europa.eu/legal-content/DA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A585E2-831D-47DC-8849-12FE45F0A882}"/>
</file>

<file path=customXml/itemProps3.xml><?xml version="1.0" encoding="utf-8"?>
<ds:datastoreItem xmlns:ds="http://schemas.openxmlformats.org/officeDocument/2006/customXml" ds:itemID="{8419FFA5-9A85-46A3-B408-3E9916925DC5}"/>
</file>

<file path=customXml/itemProps4.xml><?xml version="1.0" encoding="utf-8"?>
<ds:datastoreItem xmlns:ds="http://schemas.openxmlformats.org/officeDocument/2006/customXml" ds:itemID="{A86E14FD-A3AC-41C1-88B7-A3063CE3A944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559</Words>
  <Characters>3194</Characters>
  <Application>Microsoft Office Word</Application>
  <DocSecurity>0</DocSecurity>
  <Lines>96</Lines>
  <Paragraphs>52</Paragraphs>
  <ScaleCrop>false</ScaleCrop>
  <Company>European Banking Authority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14</cp:revision>
  <dcterms:created xsi:type="dcterms:W3CDTF">2021-03-11T13:21:00Z</dcterms:created>
  <dcterms:modified xsi:type="dcterms:W3CDTF">2024-09-26T14:30:00Z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