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bookmark43"/>
    <w:p w14:paraId="04F99937" w14:textId="77777777" w:rsidR="007E1815" w:rsidRDefault="007E1815" w:rsidP="007E1815">
      <w:pPr>
        <w:pStyle w:val="Annexetitre"/>
      </w:pPr>
      <w:r w:rsidRPr="007F4CC8">
        <w:fldChar w:fldCharType="begin"/>
      </w:r>
      <w:r w:rsidRPr="007F4CC8">
        <w:fldChar w:fldCharType="separate"/>
      </w:r>
      <w:r w:rsidRPr="007F4CC8">
        <w:drawing>
          <wp:inline distT="0" distB="0" distL="0" distR="0" wp14:anchorId="3E536F19" wp14:editId="21D9DC6A">
            <wp:extent cx="5569585" cy="8464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85" cy="846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CC8">
        <w:fldChar w:fldCharType="end"/>
      </w:r>
      <w:r>
        <w:t xml:space="preserve">ANNESS XIV – Struzzjonijiet għall-mudelli tar-rekwiżiti ta’ kopertura tal-likwidità</w:t>
      </w:r>
    </w:p>
    <w:p w14:paraId="76777DFC" w14:textId="77777777" w:rsidR="007E1815" w:rsidRPr="007E1815" w:rsidRDefault="007E1815" w:rsidP="007E1815"/>
    <w:p w14:paraId="612936CA" w14:textId="77777777" w:rsidR="007E1815" w:rsidRPr="007F4CC8" w:rsidRDefault="007E1815" w:rsidP="007E1815">
      <w:pPr>
        <w:spacing w:before="120"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Struzzjonijiet dwar it-Tabella EU LIQA dwar il-ġestjoni tar-riskju ta’ likwidità u dwar il-Mudell EU LIQ1 dwar l-LCR</w:t>
      </w:r>
      <w:r>
        <w:rPr>
          <w:b/>
          <w:sz w:val="24"/>
          <w:rFonts w:ascii="Times New Roman" w:hAnsi="Times New Roman"/>
        </w:rPr>
        <w:t xml:space="preserve"> </w:t>
      </w:r>
    </w:p>
    <w:p w14:paraId="0527C22C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b/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tar-Regolament (UE) 575/2013</w:t>
      </w:r>
      <w:r w:rsidRPr="007F4CC8">
        <w:rPr>
          <w:rStyle w:val="FootnoteReference"/>
          <w:rFonts w:ascii="Times New Roman" w:hAnsi="Times New Roman" w:cs="Times New Roman"/>
          <w:sz w:val="24"/>
        </w:rPr>
        <w:footnoteReference w:id="1"/>
      </w:r>
      <w:r>
        <w:rPr>
          <w:sz w:val="24"/>
          <w:rFonts w:ascii="Times New Roman" w:hAnsi="Times New Roman"/>
        </w:rPr>
        <w:t xml:space="preserve"> (“CRR”) għandhom jiddikjaraw l-informazzjoni msemmija fl-Artikolu 451a CRR billi jimlew it-Tabella EU LIQA, il-Mudell EU LIQ1 u t-Tabella EU LIQB.</w:t>
      </w:r>
      <w:bookmarkEnd w:id="0"/>
      <w:r>
        <w:rPr>
          <w:b/>
          <w:sz w:val="24"/>
          <w:rFonts w:ascii="Times New Roman" w:hAnsi="Times New Roman"/>
        </w:rPr>
        <w:t xml:space="preserve"> </w:t>
      </w:r>
    </w:p>
    <w:p w14:paraId="6150BCD7" w14:textId="77777777" w:rsidR="007E1815" w:rsidRPr="00DD0C4D" w:rsidRDefault="007E1815" w:rsidP="007E1815">
      <w:pPr>
        <w:pStyle w:val="Titlelevel2"/>
        <w:spacing w:before="120" w:after="120"/>
        <w:rPr>
          <w:b/>
          <w:color w:val="auto"/>
          <w:sz w:val="24"/>
          <w:rFonts w:ascii="Times New Roman" w:hAnsi="Times New Roman"/>
        </w:rPr>
      </w:pPr>
      <w:bookmarkStart w:id="1" w:name="bookmark44"/>
      <w:r>
        <w:rPr>
          <w:b/>
          <w:color w:val="auto"/>
          <w:sz w:val="24"/>
          <w:rFonts w:ascii="Times New Roman" w:hAnsi="Times New Roman"/>
        </w:rPr>
        <w:t xml:space="preserve">Tabella EU LIQA - Ġestjoni tar-riskju ta’ likwidità</w:t>
      </w: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71698069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tas-CRR għandhom jiddikjaraw l-informazzjoni msemmija fl-Artikolu 451a(4) CRR billi jsegwu l-istruzzjonijiet ipprovduti hawn taħt f’dan l-Anness sabiex jimlew it-Tabella EU LIQA li hija ppreżentata fl-Anness XIII ta’ dan ir-Regolament ta’ Implimentazzjoni.</w:t>
      </w:r>
    </w:p>
    <w:p w14:paraId="77702318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Għall-finijiet tat-Tabella EU LIQA, l-istituzzjonijiet soġġetti għall-Parti Sitta tas-CRR għandhom jikkunsidraw il-kaxxi testwali pprovduti fit-tabella bħala kaxxi b’test liberu.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Huma għandhom jipprovdu informazzjoni rilevanti, kemm kwalitattiva kif ukoll kwantitattiva, dwar l-objettivi u l-politiki ta’ ġestjoni tar-riskju għar-riskju ta’ likwidità, skont il-mudelli tan-negozju u l-profili tar-riskju ta’ likwidità tagħhom, l-organizzazzjoni u l-funzjonijiet involuti fil-ġestjoni tar-riskju ta’ likwidità, f’konformità mal-Artikolu 435(1) CRR u mar-Regolament ta’ Delega tal-Kummissjoni (UE) 2015/61</w:t>
      </w:r>
      <w:r w:rsidRPr="007F4CC8">
        <w:rPr>
          <w:rStyle w:val="FootnoteReference"/>
          <w:rFonts w:ascii="Times New Roman" w:hAnsi="Times New Roman" w:cs="Times New Roman"/>
          <w:sz w:val="24"/>
        </w:rPr>
        <w:footnoteReference w:id="2"/>
      </w:r>
      <w:r>
        <w:rPr>
          <w:sz w:val="24"/>
          <w:rFonts w:ascii="Times New Roman" w:hAnsi="Times New Roman"/>
        </w:rPr>
        <w:t xml:space="preserve"> fir-rigward tar-rekwiżit ta’ kopertura tal-likwidità għall-Istituzzjonijiet ta’ Kreditu.</w:t>
      </w:r>
      <w:r>
        <w:rPr>
          <w:sz w:val="24"/>
          <w:rFonts w:ascii="Times New Roman" w:hAnsi="Times New Roman"/>
        </w:rPr>
        <w:t xml:space="preserve"> </w:t>
      </w:r>
    </w:p>
    <w:p w14:paraId="23FF3FBD" w14:textId="77777777" w:rsidR="007E1815" w:rsidRPr="00DD0C4D" w:rsidRDefault="007E1815" w:rsidP="007E1815">
      <w:pPr>
        <w:pStyle w:val="Titlelevel2"/>
        <w:spacing w:before="120" w:after="120"/>
        <w:rPr>
          <w:b/>
          <w:color w:val="auto"/>
          <w:sz w:val="24"/>
          <w:rFonts w:ascii="Times New Roman" w:hAnsi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Mudell EU LIQ1 - Informazzjoni kwantitattiva tal-LCR</w:t>
      </w:r>
    </w:p>
    <w:bookmarkEnd w:id="1"/>
    <w:p w14:paraId="123CFE6B" w14:textId="70A8F63F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tas-CRR għandhom jiddikjaraw l-informazzjoni msemmija fl-Artikolu 451a(2) CRR billi jsegwu l-istruzzjonijiet ipprovduti hawn taħt f’dan l-Anness sabiex jimlew il-Mudell EU LIQ1 li huwa ppreżentat fl-Anness XIII tas-soluzzjonijiet tal-IT tal-EBA.</w:t>
      </w:r>
    </w:p>
    <w:p w14:paraId="48F910A8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Meta jiddikjaraw l-informazzjoni meħtieġa f’dan il-mudell, l-istituzzjonijiet soġġetti għall-Parti Sitta tas-CRR għandhom jinkludu l-valuri u ċ-ċifri meħtieġa għal kull wieħed mill-erba’ trimestri kalendarji (Jannar-Marzu, April-Ġunju, Lulju-Settembru, Ottubru-Diċembru) li jippreċedu d-data tad-divulgazzjoni.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jikkalkolaw dawn il-valuri u ċ-ċifri bħala l-medji sempliċi tal-osservazzjonijiet ta’ tmiem ix-xahar matul it-tnax-il xahar ta’ qabel it-tmiem ta’ kull trimestru.</w:t>
      </w:r>
    </w:p>
    <w:p w14:paraId="1600E94E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L-informazzjoni meħtieġa fil-Mudell EU LIQ1 għandha tinkludi l-entrati kollha irrispettivament mill-munita li fiha jkunu ddenominati u għandha tiġi ddikjarata fil-munita tar-rapportar kif iddefinita fl-Artikolu 3 tar-Regolament ta’ Delega tal-Kummissjoni (UE) 2015/61.</w:t>
      </w:r>
    </w:p>
    <w:p w14:paraId="3C031ADF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Sabiex jiġu kkalkolati d-dħul u l-ħruġ mhux ponderati u ponderati u l-HQLA ponderati għall-finijiet tal-Mudell EU LIQ1, l-istituzzjonijiet għandhom japplikaw l-istruzzjonijiet li ġejjin:</w:t>
      </w:r>
    </w:p>
    <w:p w14:paraId="5E2AA611" w14:textId="77777777" w:rsidR="007E1815" w:rsidRPr="007F4CC8" w:rsidRDefault="007E1815" w:rsidP="007E1815">
      <w:pPr>
        <w:widowControl w:val="0"/>
        <w:numPr>
          <w:ilvl w:val="0"/>
          <w:numId w:val="3"/>
        </w:numPr>
        <w:tabs>
          <w:tab w:val="left" w:pos="1445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Dħul/ħruġ: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il-valur mhux ponderat tad-dħul u tal-ħruġ għandu jiġi kkalkolat bħala l-bilanċi pendenti ta’ diversi kategoriji jew tipi ta’ obbligazzjonijiet, ta’ entrati li ma jidhrux fil-karta bilanċjali jew ta’ riċevibbli kuntrattwali.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Il-valur “ponderat” għad-dħul u għall-ħruġ għandu jiġi kkalkolat bħala l-valur wara li jiġu applikati r-rati tad-dħul u tal-ħruġ.</w:t>
      </w:r>
    </w:p>
    <w:p w14:paraId="2531B7D7" w14:textId="77777777" w:rsidR="007E1815" w:rsidRPr="007F4CC8" w:rsidRDefault="007E1815" w:rsidP="007E1815">
      <w:pPr>
        <w:widowControl w:val="0"/>
        <w:numPr>
          <w:ilvl w:val="0"/>
          <w:numId w:val="3"/>
        </w:numPr>
        <w:tabs>
          <w:tab w:val="left" w:pos="1445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HQLA: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il-valur “ponderat” ta’ Assi Likwidi ta’ Kwalità Għolja (High Quality Liquid Assets, HQLA) għandu jiġi kkalkolat bħala l-valur wara li jiġi applikat it-telf impost.</w:t>
      </w:r>
    </w:p>
    <w:p w14:paraId="7F666887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Sabiex jiġi kkalkolat il-valur aġġustat tar-riżerva ta’ likwidità fl-entrata 21 u l-valur aġġustat tal-ħruġ nett totali ta’ flus fl-entrata 22 tal-Mudell EU LIQ1, l-istituzzjonijiet għandhom japplikaw kull waħda mill-istruzzjonijiet li ġejjin:</w:t>
      </w:r>
    </w:p>
    <w:p w14:paraId="16C4F071" w14:textId="77777777" w:rsidR="007E1815" w:rsidRPr="007F4CC8" w:rsidRDefault="007E1815" w:rsidP="007E1815">
      <w:pPr>
        <w:widowControl w:val="0"/>
        <w:numPr>
          <w:ilvl w:val="0"/>
          <w:numId w:val="4"/>
        </w:numPr>
        <w:tabs>
          <w:tab w:val="left" w:pos="1446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il-valur aġġustat tar-riżerva ta’ likwidità huwa l-valur tal-HQLA totali wara l-applikazzjoni kemm tat-telf impost kif ukoll ta’ kwalunkwe limitu massimu applikabbli;</w:t>
      </w:r>
    </w:p>
    <w:p w14:paraId="1C48DA06" w14:textId="77777777" w:rsidR="007E1815" w:rsidRPr="007F4CC8" w:rsidRDefault="007E1815" w:rsidP="007E1815">
      <w:pPr>
        <w:widowControl w:val="0"/>
        <w:numPr>
          <w:ilvl w:val="0"/>
          <w:numId w:val="4"/>
        </w:numPr>
        <w:tabs>
          <w:tab w:val="left" w:pos="1446"/>
        </w:tabs>
        <w:spacing w:before="120" w:after="120"/>
        <w:ind w:left="720" w:hanging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il-valur aġġustat tal-ħruġ nett ta’ flus għandu jiġi kkalkolat wara li jiġi applikat il-limitu fuq id-dħul, fejn applikabbli.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E1815" w:rsidRPr="007F4CC8" w14:paraId="17A9E0F0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E0C9C9" w14:textId="77777777" w:rsidR="007E1815" w:rsidRPr="007F4CC8" w:rsidRDefault="007E1815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E1815" w:rsidRPr="007F4CC8" w14:paraId="2E1622B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B27248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7B0A0D0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E1815" w:rsidRPr="007F4CC8" w14:paraId="4336FF81" w14:textId="77777777" w:rsidTr="00D819DE">
        <w:trPr>
          <w:trHeight w:val="1858"/>
        </w:trPr>
        <w:tc>
          <w:tcPr>
            <w:tcW w:w="1384" w:type="dxa"/>
          </w:tcPr>
          <w:p w14:paraId="223E36BF" w14:textId="77777777" w:rsidR="007E1815" w:rsidRPr="007F4CC8" w:rsidRDefault="007E1815" w:rsidP="00D819DE">
            <w:pPr>
              <w:pStyle w:val="Applicationdirecte"/>
              <w:spacing w:before="12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47C711AE" w14:textId="77777777" w:rsidR="007E1815" w:rsidRPr="007F4CC8" w:rsidRDefault="007E1815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Assi likwidi ta’ kwalità għolja totali (HQLA)</w:t>
            </w:r>
          </w:p>
          <w:p w14:paraId="3AFE2750" w14:textId="77777777" w:rsidR="007E1815" w:rsidRPr="007F4CC8" w:rsidRDefault="007E1815" w:rsidP="00D819DE">
            <w:pPr>
              <w:pStyle w:val="InstructionsText"/>
              <w:rPr>
                <w:rFonts w:eastAsiaTheme="minorEastAsia"/>
              </w:rPr>
            </w:pPr>
            <w:r>
              <w:t xml:space="preserve">L-istituzzjonijiet għandhom jiddikjaraw bħala l-valur ponderat l-ammont f’konformità mal-Artikolu 9 tar-Regolament ta’ Delega tal-Kummissjoni (UE) 2015/61 tal-assi likwidi qabel ma japplikaw il-mekkaniżmu ta’ aġġustament kif imsemmi fl-Artikolu 17(2) tar-Regolament ta’ Delega tal-Kummissjoni (UE) 2015/61.</w:t>
            </w:r>
            <w:r>
              <w:t xml:space="preserve"> </w:t>
            </w:r>
          </w:p>
        </w:tc>
      </w:tr>
      <w:tr w:rsidR="007E1815" w:rsidRPr="007F4CC8" w14:paraId="679400D0" w14:textId="77777777" w:rsidTr="00D819DE">
        <w:trPr>
          <w:trHeight w:val="316"/>
        </w:trPr>
        <w:tc>
          <w:tcPr>
            <w:tcW w:w="1384" w:type="dxa"/>
          </w:tcPr>
          <w:p w14:paraId="2FF4D0BB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5DF859BE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fil-livell tal-konsumatur u depożiti minn negozji żgħar klijenti, li minnhom:</w:t>
            </w:r>
          </w:p>
          <w:p w14:paraId="1B97B6A0" w14:textId="77777777" w:rsidR="007E1815" w:rsidRPr="007F4CC8" w:rsidRDefault="007E1815" w:rsidP="00D819DE">
            <w:pPr>
              <w:spacing w:after="120" w:line="278" w:lineRule="exact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l-ammont ta’ depożiti fil-livell tal-konsumatur f’konformità mal-Artikoli 24 u 25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45E17B" w14:textId="77777777" w:rsidR="007E1815" w:rsidRPr="007F4CC8" w:rsidRDefault="007E1815" w:rsidP="00D819DE">
            <w:pPr>
              <w:spacing w:after="120" w:line="278" w:lineRule="exact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il-ħruġ ta’ depożiti fil-livell tal-konsumatur f’konformità mal-Artikoli 24 u 25 tar-Regolament ta’ Delega tal-Kummissjoni (UE) 2015/61.</w:t>
            </w:r>
          </w:p>
          <w:p w14:paraId="61E7FEDA" w14:textId="77777777" w:rsidR="007E1815" w:rsidRPr="007F4CC8" w:rsidRDefault="007E1815" w:rsidP="00D819DE">
            <w:pPr>
              <w:spacing w:after="120" w:line="278" w:lineRule="exact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fuq id-depożiti fil-livell tal-konsumatur f’konformità mal-Artikolu 411(2) CRR.</w:t>
            </w:r>
          </w:p>
          <w:p w14:paraId="1C28E2DD" w14:textId="77777777" w:rsidR="007E1815" w:rsidRPr="007F4CC8" w:rsidRDefault="007E1815" w:rsidP="00D819DE">
            <w:pPr>
              <w:tabs>
                <w:tab w:val="left" w:pos="3317"/>
              </w:tabs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28(6) tar-Regolament ta’ Delega tal-Kummissjoni (UE) 2015/61 l-istituzzjonijiet għandhom jiddikjaraw ukoll fil-kategorija xierqa tad-depożiti fil-livell tal-konsumatur l-ammont tan-noti, tal-bonds u ta’ titoli oħra maħruġa li jinbiegħu esklussivament fis-suq tal-konsumaturi u miżmuma f’kont fil-livell tal-konsumatur.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din il-kategorija ta’ obbligazzjonijiet, l-istituzzjonijiet se jikkunsidraw ir-rati ta’ ħruġ applikabbli previsti mir-Regolament ta’ Delega tal-Kummissjoni (UE) 2015/61 għall-kategoriji differenti ta’ depożiti fil-livell tal-konsumatur.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7E1815" w:rsidRPr="007F4CC8" w14:paraId="51FA4D94" w14:textId="77777777" w:rsidTr="00D819DE">
        <w:trPr>
          <w:trHeight w:val="316"/>
        </w:trPr>
        <w:tc>
          <w:tcPr>
            <w:tcW w:w="1384" w:type="dxa"/>
          </w:tcPr>
          <w:p w14:paraId="33F0252C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1ECEDB42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stabbli</w:t>
            </w:r>
          </w:p>
          <w:p w14:paraId="00BE3764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is-somma tal-ammont tad-depożiti stabbli f’konformità mal-Artikolu 24 tar-Regolament ta’ Delega tal-Kummissjoni (UE) 2015/61.</w:t>
            </w:r>
          </w:p>
          <w:p w14:paraId="1C5FA496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s-somma tal-ħruġ tad-depożiti stabbli f’konformità mal-Artikolu 24 tar-Regolament ta’ Delega tal-Kummissjoni (UE) 2015/61.</w:t>
            </w:r>
          </w:p>
          <w:p w14:paraId="1C39DD3F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hawnhekk il-parti tal-ammonti ta’ depożiti fil-livell tal-konsumatur koperti minn Skema ta’ Garanzija tad-Depożiti f’konformità mad-Direttiva 94/19/KE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 jew mad-Direttiva 2014/49/UE</w:t>
            </w:r>
            <w:r w:rsidRPr="007F4CC8"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jew minn skema ta’ garanzija tad-depożiti ekwivalenti f’pajjiż terz u jew tkun parti minn relazzjoni stabbilita li tagħmel il-prelevament ferm improbabbli jew tkun miżmuma f’kont tranżazzjonali f’konformità mal-Artikolu 24(2) u (3) tar-Regolament ta’ Delega tal-Kummissjoni (UE) 2015/61 rispettivament u fejn:</w:t>
            </w:r>
          </w:p>
          <w:p w14:paraId="72E97531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id-depożiti ma jissodisfawx il-kriterji għal rata ta’ ħruġ ogħla f’konformità mal-Artikolu 25(2), (3), jew (5) tar-Regolament ta’ Delega tal-Kummissjoni (UE) 2015/61, u</w:t>
            </w:r>
          </w:p>
          <w:p w14:paraId="0141BCF2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id-depożiti ma ttiħdux f’pajjiżi terzi fejn jiġi applikat ħruġ ogħla f’konformità mal-Artikolu 25(5)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7E1815" w:rsidRPr="007F4CC8" w14:paraId="2C7142E2" w14:textId="77777777" w:rsidTr="00D819DE">
        <w:trPr>
          <w:trHeight w:val="316"/>
        </w:trPr>
        <w:tc>
          <w:tcPr>
            <w:tcW w:w="1384" w:type="dxa"/>
          </w:tcPr>
          <w:p w14:paraId="0A7F136B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</w:tcPr>
          <w:p w14:paraId="481896FC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anqas stabbli</w:t>
            </w:r>
          </w:p>
          <w:p w14:paraId="72651457" w14:textId="77777777" w:rsidR="007E1815" w:rsidRPr="007F4CC8" w:rsidRDefault="007E1815" w:rsidP="00D819DE">
            <w:pPr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is-somma tal-ammont tad-depożiti fil-livell tal-konsumatur f’konformità mal-Artikolu 25(1), (2) u (3) tar-Regolament ta’ Delega tal-Kummissjoni (UE) 2015/61.</w:t>
            </w:r>
          </w:p>
          <w:p w14:paraId="2ACA42CC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s-somma tal-ħruġ tad-depożiti fil-livell tal-konsumatur f’konformità mal-Artikolu 25(1), (2) u (3) tar-Regolament ta’ Delega tal-Kummissjoni (UE) 2015/61.</w:t>
            </w:r>
          </w:p>
        </w:tc>
      </w:tr>
      <w:tr w:rsidR="007E1815" w:rsidRPr="007F4CC8" w14:paraId="6AC39664" w14:textId="77777777" w:rsidTr="00D819DE">
        <w:trPr>
          <w:trHeight w:val="316"/>
        </w:trPr>
        <w:tc>
          <w:tcPr>
            <w:tcW w:w="1384" w:type="dxa"/>
          </w:tcPr>
          <w:p w14:paraId="101FA97A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</w:tcPr>
          <w:p w14:paraId="29B56AD7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tal-operaturi mhux iggarantit</w:t>
            </w:r>
          </w:p>
          <w:p w14:paraId="2FD07274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is-somom tal-ammonti mhux ponderati u ponderati li huma meħtieġa li jiġu ddikjarati fir-ringiela 6 “Depożiti operazzjonali (il-kontropartijiet kollha) u depożiti f’networks ta’ banek kooperattivi”, ir-ringiela 7 “Depożiti mhux operazzjonali (il-kontropartijiet kollha)” u r-ringiela 8 “Dejn mhux iggarantit” ta’ dan il-mudell.</w:t>
            </w:r>
          </w:p>
        </w:tc>
      </w:tr>
      <w:tr w:rsidR="007E1815" w:rsidRPr="007F4CC8" w14:paraId="3699975C" w14:textId="77777777" w:rsidTr="00D819DE">
        <w:trPr>
          <w:trHeight w:val="316"/>
        </w:trPr>
        <w:tc>
          <w:tcPr>
            <w:tcW w:w="1384" w:type="dxa"/>
          </w:tcPr>
          <w:p w14:paraId="6C6D7AC1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</w:tcPr>
          <w:p w14:paraId="3F0B24B1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operazzjonali (il-kontropartijiet kollha) u depożiti f’networks ta’ banek kooperattivi</w:t>
            </w:r>
          </w:p>
          <w:p w14:paraId="298B6767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l-ammont tad-depożiti operazzjonali f’konformità mal-Artikolu 27 tar-Regolament ta’ Delega tal-Kummissjoni (UE) 2015/61.</w:t>
            </w:r>
          </w:p>
          <w:p w14:paraId="640AB0BC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il-ħruġ ta’ depożiti operazzjonali f’konformità mal-Artikolu 27 tar-Regolament ta’ Delega tal-Kummissjoni (UE) 2015/61.</w:t>
            </w:r>
          </w:p>
          <w:p w14:paraId="092AFFBB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hawnhekk il-parti tad-depożiti operazzjonali, f’konformità mal-Artikolu 27 tar-Regolament ta’ Delega tal-Kummissjoni (UE) 2015/61, li hija meħtieġa għall-provvista ta’ servizzi operazzjonali.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Id-depożiti li jirriżultaw minn relazzjoni bankarja korrispondenti jew mill-provvista ta’ servizzi ta’ senserija primarja għandhom jitqiesu bħala depożiti mhux operazzjonali f’konformità mal-Artikolu 27(5) tar-Regolament ta’ Delega tal-Kummissjoni (UE) 2015/61.</w:t>
            </w:r>
          </w:p>
          <w:p w14:paraId="51A15DD5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tad-depożiti operazzjonali li taqbeż l-ammont meħtieġ għall-provvista ta’ servizzi operazzjonali ma għandhiex tiġi ddikjarata hawnhekk.</w:t>
            </w:r>
          </w:p>
        </w:tc>
      </w:tr>
      <w:tr w:rsidR="007E1815" w:rsidRPr="007F4CC8" w14:paraId="10E4889F" w14:textId="77777777" w:rsidTr="00D819DE">
        <w:trPr>
          <w:trHeight w:val="316"/>
        </w:trPr>
        <w:tc>
          <w:tcPr>
            <w:tcW w:w="1384" w:type="dxa"/>
          </w:tcPr>
          <w:p w14:paraId="3D507C3D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</w:tcPr>
          <w:p w14:paraId="53BB0581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mhux operazzjonali (il-kontropartijiet kollha)</w:t>
            </w:r>
          </w:p>
          <w:p w14:paraId="48CEFB6E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l-ammont tad-depożiti mhux operazzjonali skont l-Artikolu 27(5), l-Artikolu 28(1) u l-Artikolu 31A(1) tar-Regolament ta’ Delega tal-Kummissjoni (UE) 2015/61.</w:t>
            </w:r>
          </w:p>
          <w:p w14:paraId="4790956F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il-ħruġ tad-depożiti mhux operazzjonali skont l-Artikolu 27(5), l-Artikolu 28(1) u l-Artikolu 31A(1) tar-Regolament ta’ Delega tal-Kummissjoni (UE) 2015/61.</w:t>
            </w:r>
          </w:p>
          <w:p w14:paraId="10C1A170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hawnhekk id-depożiti li jirriżultaw minn ibbankjar korrispondenti jew mill-provvista ta’ servizzi ta’ senserija primarja f’konformità mal-Artikolu 27(5) tar-Regolament ta’ Delega tal-Kummissjoni (UE) 2015/61.</w:t>
            </w:r>
          </w:p>
          <w:p w14:paraId="6F5AFE8E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tad-depożiti operazzjonali f’konformità mal-Artikolu 27(5) tar-Regolament ta’ Delega tal-Kummissjoni (UE) 2015/61, li taqbeż dawk meħtieġa għall-forniment ta’ servizzi operazzjonali, għandha tiġi ddikjarata hawnhekk.</w:t>
            </w:r>
          </w:p>
        </w:tc>
      </w:tr>
      <w:tr w:rsidR="007E1815" w:rsidRPr="007F4CC8" w14:paraId="0C113736" w14:textId="77777777" w:rsidTr="00D819DE">
        <w:trPr>
          <w:trHeight w:val="316"/>
        </w:trPr>
        <w:tc>
          <w:tcPr>
            <w:tcW w:w="1384" w:type="dxa"/>
          </w:tcPr>
          <w:p w14:paraId="2A59F921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</w:tcPr>
          <w:p w14:paraId="58B737C3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Dejn mhux iggarantit</w:t>
            </w:r>
          </w:p>
          <w:p w14:paraId="07E30657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il-bilanċ pendenti ta’ noti, ta’ bonds u ta’ titoli ta’ dejn oħrajn, maħruġa mill-istituzzjoni għajr dawk iddikjarati bħala depożiti fil-livell tal-konsumatur kif imsemmi fl-Artikolu 28(6)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jinkludi wkoll kupuni li jkunu dovuti fit-30 jum kalendarju li jmiss meta jirreferu għal dawn it-titoli kollha.</w:t>
            </w:r>
          </w:p>
          <w:p w14:paraId="2B76EA8F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il-ħruġ ta’ dawk in-noti, il-bonds u titoli oħrajn ta’ dejn indikati fil-paragrafu preċedenti.</w:t>
            </w:r>
          </w:p>
        </w:tc>
      </w:tr>
      <w:tr w:rsidR="007E1815" w:rsidRPr="007F4CC8" w14:paraId="11912F1B" w14:textId="77777777" w:rsidTr="00D819DE">
        <w:trPr>
          <w:trHeight w:val="316"/>
        </w:trPr>
        <w:tc>
          <w:tcPr>
            <w:tcW w:w="1384" w:type="dxa"/>
          </w:tcPr>
          <w:p w14:paraId="0B7FBC22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</w:tcPr>
          <w:p w14:paraId="3E610997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tal-Operaturi ggarantit</w:t>
            </w:r>
          </w:p>
          <w:p w14:paraId="2BB9CA4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is-somma tal-ħruġ li jirriżulta minn self iggarantit jew minn tranżazzjonijiet immotivati mis-swieq kapitali kif imsemmi fl-Artikolu 28(3) tar-Regolament ta’ Delega tal-Kummissjoni (UE) 2015/61 u minn swaps kollaterali u minn tranżazzjonijiet oħra b’forma simili f’konformità mal-Artikolu 28(4) tar-Regolament ta’ Delega tal-Kummissjoni (UE) 2015/61.</w:t>
            </w:r>
          </w:p>
        </w:tc>
      </w:tr>
      <w:tr w:rsidR="007E1815" w:rsidRPr="007F4CC8" w14:paraId="1E67FE9B" w14:textId="77777777" w:rsidTr="00D819DE">
        <w:trPr>
          <w:trHeight w:val="316"/>
        </w:trPr>
        <w:tc>
          <w:tcPr>
            <w:tcW w:w="1384" w:type="dxa"/>
          </w:tcPr>
          <w:p w14:paraId="09C8CC38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</w:tcPr>
          <w:p w14:paraId="774F36AA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addizzjonali</w:t>
            </w:r>
          </w:p>
          <w:p w14:paraId="34F10C0C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is-somom tal-ammonti mhux ponderati u ponderati li huma meħtieġa li jiġu ddikjarati fir-ringiela 11 “Ħruġ relatat ma’ skoperturi ta’ derivattivi u rekwiżiti ta’ kollateral oħrajn”, fir-ringiela 12 “Ħruġ relatat mat-telf ta’ finanzjament fuq prodotti ta’ dejn” u fir-ringiela 13 “Faċilitajiet ta’ kreditu u ta’ likwidità” ta’ dan il-mudell.</w:t>
            </w:r>
          </w:p>
        </w:tc>
      </w:tr>
      <w:tr w:rsidR="007E1815" w:rsidRPr="007F4CC8" w14:paraId="6C258881" w14:textId="77777777" w:rsidTr="00D819DE">
        <w:trPr>
          <w:trHeight w:val="316"/>
        </w:trPr>
        <w:tc>
          <w:tcPr>
            <w:tcW w:w="1384" w:type="dxa"/>
          </w:tcPr>
          <w:p w14:paraId="169F3669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</w:tcPr>
          <w:p w14:paraId="74F71329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relatat ma’ skoperturi ta’ derivattivi u rekwiżiti ta’ kollateral oħrajn</w:t>
            </w:r>
          </w:p>
          <w:p w14:paraId="45A714DD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is-somma tal-ammonti u tal-ħruġ li ġejjin rispettivament:</w:t>
            </w:r>
          </w:p>
          <w:p w14:paraId="35D83DA0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u l-ħruġ rilevanti ta’ kollateral għajr il-kollateral tal-Livell 1 li jiġi ddepożitat għal kuntratti elenkati fl-Anness II CRR u derivattivi ta’ kreditu, skont l-Artikolu 30(1) tar-Regolament ta’ Delega tal-Kummissjoni (UE) 2015/61.</w:t>
            </w:r>
          </w:p>
          <w:p w14:paraId="43C0E6B6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u l-ħruġ rilevanti ta’ assi ta’ Bonds Koperti ta’ EHQ tal-Livell 1 iddepożitati għal kuntratti elenkati fl-Anness II CRR u derivattivi ta’ kreditu skont l-Artikolu 30(1) tar-Regolament ta’ Delega tal-Kummissjoni (UE) 2015/61.</w:t>
            </w:r>
          </w:p>
          <w:p w14:paraId="5A5FA7D0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ħruġ addizzjonali kkalkolat u nnotifikat lill-awtoritajiet kompetenti f’konformità mal-Artikolu 30(2) tar-Regolament ta’ Delega tal-Kummissjoni (UE) 2015/61 bħala ħruġ materjali minħabba deterjorament tal-kwalità tal-kreditu proprja.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2B5AC48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ħruġ li jirriżulta minn impatt ta’ xenarju avvers tas-suq fuq it-tranżazzjonijiet ta’ derivattivi kif previst fl-Artikolu 30(3) tar-Regolament ta’ Delega tal-Kummissjoni (UE) 2015/61 u kkalkolat f’konformità mar-Regolament Delegat tal-Kummissjoni (UE) 2017/208</w:t>
            </w:r>
            <w:r w:rsidRPr="007F4CC8">
              <w:rPr>
                <w:rStyle w:val="FootnoteReference"/>
                <w:rFonts w:ascii="Times New Roman" w:hAnsi="Times New Roman"/>
                <w:sz w:val="24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2E9F1834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ħruġ mistenni fuq 30 jum kalendarju minn kuntratti elenkati fl-Anness II CRR u minn derivattivi ta’ kreditu kif previst fl-Artikolu 30(4) tar-Regolament ta’ Delega tal-Kummissjoni (UE) 2015/61 u kkalkolat f’konformità mal-Artikolu 21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7058C3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tas-suq, u l-ħruġ rilevanti, ta’ kollateral eċċessiv li jkollha l-istituzzjoni u li jista’ jintalab kuntrattwalment fi kwalunkwe ħin mill-kontroparti kif previst fil-punt (a) tal-Artikolu 30(6)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909EA75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tas-suq, u l-ħruġ rilevanti, ta’ kollateral li għandu jiġi ddepożitat mal-kontroparti fil-perjodu ta’ 30 jum kalendarju kif previst fil-punt (b) tal-Artikolu 30(6)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C747E7F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tas-suq, u l-ħruġ rilevanti, ta’ kollateral li jikkwalifika bħala assi likwidi għall-finijiet tat-Titolu II tar-Regolament ta’ Delega tal-Kummissjoni (UE) 2015/61 li jista’ jiġi ssostitwit għal assi li jikkorrispondu għal assi li ma jikkwalifikawx bħala assi likwidi għall-fini tat-Titolu II tal-istess Regolament mingħajr il-kunsens tal-istituzzjoni, kif previst fil-punt (c) tal-Artikolu 30(6) tar-Regolament ta’ Delega tal-Kummissjoni (UE) 2015/61.</w:t>
            </w:r>
          </w:p>
        </w:tc>
      </w:tr>
      <w:tr w:rsidR="007E1815" w:rsidRPr="007F4CC8" w14:paraId="73604DCD" w14:textId="77777777" w:rsidTr="00D819DE">
        <w:trPr>
          <w:trHeight w:val="316"/>
        </w:trPr>
        <w:tc>
          <w:tcPr>
            <w:tcW w:w="1384" w:type="dxa"/>
          </w:tcPr>
          <w:p w14:paraId="76F2A9CE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</w:tcPr>
          <w:p w14:paraId="5669483C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relatat mat-telf ta’ finanzjament fuq prodotti ta’ dejn</w:t>
            </w:r>
          </w:p>
          <w:p w14:paraId="2004FE24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l-ammont u l-ħruġ rispettivament, tat-telf ta’ finanzjament fuq attivitajiet ta’ finanzjament strutturat, kif previst fl-Artikolu 30 minn (8) sa 30(10) tar-Regolament ta’ Delega tal-Kummissjoni (UE) 2015/61.</w:t>
            </w:r>
          </w:p>
          <w:p w14:paraId="7A966478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jassumu ħruġ ta’ 100 % għal telf ta’ finanzjament fuq titoli ggarantiti b’assi, fuq bonds koperti u fuq strumenti ta’ finanzjament strutturat oħrajn li jimmaturaw fil-perjodu ta’ 30 jum kalendarju maħruġa mill-istituzzjoni ta’ kreditu jew minn veikoli jew minn SPVs sponsorjati.</w:t>
            </w:r>
          </w:p>
          <w:p w14:paraId="7699550A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Istituzzjonijiet li huma fornituri ta’ faċilitajiet ta’ likwidità assoċjati ma’ programmi ta’ finanzjament iddikjarati hawnhekk ma għandhomx bżonn jgħoddu darbtejn l-istrument ta’ finanzjament li qed jimmatura u l-faċilità ta’ likwidità għal programmi konsolidati.</w:t>
            </w:r>
          </w:p>
        </w:tc>
      </w:tr>
      <w:tr w:rsidR="007E1815" w:rsidRPr="007F4CC8" w14:paraId="509D8875" w14:textId="77777777" w:rsidTr="00D819DE">
        <w:trPr>
          <w:trHeight w:val="316"/>
        </w:trPr>
        <w:tc>
          <w:tcPr>
            <w:tcW w:w="1384" w:type="dxa"/>
          </w:tcPr>
          <w:p w14:paraId="5095A456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655" w:type="dxa"/>
          </w:tcPr>
          <w:p w14:paraId="17CE629E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Faċilitajiet ta’ kreditu u ta’ likwidità</w:t>
            </w:r>
          </w:p>
          <w:p w14:paraId="63AA0609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l-ammont u l-ħruġ rispettivament, tal-faċilitajiet ta’ kreditu u ta’ likwidità f’konformità mal-Artikolu 31 tar-Regolament ta’ Delega tal-Kummissjoni (UE) 2015/61.</w:t>
            </w:r>
          </w:p>
          <w:p w14:paraId="0CB681C8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ukoll hawn fuq il-faċilitajiet impenjati f’konformità mal-Artikolu 29 tar-Regolament ta’ Delega tal-Kummissjoni (UE) 2015/61.</w:t>
            </w:r>
          </w:p>
        </w:tc>
      </w:tr>
      <w:tr w:rsidR="007E1815" w:rsidRPr="007F4CC8" w14:paraId="714288CA" w14:textId="77777777" w:rsidTr="00D819DE">
        <w:trPr>
          <w:trHeight w:val="316"/>
        </w:trPr>
        <w:tc>
          <w:tcPr>
            <w:tcW w:w="1384" w:type="dxa"/>
          </w:tcPr>
          <w:p w14:paraId="4688D030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655" w:type="dxa"/>
          </w:tcPr>
          <w:p w14:paraId="09A7998F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Obbligi ta’ finanzjament kuntrattwali oħrajn</w:t>
            </w:r>
          </w:p>
          <w:p w14:paraId="7DBAA770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is-somma tal-ammonti u l-ħruġ rispettivament, tal-entrati li ġejjin:</w:t>
            </w:r>
          </w:p>
          <w:p w14:paraId="7CB65F22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mislufa fuq bażi mhux iggarantita, u li jimmaturaw fi żmien 30 jum kif previst fl-Artikolu 28(7)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l-assi għandhom jiġu preżunti li jiġu paċuti bis-sħiħ, li jwasslu għal ħruġ ta’ 100 %.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jiddikjaraw il-valur tas-suq tal-assi mislufa fuq bażi mhux iggarantita u li jimmaturaw fil-perjodu ta’ 30 jum meta l-istituzzjoni ta’ kreditu ma jkollhiex is-sjieda tat-titoli u ma tifformax parti mir-riżerva ta’ likwidità tal-istituzzjonijiet.</w:t>
            </w:r>
          </w:p>
          <w:p w14:paraId="7B6C8778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qosra koperti minn teħid b’self ta’ titoli mhux iggarantit.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stabbilit fl-Artikolu 30(5) tar-Regolament ta’ Delega tal-Kummissjoni (UE) 2015/61, l-istituzzjonijiet għandhom iżidu ħruġ addizzjonali li jikkorrispondi għal 100 % tal-valur tas-suq tat-titoli jew ta’ assi oħra mibjugħa qosra sakemm it-termini li fuqhom l-istituzzjoni ta’ kreditu tkun issellfet ma jirrikjedux ir-redditu tagħhom wara 30 jum kalendarju biss.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il-pożizzjoni qasira tkun koperta minn tranżazzjoni kollateralizzata ta’ finanzjament tat-titoli, l-istituzzjoni ta’ kreditu għandha tassumi li l-pożizzjoni qasira se tinżamm matul il-perjodu ta’ 30 jum kalendarju u rċiviet ħruġ ta’ 0 %.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D960AFF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Obbligazzjonijiet li jirriżultaw minn spejjeż operatorji.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stabbilit fl-Artikolu 28(2) tar-Regolament ta’ Delega tal-Kummissjoni (UE) 2015/61, l-istituzzjonijiet għandhom jiddikjaraw l-ammont tal-bilanċ pendenti tal-obbligazzjonijiet li jirriżultaw mill-ispejjeż operatorji proprji tal-istituzzjoni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l-obbligazzjonijiet ma jagħtux lok għal flussi ta’ ħruġ.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0308A9D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Tranżazzjonijiet mhux iggarantiti oħrajn li jsiru dovuti fit-30 jum kalendarju li jmiss u mhumiex inklużi fl-Artikoli minn 24 sa 31 tar-Regolament ta’ Delega tal-Kummissjoni (UE) 2015/61, li, kif stabbilit fl-Artikolu 31A(1) tar-Regolament ta’ Delega tal-Kummissjoni (UE) 2015/61, jiskattaw ħruġ ta’ 100 %.</w:t>
            </w:r>
          </w:p>
        </w:tc>
      </w:tr>
      <w:tr w:rsidR="007E1815" w:rsidRPr="007F4CC8" w14:paraId="6D04A99C" w14:textId="77777777" w:rsidTr="00D819DE">
        <w:trPr>
          <w:trHeight w:val="316"/>
        </w:trPr>
        <w:tc>
          <w:tcPr>
            <w:tcW w:w="1384" w:type="dxa"/>
          </w:tcPr>
          <w:p w14:paraId="2086B2D5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655" w:type="dxa"/>
          </w:tcPr>
          <w:p w14:paraId="6A875C2F" w14:textId="77777777" w:rsidR="007E1815" w:rsidRPr="007F4CC8" w:rsidRDefault="007E1815" w:rsidP="00D819DE">
            <w:pPr>
              <w:spacing w:before="120" w:after="120" w:line="190" w:lineRule="exact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Obbligi ta’ finanzjament kontinġenti oħrajn</w:t>
            </w:r>
          </w:p>
          <w:p w14:paraId="65E869DD" w14:textId="77777777" w:rsidR="007E1815" w:rsidRPr="007F4CC8" w:rsidRDefault="007E1815" w:rsidP="00D819DE">
            <w:pPr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is-somma tal-ammonti u l-ħruġ rispettivament, tal-entrati li ġejjin:</w:t>
            </w:r>
          </w:p>
          <w:p w14:paraId="2032279E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Prodotti u servizzi oħra kif imsemmija fl-Artikolu 23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jiddikjaraw hawn dwar dawk il-prodotti jew is-servizzi msemmija fl-Artikolu 23(1)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L-ammont li għandu jiġi ddikjarat għandu jkun l-ammont massimu li jista’ jittieħed minn dawk il-prodotti jew is-servizzi msemmija fl-Artikolu 23(1)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F269431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Eċċess tal-impenji kuntrattwali sabiex jiġi estiż il-finanzjament lil klijenti mhux finanzjarji fi żmien 30 jum kalendarju kif previst fl-Artikolu 31A(2)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0FF3B1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Netting intern tal-pożizzjonijiet tal-klijenti f’konformità mal-Artikolu 30(11)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jiddikjaraw hawn il-valur tas-suq tal-assi mhux likwidi ta’ klijent li, fir-rigward tas-servizzi ta’ senserija primarja, l-istituzzjoni ta’ kreditu użat sabiex tkopri bejgħ qasir ta’ klijent ieħor billi tqabbilhom internament.</w:t>
            </w:r>
          </w:p>
        </w:tc>
      </w:tr>
      <w:tr w:rsidR="007E1815" w:rsidRPr="007F4CC8" w14:paraId="5C1E26D1" w14:textId="77777777" w:rsidTr="00D819DE">
        <w:trPr>
          <w:trHeight w:val="316"/>
        </w:trPr>
        <w:tc>
          <w:tcPr>
            <w:tcW w:w="1384" w:type="dxa"/>
          </w:tcPr>
          <w:p w14:paraId="66EBBD7B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655" w:type="dxa"/>
          </w:tcPr>
          <w:p w14:paraId="7CD1029A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TOTALI TA’ FLUS</w:t>
            </w:r>
          </w:p>
          <w:p w14:paraId="795DD5DD" w14:textId="77777777" w:rsidR="007E1815" w:rsidRPr="007F4CC8" w:rsidRDefault="007E1815" w:rsidP="00D819DE">
            <w:pPr>
              <w:spacing w:after="120" w:line="288" w:lineRule="exact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is-somma tal-valur ponderat tal-entrati li ġejjin skont dawn l-istruzzjonijiet:</w:t>
            </w:r>
          </w:p>
          <w:p w14:paraId="1FE26C4F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2: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Depożiti fil-livell tal-konsumatur u depożiti minn negozji żgħar klijenti ta’ dan il-mudell;</w:t>
            </w:r>
          </w:p>
          <w:p w14:paraId="4C61D144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5: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Finanzjament tal-operaturi mhux iggarantit ta’ dan il-mudell,</w:t>
            </w:r>
          </w:p>
          <w:p w14:paraId="5FA5EAE1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9: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Finanzjament tal-operaturi iggarantit ta’ dan il-mudell,</w:t>
            </w:r>
          </w:p>
          <w:p w14:paraId="7B309705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10: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Rekwiżiti addizzjonali ta’ dan il-mudell,</w:t>
            </w:r>
          </w:p>
          <w:p w14:paraId="121EA07E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14: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Obbligi ta’ finanzjament kuntrattwali oħrajn ta’ dan il-mudell;</w:t>
            </w:r>
          </w:p>
          <w:p w14:paraId="3BFFB70C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15: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Obbligi ta’ finanzjament kontinġenti oħrajn ta’ dan il-mudell.</w:t>
            </w:r>
          </w:p>
        </w:tc>
      </w:tr>
      <w:tr w:rsidR="007E1815" w:rsidRPr="007F4CC8" w14:paraId="79A60795" w14:textId="77777777" w:rsidTr="00D819DE">
        <w:trPr>
          <w:trHeight w:val="316"/>
        </w:trPr>
        <w:tc>
          <w:tcPr>
            <w:tcW w:w="1384" w:type="dxa"/>
          </w:tcPr>
          <w:p w14:paraId="0BC40981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655" w:type="dxa"/>
          </w:tcPr>
          <w:p w14:paraId="7AAD4AB7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Self iggarantit (pereż. retro riakkwist)</w:t>
            </w:r>
          </w:p>
          <w:p w14:paraId="651838CD" w14:textId="77777777" w:rsidR="007E1815" w:rsidRPr="007F4CC8" w:rsidRDefault="007E1815" w:rsidP="00D819DE">
            <w:pPr>
              <w:spacing w:after="120" w:line="28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is-somma ta’:</w:t>
            </w:r>
          </w:p>
          <w:p w14:paraId="6D480715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ta’ self iggarantit u ta’ tranżazzjonijiet immotivati mis-swieq kapitali b’maturità residwa ta’ mhux aktar minn 30 jum kif previst fil-punti (b), (c) u (f) tal-Artikolu 32(3) tar-Regolament ta’ Delega tal-Kummissjoni (UE) 2015/61.</w:t>
            </w:r>
          </w:p>
          <w:p w14:paraId="7F449F12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88" w:lineRule="exact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tal-kollateral misluf fi swaps kollaterali kif previst fl-Artikolu 32(3) tar-Regolament ta’ Delega tal-Kummissjoni (UE) 2015/61.</w:t>
            </w:r>
          </w:p>
          <w:p w14:paraId="06976BDB" w14:textId="77777777" w:rsidR="007E1815" w:rsidRPr="007F4CC8" w:rsidRDefault="007E1815" w:rsidP="00D819DE">
            <w:pPr>
              <w:spacing w:after="120" w:line="28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is-somma ta’:</w:t>
            </w:r>
          </w:p>
          <w:p w14:paraId="7A115CD7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minn self iggarantit u minn tranżazzjonijiet immotivati mis-swieq kapitali b’maturità residwa ta’ mhux aktar minn 30 jum kif previst fil-punti (b), (c) u (f) tal-Artikolu 32(3) tar-Regolament ta’ Delega tal-Kummissjoni (UE) 2015/61.</w:t>
            </w:r>
          </w:p>
          <w:p w14:paraId="07238B5C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Id-dħul minn swaps kollaterali kif previst fl-Artikolu 32(3) tar-Regolament ta’ Delega tal-Kummissjoni (UE) 2015/61.</w:t>
            </w:r>
          </w:p>
        </w:tc>
      </w:tr>
      <w:tr w:rsidR="007E1815" w:rsidRPr="007F4CC8" w14:paraId="001A0BC1" w14:textId="77777777" w:rsidTr="00D819DE">
        <w:trPr>
          <w:trHeight w:val="316"/>
        </w:trPr>
        <w:tc>
          <w:tcPr>
            <w:tcW w:w="1384" w:type="dxa"/>
          </w:tcPr>
          <w:p w14:paraId="717DE40D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7655" w:type="dxa"/>
          </w:tcPr>
          <w:p w14:paraId="05A2A98F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minn skoperturi kompletament produttivi</w:t>
            </w:r>
          </w:p>
          <w:p w14:paraId="4C4F768A" w14:textId="77777777" w:rsidR="007E1815" w:rsidRPr="007F4CC8" w:rsidRDefault="007E1815" w:rsidP="00D819DE">
            <w:pPr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is-somma tal-ammonti u tad-dħul totali, rispettivament, tal-entrati:</w:t>
            </w:r>
          </w:p>
          <w:p w14:paraId="1F8370B0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klijenti mhux finanzjarji (ħlief għall-banek ċentrali) kif previst fil-punt (a) tal-Artikolu 32(3)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086E0A3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mill-banek ċentrali u mill-klijenti finanzjarji kif previst fil-punt (a) tal-Artikolu 32(2)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16498BF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tranżazzjonijiet ta’ finanzjament tan-negozju kif previst fil-punt (b) tal-Artikolu 32(2) tar-Regolament ta’ Delega tal-Kummissjoni (UE) 2015/61 b’maturità residwa ta’ mhux aktar minn 30 jum.</w:t>
            </w:r>
          </w:p>
          <w:p w14:paraId="2B448E76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li jikkorrispondi għal ħruġ f’konformità mal-impenji ta’ self promozzjonali kif imsemmi fl-Artikolu 31(9) tar-Regolament ta’ Delega tal-Kummissjoni (UE) 2015/61.</w:t>
            </w:r>
          </w:p>
        </w:tc>
      </w:tr>
      <w:tr w:rsidR="007E1815" w:rsidRPr="007F4CC8" w14:paraId="63C35840" w14:textId="77777777" w:rsidTr="00D819DE">
        <w:trPr>
          <w:trHeight w:val="316"/>
        </w:trPr>
        <w:tc>
          <w:tcPr>
            <w:tcW w:w="1384" w:type="dxa"/>
          </w:tcPr>
          <w:p w14:paraId="02419826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655" w:type="dxa"/>
          </w:tcPr>
          <w:p w14:paraId="2976A3A7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ieħor ta’ flus</w:t>
            </w:r>
          </w:p>
          <w:p w14:paraId="47710836" w14:textId="77777777" w:rsidR="007E1815" w:rsidRPr="007F4CC8" w:rsidRDefault="007E1815" w:rsidP="00D819DE">
            <w:pPr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is-somma tal-ammonti u tad-dħul totali, rispettivament, tal-entrati:</w:t>
            </w:r>
          </w:p>
          <w:p w14:paraId="5654CF4D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titoli li jimmaturaw fi żmien 30 jum kif previst fil-punt (c) tal-Artikolu 32(2)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EA1B0AA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is-self b’data tat-tmiem kuntrattwali mhux definita kif previst fil-punt (i) tal-Artikolu 32(3) tar-Regolament ta’ Delega tal-Kummissjoni (UE) 2015/61.</w:t>
            </w:r>
          </w:p>
          <w:p w14:paraId="6C032E9D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il-flejjes dovuti minn pożizzjonijiet fi strumenti ta’ ekwità ta’ indiċi maġġuri dment li ma jkunx hemm għadd doppju b’assi likwidi kif previsti fil-punt (d) tal-Artikolu 32(2)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Il-pożizzjoni għandha tinkludi l-flejjes dovuti kuntrattwalment fi żmien 30 jum kalendarju, bħal dividendi fi flus minn dawk l-indiċijiet maġġuri u flus dovuti minn dawk l-istrumenti azzjonarji mibjugħa iżda li għadhom ma ġewx saldati, jekk ma jiġux rikonoxxuti bħala assi likwidi f’konformità mat-Titolu II tar-Regolament ta’ Delega tal-Kummissjoni (UE) 2015/61.</w:t>
            </w:r>
          </w:p>
          <w:p w14:paraId="51203A77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mir-rilaxx tal-bilanċi miżmuma f’kontijiet segregati f’konformità mar-rekwiżiti regolatorji għall-protezzjoni tal-assi tan-negozjar tal-klijenti kif previst fl-Artikolu 32(4)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Id-dħul għandu jiġi kkunsidrat biss jekk dawn il-bilanċi jinżammu f’assi likwidi kif speċifikat fit-Titolu II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C6FC3C4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minn derivattivi kif previst fl-Artikolu 32(5) flimkien mal-Artikolu 21 tar-Regolament ta’ Delega tal-Kummissjoni (UE) 2015/61.</w:t>
            </w:r>
          </w:p>
          <w:p w14:paraId="46B61C8E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minn faċilitajiet ta’ kreditu jew ta’ likwidità mhux prelevati pprovduti minn membri ta’ grupp jew minn skema ta’ protezzjoni istituzzjonali meta l-awtoritajiet kompetenti jkunu taw permess sabiex tiġi applikata rata ta’ dħul ogħla f’konformità mal-Artikolu 34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3725212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dħul ieħor skont l-Artikolu 32(2) tar-Regolament ta’ Delega tal-Kummissjoni (UE) 2015/61.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7E1815" w:rsidRPr="007F4CC8" w14:paraId="64E3E330" w14:textId="77777777" w:rsidTr="00D819DE">
        <w:trPr>
          <w:trHeight w:val="316"/>
        </w:trPr>
        <w:tc>
          <w:tcPr>
            <w:tcW w:w="1384" w:type="dxa"/>
          </w:tcPr>
          <w:p w14:paraId="581D75AD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EU-19 a</w:t>
            </w:r>
          </w:p>
        </w:tc>
        <w:tc>
          <w:tcPr>
            <w:tcW w:w="7655" w:type="dxa"/>
          </w:tcPr>
          <w:p w14:paraId="7D38534C" w14:textId="77777777" w:rsidR="007E1815" w:rsidRPr="007F4CC8" w:rsidRDefault="007E1815" w:rsidP="00D819DE">
            <w:pPr>
              <w:spacing w:before="120" w:after="120" w:line="278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(Differenza bejn id-dħul ponderat totali u l-ħruġ ponderat totali li jirriżultaw minn tranżazzjonijiet f’pajjiżi terzi fejn hemm restrizzjonijiet fuq it-trasferimenti jew li huma ddenominati f’muniti mhux konvertibbli)</w:t>
            </w:r>
          </w:p>
          <w:p w14:paraId="74E08890" w14:textId="77777777" w:rsidR="007E1815" w:rsidRPr="007F4CC8" w:rsidRDefault="007E1815" w:rsidP="00D819DE">
            <w:pPr>
              <w:spacing w:after="120" w:line="278" w:lineRule="exact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previst fl-Artikolu 32(8) tar-Regolament ta’ Delega tal-Kummissjoni (UE) 2015/61, l-istituzzjonijiet għandhom jiddikjaraw bħala l-valur ponderat l-eċċess ta’ dak id-dħul ponderat fir-rigward ta’ dak il-ħruġ.</w:t>
            </w:r>
          </w:p>
        </w:tc>
      </w:tr>
      <w:tr w:rsidR="007E1815" w:rsidRPr="007F4CC8" w14:paraId="2E7E87F2" w14:textId="77777777" w:rsidTr="00D819DE">
        <w:trPr>
          <w:trHeight w:val="316"/>
        </w:trPr>
        <w:tc>
          <w:tcPr>
            <w:tcW w:w="1384" w:type="dxa"/>
          </w:tcPr>
          <w:p w14:paraId="158F916A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19b</w:t>
            </w:r>
          </w:p>
        </w:tc>
        <w:tc>
          <w:tcPr>
            <w:tcW w:w="7655" w:type="dxa"/>
          </w:tcPr>
          <w:p w14:paraId="3FCA5557" w14:textId="77777777" w:rsidR="007E1815" w:rsidRPr="007F4CC8" w:rsidRDefault="007E1815" w:rsidP="00D819DE">
            <w:pPr>
              <w:spacing w:before="120" w:after="120" w:line="190" w:lineRule="exact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(Dħul eċċessiv minn istituzzjoni ta’ kreditu speċjalizzata relatata)</w:t>
            </w:r>
          </w:p>
          <w:p w14:paraId="5038CF89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previst fil-punt (e) tal-Artikolu 2(3) u fl-Artikolu 33(6) tar-Regolament ta’ Delega tal-Kummissjoni (UE) 2015/61, l-istituzzjonijiet ta’ kreditu, għall-finijiet ta’ divulgazzjoni f’bażi konsolidata, għandhom jiddikjaraw bħala l-valur ponderat id-dħul li jirriżulta minn istituzzjoni ta’ kreditu speċjalizzata relatata msemmija fl-Artikolu 33(3) u (4) tar-Regolament ta’ Delega tal-Kummissjoni (UE) 2015/61 li jkunu ogħla mill-ammont ta’ ħruġ li jirriżulta mill-istess impriża.</w:t>
            </w:r>
          </w:p>
        </w:tc>
      </w:tr>
      <w:tr w:rsidR="007E1815" w:rsidRPr="007F4CC8" w14:paraId="707030E1" w14:textId="77777777" w:rsidTr="00D819DE">
        <w:trPr>
          <w:trHeight w:val="316"/>
        </w:trPr>
        <w:tc>
          <w:tcPr>
            <w:tcW w:w="1384" w:type="dxa"/>
          </w:tcPr>
          <w:p w14:paraId="47322C3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7655" w:type="dxa"/>
          </w:tcPr>
          <w:p w14:paraId="6AD67FD5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TOTALI TA’ FLUS</w:t>
            </w:r>
          </w:p>
          <w:p w14:paraId="41F31061" w14:textId="77777777" w:rsidR="007E1815" w:rsidRPr="007F4CC8" w:rsidRDefault="007E1815" w:rsidP="00D819DE">
            <w:pPr>
              <w:spacing w:after="120" w:line="288" w:lineRule="exact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is-somma tal-valur mhux ponderat u ponderat tal-entrati li ġejjin skont dawn l-istruzzjonijiet:</w:t>
            </w:r>
          </w:p>
          <w:p w14:paraId="24C838C6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17: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Self iggarantit (pereż. retro riakkwist) ta’ dan il-mudell</w:t>
            </w:r>
          </w:p>
          <w:p w14:paraId="3036CE1C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18: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Dħul minn skoperturi kompletament produttivi ta’ dan il-mudell</w:t>
            </w:r>
          </w:p>
          <w:p w14:paraId="418DDB45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19: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Dħul ieħor ta’ flus ta’ dan il-mudell</w:t>
            </w:r>
          </w:p>
          <w:p w14:paraId="7A21AA66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minnha jitnaqqas:</w:t>
            </w:r>
          </w:p>
          <w:p w14:paraId="7892FE11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EU-19a: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(Differenza bejn id-dħul ponderat totali u l-ħruġ ponderat totali li jirriżultaw minn tranżazzjonijiet f’pajjiżi terzi fejn hemm restrizzjonijiet fuq it-trasferimenti jew li huma ddenominati f’muniti mhux konvertibbli) ta’ dan il-mudell</w:t>
            </w:r>
          </w:p>
          <w:p w14:paraId="3A29CB7C" w14:textId="77777777" w:rsidR="007E1815" w:rsidRPr="007F4CC8" w:rsidRDefault="007E1815" w:rsidP="007E181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 Eu-19b: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(Dħul eċċessiv minn istituzzjoni ta’ kreditu speċjalizzata relatata) ta’ dan il-mudell.</w:t>
            </w:r>
          </w:p>
        </w:tc>
      </w:tr>
      <w:tr w:rsidR="007E1815" w:rsidRPr="007F4CC8" w14:paraId="69EE9490" w14:textId="77777777" w:rsidTr="00D819DE">
        <w:trPr>
          <w:trHeight w:val="316"/>
        </w:trPr>
        <w:tc>
          <w:tcPr>
            <w:tcW w:w="1384" w:type="dxa"/>
          </w:tcPr>
          <w:p w14:paraId="1B1029F7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EU-20 a</w:t>
            </w:r>
          </w:p>
        </w:tc>
        <w:tc>
          <w:tcPr>
            <w:tcW w:w="7655" w:type="dxa"/>
          </w:tcPr>
          <w:p w14:paraId="5626B6E1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kompletament eżentat</w:t>
            </w:r>
          </w:p>
          <w:p w14:paraId="2642C0E3" w14:textId="77777777" w:rsidR="007E1815" w:rsidRPr="007F4CC8" w:rsidRDefault="007E1815" w:rsidP="00D819DE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l-ammont totali ta’ assi/flejjes dovuti/ammont massimu li jista’ jiġi pprelevat u d-dħul totali rilevanti tagħhom, rispettivament, li huma eżentati mil-limitu massimu fuq id-dħul f’konformità mal-Artikolu 32, mal-Artikolu 33 u mal-Artikolu 34 tar-Regolament ta’ Delega tal-Kummissjoni (UE) 2015/61.</w:t>
            </w:r>
          </w:p>
        </w:tc>
      </w:tr>
      <w:tr w:rsidR="007E1815" w:rsidRPr="007F4CC8" w14:paraId="00E79BE0" w14:textId="77777777" w:rsidTr="00D819DE">
        <w:trPr>
          <w:trHeight w:val="316"/>
        </w:trPr>
        <w:tc>
          <w:tcPr>
            <w:tcW w:w="1384" w:type="dxa"/>
          </w:tcPr>
          <w:p w14:paraId="00C638D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20b</w:t>
            </w:r>
          </w:p>
        </w:tc>
        <w:tc>
          <w:tcPr>
            <w:tcW w:w="7655" w:type="dxa"/>
          </w:tcPr>
          <w:p w14:paraId="4F7EA854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soġġett għal limitu massimu ta’ 90 %</w:t>
            </w:r>
          </w:p>
          <w:p w14:paraId="490C88C4" w14:textId="77777777" w:rsidR="007E1815" w:rsidRPr="007F4CC8" w:rsidRDefault="007E1815" w:rsidP="00D819DE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l-ammont totali ta’ assi/flejjes dovuti/ammont massimu li jista’ jiġi pprelevat u d-dħul totali rilevanti tagħhom, rispettivament, li huma soġġetti għal-limitu massimu ta’ 90 % fuq id-dħul f’konformità mal-Artikolu 32, mal-Artikolu 33 u mal-Artikolu 34 tar-Regolament ta’ Delega tal-Kummissjoni (UE) 2015/61.</w:t>
            </w:r>
          </w:p>
        </w:tc>
      </w:tr>
      <w:tr w:rsidR="007E1815" w:rsidRPr="007F4CC8" w14:paraId="7677F56D" w14:textId="77777777" w:rsidTr="00D819DE">
        <w:trPr>
          <w:trHeight w:val="316"/>
        </w:trPr>
        <w:tc>
          <w:tcPr>
            <w:tcW w:w="1384" w:type="dxa"/>
          </w:tcPr>
          <w:p w14:paraId="50539D97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 20c</w:t>
            </w:r>
          </w:p>
        </w:tc>
        <w:tc>
          <w:tcPr>
            <w:tcW w:w="7655" w:type="dxa"/>
          </w:tcPr>
          <w:p w14:paraId="32D1930F" w14:textId="77777777" w:rsidR="007E1815" w:rsidRPr="007F4CC8" w:rsidRDefault="007E1815" w:rsidP="00D819DE">
            <w:pPr>
              <w:spacing w:before="120" w:after="120" w:line="190" w:lineRule="exact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soġġett għal limitu massimu ta’ 75 %</w:t>
            </w:r>
          </w:p>
          <w:p w14:paraId="2D03664A" w14:textId="77777777" w:rsidR="007E1815" w:rsidRPr="007F4CC8" w:rsidRDefault="007E1815" w:rsidP="00D819DE">
            <w:pPr>
              <w:spacing w:after="120" w:line="288" w:lineRule="exact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mhux ponderat u bħala l-valur ponderat l-ammont totali ta’ assi/flejjes dovuti/ammont massimu li jista’ jiġi pprelevat u d-dħul totali rilevanti tagħhom, rispettivament, li huma soġġetti għal-limitu massimu ta’ 75 % fuq id-dħul f’konformità mal-Artikolu 32, mal-Artikolu 33 u mal-Artikolu 34 tar-Regolament ta’ Delega tal-Kummissjoni (UE) 2015/61.</w:t>
            </w:r>
          </w:p>
        </w:tc>
      </w:tr>
      <w:tr w:rsidR="007E1815" w:rsidRPr="007F4CC8" w14:paraId="520F14A1" w14:textId="77777777" w:rsidTr="00D819DE">
        <w:trPr>
          <w:trHeight w:val="316"/>
        </w:trPr>
        <w:tc>
          <w:tcPr>
            <w:tcW w:w="1384" w:type="dxa"/>
          </w:tcPr>
          <w:p w14:paraId="730F60EA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EU-21</w:t>
            </w:r>
          </w:p>
        </w:tc>
        <w:tc>
          <w:tcPr>
            <w:tcW w:w="7655" w:type="dxa"/>
          </w:tcPr>
          <w:p w14:paraId="3005D6D6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TA’ LIKWIDITÀ</w:t>
            </w:r>
          </w:p>
          <w:p w14:paraId="6B0FA3E2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aġġustat il-valur tar-Riżerva ta’ likwidità tal-istituzzjoni kkalkolat f’konformità mal-Anness I – Formuli għad-determinazzjoni tal-kompożizzjoni tar-riżerva ta’ likwidità tar-Regolament ta’ Delega tal-Kummissjoni (UE) 2015/61.</w:t>
            </w:r>
          </w:p>
        </w:tc>
      </w:tr>
      <w:tr w:rsidR="007E1815" w:rsidRPr="007F4CC8" w14:paraId="1BE8238A" w14:textId="77777777" w:rsidTr="00D819DE">
        <w:trPr>
          <w:trHeight w:val="316"/>
        </w:trPr>
        <w:tc>
          <w:tcPr>
            <w:tcW w:w="1384" w:type="dxa"/>
          </w:tcPr>
          <w:p w14:paraId="2797445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7655" w:type="dxa"/>
          </w:tcPr>
          <w:p w14:paraId="7124E3D7" w14:textId="77777777" w:rsidR="007E1815" w:rsidRPr="007F4CC8" w:rsidRDefault="007E1815" w:rsidP="00D819DE">
            <w:pPr>
              <w:spacing w:before="120" w:after="120" w:line="19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NETT TOTALI TA’ FLUS</w:t>
            </w:r>
          </w:p>
          <w:p w14:paraId="2F459815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bħala l-valur aġġustat, il-fluss ta’ ħruġ nett tal-likwidità li huwa ugwali għall-flussi ta’ ħruġ totali nieqes it-tnaqqis għall-influssi eżentati kompletament nieqes it-tnaqqis għall-influssi soġġetti għal-limitu massimu ta’ 90 % nieqes it-tnaqqis għall-influssi soġġetti għal-limitu massimu ta’ 75 %.</w:t>
            </w:r>
          </w:p>
        </w:tc>
      </w:tr>
      <w:tr w:rsidR="007E1815" w:rsidRPr="007F4CC8" w14:paraId="2D61E9FD" w14:textId="77777777" w:rsidTr="00D819DE">
        <w:trPr>
          <w:trHeight w:val="316"/>
        </w:trPr>
        <w:tc>
          <w:tcPr>
            <w:tcW w:w="1384" w:type="dxa"/>
          </w:tcPr>
          <w:p w14:paraId="33A82AAB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center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7655" w:type="dxa"/>
          </w:tcPr>
          <w:p w14:paraId="5579AB2D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KOPERTURA TAL-LIKWIDITÀ (%)</w:t>
            </w:r>
          </w:p>
          <w:p w14:paraId="37A8BB02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aġġustat il-perċentwal tal-entrata “Proporzjon ta’ kopertura tal-likwidità (%)” kif iddefinit fl-Artikolu 4(1) tar-Regolament ta’ Delega tal-Kummissjoni (UE) 2015/61.</w:t>
            </w:r>
          </w:p>
          <w:p w14:paraId="5F1B1783" w14:textId="77777777" w:rsidR="007E1815" w:rsidRPr="007F4CC8" w:rsidRDefault="007E1815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ta’ kopertura tal-likwidità għandu jkun ugwali għall-proporzjon tar-riżerva ta’ likwidità ta’ istituzzjoni ta’ kreditu mal-ħruġ nett ta’ likwidità tagħha fuq perjodu ta’ stress ta’ 30 jum kalendarju u għandu jkun espress bħala perċentwal.</w:t>
            </w:r>
          </w:p>
        </w:tc>
      </w:tr>
    </w:tbl>
    <w:p w14:paraId="205A49E2" w14:textId="77777777" w:rsidR="007E1815" w:rsidRPr="007F4CC8" w:rsidRDefault="007E1815" w:rsidP="007E1815">
      <w:pPr>
        <w:rPr>
          <w:rFonts w:ascii="Times New Roman" w:hAnsi="Times New Roman" w:cs="Times New Roman"/>
          <w:sz w:val="24"/>
        </w:rPr>
      </w:pPr>
    </w:p>
    <w:p w14:paraId="42D114B4" w14:textId="77777777" w:rsidR="007E1815" w:rsidRPr="00DD0C4D" w:rsidRDefault="007E1815" w:rsidP="007E1815">
      <w:pPr>
        <w:pStyle w:val="Titlelevel2"/>
        <w:spacing w:before="120" w:after="120"/>
        <w:rPr>
          <w:b/>
          <w:color w:val="auto"/>
          <w:sz w:val="24"/>
          <w:rFonts w:ascii="Times New Roman" w:hAnsi="Times New Roman"/>
        </w:rPr>
      </w:pPr>
      <w:r>
        <w:rPr>
          <w:b/>
          <w:color w:val="auto"/>
          <w:sz w:val="24"/>
          <w:rFonts w:ascii="Times New Roman" w:hAnsi="Times New Roman"/>
        </w:rPr>
        <w:t xml:space="preserve">Tabella EU LIQB dwar l-informazzjoni kwalitattiva dwar l-LCR, li tikkomplementa l-Mudell EU LIQ1.</w:t>
      </w:r>
      <w:r>
        <w:rPr>
          <w:b/>
          <w:color w:val="auto"/>
          <w:sz w:val="24"/>
          <w:rFonts w:ascii="Times New Roman" w:hAnsi="Times New Roman"/>
        </w:rPr>
        <w:t xml:space="preserve"> </w:t>
      </w:r>
    </w:p>
    <w:p w14:paraId="6A1420AB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tas-CRR għandhom jiddikjaraw l-informazzjoni msemmija fl-Artikolu 451a(2) CRR billi jsegwu l-istruzzjonijiet ipprovduti hawn taħt f’dan l-Anness sabiex jimlew it-tabella EU LIQB li hija ppreżentata fl-Anness XIII ta’ dan ir-Regolament ta’ Implimentazzjoni.</w:t>
      </w:r>
    </w:p>
    <w:p w14:paraId="213633D0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It-Tabella EU LIQB għandha tipprovdi informazzjoni kwalitattiva dwar l-entrati inklużi fil-Mudell EU LIQ1 dwar l-informazzjoni kwantitattiva dwar l-LCR.</w:t>
      </w:r>
    </w:p>
    <w:p w14:paraId="376E776C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tas-CRR għandhom jikkunsidraw il-kaxxi testwali pprovduti f’din it-tabella bħala kaxxi b’test liberu u jiddikjaraw l-entrati inklużi hemm, fejn possibbli, f’konformità mal-kunsiderazzjoni tagħhom fil-kuntest tad-definizzjoni tal-LCR fir-Regolament ta’ Delega tal-Kummissjoni (UE) 2015/61 u tal-metrika addizzjonali għall-monitoraġġ tal-likwidità kif stabbilit fil-Kapitolu 7b tar-Regolament ta’ Implimentazzjoni tal-Kummissjoni (UE) Nru 680/2014</w:t>
      </w:r>
      <w:r w:rsidRPr="007F4CC8">
        <w:rPr>
          <w:rStyle w:val="FootnoteReference"/>
          <w:rFonts w:ascii="Times New Roman" w:hAnsi="Times New Roman" w:cs="Times New Roman"/>
          <w:sz w:val="24"/>
        </w:rPr>
        <w:footnoteReference w:id="6"/>
      </w:r>
      <w:r>
        <w:rPr>
          <w:sz w:val="24"/>
          <w:rFonts w:ascii="Times New Roman" w:hAnsi="Times New Roman"/>
        </w:rPr>
        <w:t xml:space="preserve">.</w:t>
      </w:r>
    </w:p>
    <w:p w14:paraId="23E8414E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357" w:hanging="357"/>
        <w:jc w:val="both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il-Mudell EU LIQ2 dwar id-divulgazzjoni ta’ Proporzjon ta’ Finanzjament Stabbli Nett (Net Stable Funding Ratio, NSFR)</w:t>
      </w:r>
    </w:p>
    <w:p w14:paraId="201E035D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soġġetti għall-Parti Sitta tas-CRR għandhom jiddikjaraw l-informazzjoni inkluża fil-Mudell EU LIQ2 fl-applikazzjoni tal-Artikolu 451a(3) CRR f’konformità mal-istruzzjonijiet inklużi f’dan l-Anness.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Iċ-ċifri ta’ tmiem it-trimestru għal kull trimestru tal-perjodu ta’ divulgazzjoni rilevanti għandhom jiġu ddikjarati.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Pereżempju, id-divulgazzjoni annwali tinkludi erba’ settijiet ta’ data li jkopru l-aħħar trimestru u t-tliet trimestri preċedenti.</w:t>
      </w:r>
      <w:r>
        <w:rPr>
          <w:sz w:val="24"/>
          <w:rFonts w:ascii="Times New Roman" w:hAnsi="Times New Roman"/>
        </w:rPr>
        <w:t xml:space="preserve"> </w:t>
      </w:r>
    </w:p>
    <w:p w14:paraId="3A73B8D7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L-informazzjoni meħtieġa fil-Mudell EU LIQ2 għandha tinkludi l-assi, l-obbligazzjonijiet u l-entrati li ma jidhrux fil-karta bilanċjali kollha irrispettivament mill-munita li fiha jkunu ddenominati u għandha tiġi ddikjarata fil-munita tar-rapportar kif iddefinita fl-Artikolu 411(15) CRR.</w:t>
      </w:r>
    </w:p>
    <w:p w14:paraId="0486D079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Sabiex jiġi evitat kwalunkwe għadd doppju, l-istituzzjonijiet ma għandhomx jiddikjaraw assi jew obbligazzjonijiet li huma assoċjati mal-kollateral iddepożitat jew riċevut bħala marġni ta’ varjazzjoni f’konformità mal-Artikoli 428k(4) u mal-Artikolu 428ah(2) CRR, marġni inizjali u kontribuzzjoni għall-fond ta’ inadempjenza ta’ CCP f’konformità mal-punt (a) tal-Artikolu 428ag u mal-punt (b) tal-Artikolu 428ag CRR.</w:t>
      </w:r>
    </w:p>
    <w:p w14:paraId="42F8668F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Id-depożiti miżmuma fil-kuntest ta’ skema ta’ protezzjoni istituzzjonali jew ta’ network kooperattiv li jitqiesu bħala assi likwidi għandhom jiġu ddikjarati bħala tali.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Entrati oħrajn fi grupp jew fi skema ta’ protezzjoni istituzzjonali għandhom jiġu ddikjarati fil-kategoriji ġenerali rilevanti fil-mudell ta’ finanzjament stabbli meħtieġ jew disponibbli.</w:t>
      </w:r>
    </w:p>
    <w:p w14:paraId="4E83430E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dejjem għandhom jiddikjaraw bħala “Valur mhux ponderat skont il-maturità residwa” fil-kolonni a, b, c u d tal-mudell il-valuri kontabilistiċi, ħlief għall-każijiet ta’ kuntratti tad-derivattivi, li għalihom l-istituzzjonijiet għandhom jirreferu għall-valur ġust kif speċifikat fl-Artikolu 428d(2) CRR.</w:t>
      </w:r>
    </w:p>
    <w:p w14:paraId="1CB05863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jiddikjaraw il-“valur ponderat” fil-kolonna e ta’ dan il-mudell.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il-valur għandu jirrifletti l-valur f’konformità mal-Artikolu 428c(2) CRR li huwa r-riżultat tal-valur mhux ponderat immoltiplikat bil-fatturi ta’ finanzjament stabbli.</w:t>
      </w:r>
    </w:p>
    <w:p w14:paraId="343BA1D0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L-ammont ta’ assi u ta’ obbligazzjonijiet li jirriżultaw minn tranżazzjonijiet ta’ finanzjament tat-titoli (SFT) ma’ kontroparti waħda għandu jiġi kkunsidrat fuq bażi netta fejn japplika l-Artikolu 428e CRR.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Fil-każ li t-tranżazzjonijiet individwali nnettjati kienu soġġetti għal fatturi ta’ finanzjament stabbli meħtieġ (RSF) differenti jekk dawn tqiesu separatament, l-ammont innettjat li għandu jiġi ddikjarat, jekk assi, għandu jkun soġġett għall-ogħla fattur tal-RSF minnhom.</w:t>
      </w:r>
    </w:p>
    <w:p w14:paraId="6EBB65DA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Fin-narrattiva li takkumpanja dan il-mudell, l-istituzzjonijiet għandhom jipprovdu kwalunkwe spjegazzjoni meħtieġa sabiex jiġi ffaċilitat fehim tar-riżultati u tad-data li takkumpanja.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Tal-anqas, l-istituzzjonijiet għandhom jispjegaw:</w:t>
      </w:r>
    </w:p>
    <w:p w14:paraId="263F4C5D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il-fatturi ewlenin li wasslu għar-riżultati tal-NSFR tagħhom u r-raġunijiet għat-tibdiliet fil-perjodu kif ukoll it-tibdiliet maż-żmien (pereż. tibdiliet fl-istrateġiji, fl-istruttura ta’ finanzjament, fiċ-ċirkustanzi);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kif ukoll</w:t>
      </w:r>
    </w:p>
    <w:p w14:paraId="6561627A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640BC23A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il-kompożizzjoni tal-assi u tal-obbligazzjonijiet interdipendenti tal-istituzzjoni u sa liema punt dawn it-tranżazzjonijiet huma relatati ma’ xulxin.</w:t>
      </w:r>
    </w:p>
    <w:p w14:paraId="32271818" w14:textId="77777777" w:rsidR="007E1815" w:rsidRPr="007F4CC8" w:rsidRDefault="007E1815" w:rsidP="007E1815">
      <w:pPr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Entrati ta’ finanzjament stabbli disponibbli (ASF)</w:t>
      </w:r>
    </w:p>
    <w:p w14:paraId="20D40F36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F’konformità mal-Artikolu 428i CRR, sakemm ma jkunx speċifikat mod ieħor fil-Kapitolu 3 tat-Titolu IV tal-Parti Sitta tas-CRR, l-ammont ta’ finanzjament stabbli disponibbli (ASF) għandu jiġi kkalkolat bil-moltiplikazzjoni tal-ammont ta’ obbligazzjonijiet u ta’ fondi proprji, bħala valur mhux ponderat, bil-fatturi ta’ finanzjament stabbli disponibbli.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Il-valur ponderat fil-kolonna “e” ta’ dan il-mudell jirrifletti l-ammont ta’ finanzjament stabbli disponibbli.</w:t>
      </w:r>
    </w:p>
    <w:p w14:paraId="025850D4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L-obbligazzjonijiet u l-fondi proprji kollha għandhom jiġu ddikjarati b’diżaggregazzjoni skont il-maturità residwa tagħhom fil-kolonni a, b, c u d ta’ dan il-mudell, ikkalkolati f’konformità mal-Artikoli 428j, 428o u 428ak CRR, bid-diżaggregazzjoni li ġejja f’termini tal-meded ta’ maturità:</w:t>
      </w:r>
    </w:p>
    <w:p w14:paraId="11219010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714"/>
        <w:jc w:val="both"/>
        <w:rPr>
          <w:rFonts w:ascii="Times New Roman" w:hAnsi="Times New Roman"/>
          <w:sz w:val="24"/>
        </w:rPr>
      </w:pPr>
    </w:p>
    <w:p w14:paraId="4FA06E63" w14:textId="77777777" w:rsidR="007E1815" w:rsidRPr="007F4CC8" w:rsidRDefault="007E1815" w:rsidP="007E1815">
      <w:pPr>
        <w:pStyle w:val="ListNumber"/>
        <w:numPr>
          <w:ilvl w:val="1"/>
          <w:numId w:val="12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ebda maturità: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L-entrati li għandhom jiġu ddikjarati fil-medda taż-żmien “ebda maturità” ma għandhomx maturità ddikjarata jew huma perpetwi;</w:t>
      </w:r>
    </w:p>
    <w:p w14:paraId="58B79BC3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16DF72D7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maturità residwa ta’ anqas minn sitt xhur;</w:t>
      </w:r>
    </w:p>
    <w:p w14:paraId="15456445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22246D74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maturità residwa ta’ minimu ta’ sitt xhur iżda ta’ anqas minn sena;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kif ukoll</w:t>
      </w:r>
    </w:p>
    <w:p w14:paraId="6A87D26E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77A0B740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maturità residwa ta’ sena jew aktar.</w:t>
      </w:r>
    </w:p>
    <w:p w14:paraId="6BA304AA" w14:textId="77777777" w:rsidR="007E1815" w:rsidRPr="007F4CC8" w:rsidRDefault="007E1815" w:rsidP="007E1815">
      <w:pPr>
        <w:pStyle w:val="ListNumber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7F6D5AE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357" w:hanging="357"/>
        <w:jc w:val="both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Entrati ta’ finanzjament stabbli meħtieġ (RSF)</w:t>
      </w:r>
    </w:p>
    <w:p w14:paraId="03707205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jiddikjaraw fil-kategorija xierqa l-assi kollha li fuqhom iżommu sjieda benefiċjarja anki jekk ma jiġux ikkontabbilizzati fil-karta bilanċjali tagħhom.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L-assi li fuqhom l-istituzzjonijiet ma jkollhomx sjieda benefiċjarja ma għandhomx jiġu ddikjarati anki jekk dawn l-assi jiġu kkontabbilizzati fil-karta bilanċjali tagħhom.</w:t>
      </w:r>
    </w:p>
    <w:p w14:paraId="0BD2DC52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F’konformità mal-Artikolu 428p CRR, sakemm ma jkunx speċifikat mod ieħor fil-Kapitolu 4 tat-Titolu IV tal-Parti Sitta tas-CRR, l-ammont ta’ finanzjament stabbli meħtieġ (RSF) għandu jiġi kkalkolat bil-moltiplikazzjoni tal-valur mhux ponderat tal-assi u tal-entrati li ma jidhrux fil-karta bilanċjali bil-fatturi ta’ finanzjament stabbli meħtieġ.</w:t>
      </w:r>
    </w:p>
    <w:p w14:paraId="335AF99A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L-assi li huma eliġibbli bħala assi likwidi ta’ kwalità għolja (HQLA) f’konformità mar-Regolament ta’ Delega tal-Kummissjoni (UE) 2015/61 għandhom jiġu ddikjarati bħala tali, f’ringiela ddeżinjata irrispettivament mill-maturità residwa tagħhom.</w:t>
      </w:r>
    </w:p>
    <w:p w14:paraId="44264B2F" w14:textId="77777777" w:rsidR="007E1815" w:rsidRPr="007F4CC8" w:rsidRDefault="007E1815" w:rsidP="007E1815">
      <w:pPr>
        <w:widowControl w:val="0"/>
        <w:numPr>
          <w:ilvl w:val="0"/>
          <w:numId w:val="2"/>
        </w:numPr>
        <w:tabs>
          <w:tab w:val="left" w:pos="983"/>
        </w:tabs>
        <w:spacing w:before="120" w:after="120"/>
        <w:ind w:left="72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L-assi mhux HQLA u l-entrati li ma jidhrux fil-karta bilanċjali kollha għandhom jiġu ddikjarati b’diżaggregazzjoni skont il-maturità residwa tagħhom f’konformità mal-Artikolu 428q CRR.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Il-meded ta’ maturità tal-ammonti, il-fatturi standard u l-fatturi applikabbli huma dawn li ġejjin:</w:t>
      </w:r>
    </w:p>
    <w:p w14:paraId="0C1F136F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1F393622" w14:textId="77777777" w:rsidR="007E1815" w:rsidRPr="007F4CC8" w:rsidRDefault="007E1815" w:rsidP="007E1815">
      <w:pPr>
        <w:pStyle w:val="ListNumber"/>
        <w:numPr>
          <w:ilvl w:val="1"/>
          <w:numId w:val="13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maturità residwa ta’ anqas minn sitt xhur jew mingħajr maturità ddikjarata;</w:t>
      </w:r>
    </w:p>
    <w:p w14:paraId="70DE81A7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2320D290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maturità residwa ta’ minimu ta’ sitt xhur iżda ta’ anqas minn sena;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kif ukoll</w:t>
      </w:r>
    </w:p>
    <w:p w14:paraId="3D3AB18F" w14:textId="77777777" w:rsidR="007E1815" w:rsidRPr="007F4CC8" w:rsidRDefault="007E1815" w:rsidP="007E1815">
      <w:pPr>
        <w:pStyle w:val="ListNumber"/>
        <w:numPr>
          <w:ilvl w:val="0"/>
          <w:numId w:val="0"/>
        </w:numPr>
        <w:ind w:left="1071"/>
        <w:jc w:val="both"/>
        <w:rPr>
          <w:rFonts w:ascii="Times New Roman" w:hAnsi="Times New Roman"/>
          <w:sz w:val="24"/>
        </w:rPr>
      </w:pPr>
    </w:p>
    <w:p w14:paraId="0FBA8D39" w14:textId="77777777" w:rsidR="007E1815" w:rsidRPr="007F4CC8" w:rsidRDefault="007E1815" w:rsidP="007E1815">
      <w:pPr>
        <w:pStyle w:val="ListNumber"/>
        <w:numPr>
          <w:ilvl w:val="1"/>
          <w:numId w:val="6"/>
        </w:numPr>
        <w:spacing w:after="15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maturità residwa ta’ sena jew aktar.</w:t>
      </w:r>
    </w:p>
    <w:p w14:paraId="02C8881F" w14:textId="77777777" w:rsidR="007E1815" w:rsidRPr="007F4CC8" w:rsidRDefault="007E1815" w:rsidP="007E1815">
      <w:pPr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7666"/>
      </w:tblGrid>
      <w:tr w:rsidR="007E1815" w:rsidRPr="007F4CC8" w14:paraId="36724F12" w14:textId="77777777" w:rsidTr="00D819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906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9D9D9" w:themeFill="background1" w:themeFillShade="D9"/>
          </w:tcPr>
          <w:p w14:paraId="621ABA84" w14:textId="77777777" w:rsidR="007E1815" w:rsidRPr="00CB5E7D" w:rsidRDefault="007E1815" w:rsidP="00D819DE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7E1815" w:rsidRPr="007F4CC8" w14:paraId="4222DCCE" w14:textId="77777777" w:rsidTr="00D819DE">
        <w:trPr>
          <w:trHeight w:val="567"/>
        </w:trPr>
        <w:tc>
          <w:tcPr>
            <w:tcW w:w="1355" w:type="dxa"/>
            <w:shd w:val="clear" w:color="auto" w:fill="D9D9D9" w:themeFill="background1" w:themeFillShade="D9"/>
          </w:tcPr>
          <w:p w14:paraId="5A502C58" w14:textId="77777777" w:rsidR="007E1815" w:rsidRPr="00CB5E7D" w:rsidRDefault="007E1815" w:rsidP="00D819DE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705" w:type="dxa"/>
            <w:shd w:val="clear" w:color="auto" w:fill="D0CECE"/>
          </w:tcPr>
          <w:p w14:paraId="50C21EC2" w14:textId="77777777" w:rsidR="007E1815" w:rsidRPr="007F4CC8" w:rsidRDefault="007E1815" w:rsidP="00D819DE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7E1815" w:rsidRPr="007F4CC8" w14:paraId="47A97B92" w14:textId="77777777" w:rsidTr="00D819DE">
        <w:trPr>
          <w:trHeight w:val="567"/>
        </w:trPr>
        <w:tc>
          <w:tcPr>
            <w:tcW w:w="1355" w:type="dxa"/>
            <w:shd w:val="clear" w:color="auto" w:fill="D0CECE"/>
          </w:tcPr>
          <w:p w14:paraId="4E7DACFE" w14:textId="77777777" w:rsidR="007E1815" w:rsidRPr="007F4CC8" w:rsidRDefault="007E1815" w:rsidP="00D819D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705" w:type="dxa"/>
            <w:shd w:val="clear" w:color="auto" w:fill="D0CECE"/>
          </w:tcPr>
          <w:p w14:paraId="4662642A" w14:textId="77777777" w:rsidR="007E1815" w:rsidRPr="007F4CC8" w:rsidRDefault="007E1815" w:rsidP="00D819DE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ta’ finanzjament stabbli disponibbli (ASF)</w:t>
            </w:r>
          </w:p>
        </w:tc>
      </w:tr>
      <w:tr w:rsidR="007E1815" w:rsidRPr="007F4CC8" w14:paraId="33C4FE49" w14:textId="77777777" w:rsidTr="00D819DE">
        <w:tc>
          <w:tcPr>
            <w:tcW w:w="1355" w:type="dxa"/>
          </w:tcPr>
          <w:p w14:paraId="4BF6617C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705" w:type="dxa"/>
          </w:tcPr>
          <w:p w14:paraId="4606BCE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u strumenti kapitali</w:t>
            </w:r>
          </w:p>
          <w:p w14:paraId="0B8977C9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fir-ringiela 8 u fir-ringiela 3 ta’ dan il-mudell.</w:t>
            </w:r>
          </w:p>
        </w:tc>
      </w:tr>
      <w:tr w:rsidR="007E1815" w:rsidRPr="007F4CC8" w14:paraId="1969A8FD" w14:textId="77777777" w:rsidTr="00D819DE">
        <w:tc>
          <w:tcPr>
            <w:tcW w:w="1355" w:type="dxa"/>
          </w:tcPr>
          <w:p w14:paraId="275C0D10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705" w:type="dxa"/>
          </w:tcPr>
          <w:p w14:paraId="116DF0CA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Fondi proprji</w:t>
            </w:r>
          </w:p>
          <w:p w14:paraId="41BB1DE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Il-punti (a), (b) u (c) tal-Artikolu 428o CRR</w:t>
            </w:r>
          </w:p>
          <w:p w14:paraId="4277A47A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Hawnhekk, l-istituzzjonijiet għandhom jinkludu s-somma tal-entrati li ġejjin:</w:t>
            </w:r>
          </w:p>
          <w:p w14:paraId="02EDA993" w14:textId="77777777" w:rsidR="007E1815" w:rsidRPr="007F4CC8" w:rsidRDefault="007E1815" w:rsidP="007E1815">
            <w:pPr>
              <w:pStyle w:val="ListParagraph"/>
              <w:numPr>
                <w:ilvl w:val="0"/>
                <w:numId w:val="10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tal-Grad 1 ta’ Ekwità Komuni (CET1) qabel l-applikazzjoni ta’ filtri prudenzjali, ta’ tnaqqis u ta’ eżenzjoni jew tal-alternattivi stipulati fl-Artikoli minn 32 sa 36, 48, 49 u 79 CRR;</w:t>
            </w:r>
          </w:p>
          <w:p w14:paraId="728F2A4A" w14:textId="77777777" w:rsidR="007E1815" w:rsidRPr="007F4CC8" w:rsidRDefault="007E1815" w:rsidP="007E1815">
            <w:pPr>
              <w:pStyle w:val="ListParagraph"/>
              <w:numPr>
                <w:ilvl w:val="0"/>
                <w:numId w:val="10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tal-Grad 1 addizzjonali (AT1) qabel l-applikazzjoni tat-tnaqqis u tal-eżenzjonijiet stipulati fl-Artikoli 56 u 79 CRR;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9565A6F" w14:textId="77777777" w:rsidR="007E1815" w:rsidRPr="007F4CC8" w:rsidRDefault="007E1815" w:rsidP="007E1815">
            <w:pPr>
              <w:pStyle w:val="ListParagraph"/>
              <w:numPr>
                <w:ilvl w:val="0"/>
                <w:numId w:val="10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entrati tal-grad 2 (T2) qabel l-applikazzjoni tat-tnaqqis u tal-eżenzjonijiet stipulati fl-Artikoli 66 u 79 CRR u li jkollhom maturità residwa ta’ sena jew aktar fid-data ta’ referenza tad-divulgazzjoni.</w:t>
            </w:r>
          </w:p>
          <w:p w14:paraId="00D8475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L-entrati tas-CET1 u tal-AT1 huma strumenti perpetwi li għandhom jiġu ddikjarati fil-medda ta’ “ebda maturità”.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entrati tal-AT1 eżerċitabbli mill-istituzzjoni, huwa biss jekk il-perjodu ta’ żmien sad-data tal-opzjonijiet ta’ xiri jkun ta’ anqas minn sena li dawn ma jiġux iddikjarati fil-medda ta’ maturità iżda fil-medda ta’ żmien applikabbli (jiġifieri, maturità residwa ta’ anqas minn sitt xhur jew maturità residwa ta’ minimu ta’ sitt xhur iżda ta’ anqas minn sena).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huwa irrispettivament minn jekk l-opzjoni tkunx ġiet eżerċitata jew le.</w:t>
            </w:r>
          </w:p>
          <w:p w14:paraId="0435A78E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Fir-rigward tal-entrati tat-T2, il-medda ta’ maturità ta’ sena jew aktar għandha tinkludi dawk l-istrumenti b’maturità residwa ekwivalenti u, fil-każijiet eċċezzjonali ta’ strumenti tat-T2 mingħajr maturità, dawn l-istrumenti wkoll.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li l-entrati tat-T2 kienu eżerċitabbli mill-istituzzjoni, u irrispettivament minn jekk l-istituzzjoni tkunx eżerċitat l-opzjoni ta’ xiri, il-maturità residwa tal-istrument tiġi ddeterminata sad-data tal-opzjoni ta’ xiri.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il-każ, l-istituzzjoni għandha tiddikjara dawn l-entrati fit-taqsima ta’ żmien rilevanti u ma għandhiex tapplika fattur ASF ta’ 100 % jekk l-għażla tista’ tiġi eżerċitata fi żmien sena.</w:t>
            </w:r>
          </w:p>
        </w:tc>
      </w:tr>
      <w:tr w:rsidR="007E1815" w:rsidRPr="007F4CC8" w14:paraId="2550E7B9" w14:textId="77777777" w:rsidTr="00D819DE">
        <w:tc>
          <w:tcPr>
            <w:tcW w:w="1355" w:type="dxa"/>
          </w:tcPr>
          <w:p w14:paraId="0584ABF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705" w:type="dxa"/>
          </w:tcPr>
          <w:p w14:paraId="4DC4EF55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Strumenti kapitali oħrajn</w:t>
            </w:r>
          </w:p>
          <w:p w14:paraId="171E776A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 428o u l-punt (d) tal-Artikolu 428k(3) CRR</w:t>
            </w:r>
          </w:p>
          <w:p w14:paraId="06D7D9E7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Strumenti kapitali oħrajn b’maturità residwa ta’ sena jew aktar fid-data ta’ referenza tad-divulgazzjoni.</w:t>
            </w:r>
          </w:p>
          <w:p w14:paraId="21CF35D5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li strumenti kapitali oħrajn kienu eżerċitabbli mill-istituzzjoni, u irrispettivament minn jekk l-istituzzjoni tkunx eżerċitat l-opzjoni ta’ xiri, il-maturità residwa tal-istrument tiġi ddeterminata sad-data tal-opzjoni ta’ xiri.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il-każ, l-istituzzjoni għandha tiddikjara dawn l-entrati fit-taqsima ta’ żmien rilevanti u ma għandhiex tapplika fattur ASF ta’ 100 % jekk l-għażla tista’ tiġi eżerċitata fi żmien sena.</w:t>
            </w:r>
          </w:p>
        </w:tc>
      </w:tr>
      <w:tr w:rsidR="007E1815" w:rsidRPr="007F4CC8" w14:paraId="4A44833C" w14:textId="77777777" w:rsidTr="00D819DE">
        <w:tc>
          <w:tcPr>
            <w:tcW w:w="1355" w:type="dxa"/>
          </w:tcPr>
          <w:p w14:paraId="2BD678A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705" w:type="dxa"/>
          </w:tcPr>
          <w:p w14:paraId="5DDF6D57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fil-livell tal-konsumatur</w:t>
            </w:r>
          </w:p>
          <w:p w14:paraId="5F72982B" w14:textId="77777777" w:rsidR="007E1815" w:rsidRPr="007F4CC8" w:rsidRDefault="007E1815" w:rsidP="00D819DE">
            <w:pPr>
              <w:spacing w:after="240"/>
              <w:jc w:val="both"/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fir-ringiela 8 u fir-ringiela 6 ta’ dan il-mudell.</w:t>
            </w:r>
          </w:p>
        </w:tc>
      </w:tr>
      <w:tr w:rsidR="007E1815" w:rsidRPr="007F4CC8" w14:paraId="55F43930" w14:textId="77777777" w:rsidTr="00D819DE">
        <w:tc>
          <w:tcPr>
            <w:tcW w:w="1355" w:type="dxa"/>
          </w:tcPr>
          <w:p w14:paraId="416B77ED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705" w:type="dxa"/>
          </w:tcPr>
          <w:p w14:paraId="52E4A4D9" w14:textId="77777777" w:rsidR="007E1815" w:rsidRPr="00DD0C4D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stabbli fil-livell tal-konsumatur</w:t>
            </w:r>
          </w:p>
          <w:p w14:paraId="28950C4C" w14:textId="77777777" w:rsidR="007E1815" w:rsidRPr="00DD0C4D" w:rsidRDefault="007E1815" w:rsidP="00D819DE">
            <w:pPr>
              <w:pStyle w:val="TableParagraph"/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428n CRR</w:t>
            </w:r>
          </w:p>
          <w:p w14:paraId="790595EC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l-parti tal-ammonti ta’ depożiti fil-livell tal-konsumatur koperti minn Skema ta’ Garanzija tad-Depożiti f’konformità mad-Direttiva 94/19/UE jew mad-Direttiva 2014/49/UE jew minn skema ta’ garanzija tad-depożiti ekwivalenti f’pajjiż terz u jew tkun parti minn relazzjoni stabbilita li tagħmel il-prelevament ferm improbabbli jew tkun miżmuma f’kont tranżazzjonali f’konformità mal-Artikolu 24(2) u (3) tar-Regolament ta’ Delega tal-Kummissjoni (UE) 2015/61 rispettivament u fejn:</w:t>
            </w:r>
          </w:p>
          <w:p w14:paraId="66558887" w14:textId="77777777" w:rsidR="007E1815" w:rsidRPr="007F4CC8" w:rsidRDefault="007E1815" w:rsidP="007E1815">
            <w:pPr>
              <w:pStyle w:val="TableParagraph"/>
              <w:numPr>
                <w:ilvl w:val="0"/>
                <w:numId w:val="7"/>
              </w:numPr>
              <w:spacing w:after="240"/>
              <w:ind w:left="714" w:hanging="35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id-depożiti ma jissodisfawx il-kriterji għal rata ta’ ħruġ ogħla f’konformità mal-Artikolu 25(2), (3) u (5) tar-Regolament ta’ Delega tal-Kummissjoni (UE) 2015/61 f’liema każ għandhom jiġu inklużi bħala “depożiti anqas stabbli”;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</w:t>
            </w:r>
          </w:p>
          <w:p w14:paraId="7A637E61" w14:textId="77777777" w:rsidR="007E1815" w:rsidRPr="007F4CC8" w:rsidRDefault="007E1815" w:rsidP="007E1815">
            <w:pPr>
              <w:pStyle w:val="TableParagraph"/>
              <w:numPr>
                <w:ilvl w:val="0"/>
                <w:numId w:val="7"/>
              </w:numPr>
              <w:spacing w:after="240"/>
              <w:ind w:left="714" w:hanging="357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id-depożiti ma ttiħdux f’pajjiżi terzi fejn jiġi applikat ħruġ ogħla f’konformità mal-Artikolu 25(5) tar-Regolament ta’ Delega tal-Kummissjoni (UE) 2015/61 f’liema każ għandhom jiġu inklużi bħala “depożiti anqas stabbli”.</w:t>
            </w:r>
          </w:p>
        </w:tc>
      </w:tr>
      <w:tr w:rsidR="007E1815" w:rsidRPr="007F4CC8" w14:paraId="194C8C25" w14:textId="77777777" w:rsidTr="00D819DE">
        <w:tc>
          <w:tcPr>
            <w:tcW w:w="1355" w:type="dxa"/>
          </w:tcPr>
          <w:p w14:paraId="1542BA49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705" w:type="dxa"/>
          </w:tcPr>
          <w:p w14:paraId="3BF13FD0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anqas stabbli fil-livell tal-konsumatur</w:t>
            </w:r>
          </w:p>
          <w:p w14:paraId="3129D85E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428m CRR</w:t>
            </w:r>
          </w:p>
          <w:p w14:paraId="2D5E64C4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ta’ depożiti oħrajn fil-livell tal-konsumatur minbarra dawk koperti bħala “depożiti stabbli fil-livell tal-konsumatur” fir-ringiela 5 ta’ dan il-mudell.</w:t>
            </w:r>
          </w:p>
        </w:tc>
      </w:tr>
      <w:tr w:rsidR="007E1815" w:rsidRPr="007F4CC8" w14:paraId="73E8C93F" w14:textId="77777777" w:rsidTr="00D819DE">
        <w:tc>
          <w:tcPr>
            <w:tcW w:w="1355" w:type="dxa"/>
          </w:tcPr>
          <w:p w14:paraId="28A93239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705" w:type="dxa"/>
          </w:tcPr>
          <w:p w14:paraId="7DF872D2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tal-operaturi:</w:t>
            </w:r>
          </w:p>
          <w:p w14:paraId="3F59D26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fir-ringiela 5 u fir-ringiela 9 ta’ dan il-mudell.</w:t>
            </w:r>
          </w:p>
        </w:tc>
      </w:tr>
      <w:tr w:rsidR="007E1815" w:rsidRPr="007F4CC8" w14:paraId="394C1803" w14:textId="77777777" w:rsidTr="00D819DE">
        <w:tc>
          <w:tcPr>
            <w:tcW w:w="1355" w:type="dxa"/>
          </w:tcPr>
          <w:p w14:paraId="447D7950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705" w:type="dxa"/>
          </w:tcPr>
          <w:p w14:paraId="1CA3BC9E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operazzjonali</w:t>
            </w:r>
          </w:p>
          <w:p w14:paraId="5087C8F9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(a) tal-Artikolu 428l CRR</w:t>
            </w:r>
          </w:p>
          <w:p w14:paraId="0435CE8E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il-parti tad-depożiti riċevuti (kemm minn klijenti finanzjarji kif ukoll minn klijenti mhux finanzjarji oħrajn) li jissodisfaw il-kriterji għad-depożiti operazzjonali stabbiliti fl-Artikolu 27 tar-Regolament ta’ Delega tal-Kummissjoni (UE) 2015/61 li hija meħtieġa għall-provvista ta’ servizzi operazzjonali.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Depożiti operazzjonali li jaqbżu l-ammont meħtieġ għall-provvista ta’ servizzi operazzjonali ma għandhomx jiġu inklużi hawn iżda fir-ringiela 9, “Finanzjament ieħor tal-operaturi” ta’ dan il-mudell.</w:t>
            </w:r>
          </w:p>
          <w:p w14:paraId="1F41C5C0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Id-depożiti li jirriżultaw minn relazzjoni bankarja korrispondenti jew mill-provvista ta’ servizzi ta’ senserija primarja għandhom jitqiesu bħala depożiti mhux operazzjonali f’konformità mal-Artikolu 27(5) tar-Regolament ta’ Delega tal-Kummissjoni (UE) 2015/61 u għandhom jiġu ddikjarati taħt ir-ringiela 9 “Finanzjament ieħor tal-operaturi” ta’ dan il-mudell.</w:t>
            </w:r>
          </w:p>
        </w:tc>
      </w:tr>
      <w:tr w:rsidR="007E1815" w:rsidRPr="007F4CC8" w14:paraId="77301B7B" w14:textId="77777777" w:rsidTr="00D819DE">
        <w:tc>
          <w:tcPr>
            <w:tcW w:w="1355" w:type="dxa"/>
          </w:tcPr>
          <w:p w14:paraId="37420CF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705" w:type="dxa"/>
          </w:tcPr>
          <w:p w14:paraId="7BF7824B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ieħor tal-operaturi</w:t>
            </w:r>
          </w:p>
          <w:p w14:paraId="614E640A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Il-punti minn (b) sa (d) tal-Artikolu 428l, l-Artikolu 428g u l-punti (c) u (d) tal-Artikolu 428k(3) CRR</w:t>
            </w:r>
          </w:p>
          <w:p w14:paraId="1760C9F3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il-finanzjament tal-operaturi minbarra l-ammont ta’ depożiti operazzjonali li huwa meħtieġ għall-forniment ta’ servizzi operazzjonali.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jinkludi obbligazzjonijiet ipprovduti minn gvernijiet ċentrali, minn gvernijiet reġjonali, minn awtoritajiet lokali, minn entitajiet tas-settur pubbliku, minn banek multilaterali tal-iżvilupp, minn organizzazzjonijiet internazzjonali, minn banek ċentrali u minn kwalunkwe klijent mhux finanzjarju jew finanzjarju ieħor kif ukoll obbligazzjonijiet li fihom il-kontroparti ma tistax tiġi ddeterminata, inklużi titoli maħruġa meta d-detentur ma jkunx jista’ jiġi identifikat.</w:t>
            </w:r>
          </w:p>
        </w:tc>
      </w:tr>
      <w:tr w:rsidR="007E1815" w:rsidRPr="007F4CC8" w14:paraId="432CD3F5" w14:textId="77777777" w:rsidTr="00D819DE">
        <w:tc>
          <w:tcPr>
            <w:tcW w:w="1355" w:type="dxa"/>
          </w:tcPr>
          <w:p w14:paraId="0B9B445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705" w:type="dxa"/>
          </w:tcPr>
          <w:p w14:paraId="5E99341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Obbligazzjonijiet interdipendenti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6702D93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 428k(3) CRR</w:t>
            </w:r>
          </w:p>
          <w:p w14:paraId="0891245E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obbligazzjonijiet li, wara li jkunu ġew approvati mill-awtorità kompetenti rilevanti, jiġu ttrattati bħala interdipendenti mal-assi f’konformità mal-Artikolu 428f CRR.</w:t>
            </w:r>
          </w:p>
        </w:tc>
      </w:tr>
      <w:tr w:rsidR="007E1815" w:rsidRPr="007F4CC8" w14:paraId="321417B9" w14:textId="77777777" w:rsidTr="00D819DE">
        <w:tc>
          <w:tcPr>
            <w:tcW w:w="1355" w:type="dxa"/>
          </w:tcPr>
          <w:p w14:paraId="29CC457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705" w:type="dxa"/>
          </w:tcPr>
          <w:p w14:paraId="1C92539B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Obbligazzjonijiet oħrajn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49E259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fir-ringieli 12 u 13 ta’ dan il-mudell.</w:t>
            </w:r>
          </w:p>
        </w:tc>
      </w:tr>
      <w:tr w:rsidR="007E1815" w:rsidRPr="007F4CC8" w14:paraId="6ABB8278" w14:textId="77777777" w:rsidTr="00D819DE">
        <w:tc>
          <w:tcPr>
            <w:tcW w:w="1355" w:type="dxa"/>
          </w:tcPr>
          <w:p w14:paraId="47DEEB33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705" w:type="dxa"/>
          </w:tcPr>
          <w:p w14:paraId="4DF1D8F2" w14:textId="77777777" w:rsidR="007E1815" w:rsidRPr="001B236F" w:rsidRDefault="007E1815" w:rsidP="00D819DE">
            <w:pPr>
              <w:spacing w:after="240"/>
              <w:jc w:val="both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Obbligazzjonijiet derivattivi tal-NSFR</w:t>
            </w:r>
          </w:p>
          <w:p w14:paraId="521C9873" w14:textId="77777777" w:rsidR="007E1815" w:rsidRPr="001B236F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Artikolu 428k(4) CRR</w:t>
            </w:r>
          </w:p>
          <w:p w14:paraId="2E115A2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assolut tad-differenza negattiva bejn is-settijiet ta’ netting ikkalkolati f’konformità mal-Artikolu 428k(4) CRR.</w:t>
            </w:r>
          </w:p>
        </w:tc>
      </w:tr>
      <w:tr w:rsidR="007E1815" w:rsidRPr="007F4CC8" w14:paraId="48B82AAB" w14:textId="77777777" w:rsidTr="00D819DE">
        <w:tc>
          <w:tcPr>
            <w:tcW w:w="1355" w:type="dxa"/>
          </w:tcPr>
          <w:p w14:paraId="368937AC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705" w:type="dxa"/>
          </w:tcPr>
          <w:p w14:paraId="4929818C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L-obbligazzjonijiet u l-istrumenti kapitali l-oħrajn kollha mhux inklużi fil- kategoriji ta’ hawn fuq</w:t>
            </w:r>
          </w:p>
          <w:p w14:paraId="585BBD50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428k(1) u 428k(3) CRR</w:t>
            </w:r>
          </w:p>
          <w:p w14:paraId="527A7DA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hawnhekk is-somma tal-entrati li ġejjin:</w:t>
            </w:r>
          </w:p>
          <w:p w14:paraId="40335678" w14:textId="77777777" w:rsidR="007E1815" w:rsidRPr="007F4CC8" w:rsidRDefault="007E1815" w:rsidP="007E1815">
            <w:pPr>
              <w:pStyle w:val="ListParagraph"/>
              <w:numPr>
                <w:ilvl w:val="0"/>
                <w:numId w:val="9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id-data tan-negozju pagabbli li jinħolqu mix-xiri ta’ strumenti finanzjarji, ta’ muniti barranin u ta’ komoditajiet li huma mistennija jsaldaw fiċ-ċiklu jew fil-perjodu standard tas-saldu li huwa abitwali għall-kambju jew għat-tip ta’ tranżazzjonijiet rilevanti jew li jkunu naqsu milli jagħmlu dan, iżda li jkunu għadhom mistennija jsaldaw, f’konformità mal-punt (a) tal-Artikolu 428k(3) CRR;</w:t>
            </w:r>
          </w:p>
          <w:p w14:paraId="0C891B87" w14:textId="77777777" w:rsidR="007E1815" w:rsidRPr="007F4CC8" w:rsidRDefault="007E1815" w:rsidP="007E1815">
            <w:pPr>
              <w:pStyle w:val="ListParagraph"/>
              <w:numPr>
                <w:ilvl w:val="0"/>
                <w:numId w:val="9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obbligazzjonijiet ta’ taxxa differita, meta titqies l-eqreb data possibbli li fiha l-ammont tagħhom jista’ jiġi rrealizzat bħala maturità residwa, f’konformità mal-punt (a) tal-Artikolu 428k(2) CRR;</w:t>
            </w:r>
          </w:p>
          <w:p w14:paraId="02F1CD08" w14:textId="77777777" w:rsidR="007E1815" w:rsidRPr="007F4CC8" w:rsidRDefault="007E1815" w:rsidP="007E1815">
            <w:pPr>
              <w:pStyle w:val="ListParagraph"/>
              <w:numPr>
                <w:ilvl w:val="0"/>
                <w:numId w:val="9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interessi minoritarji, filwaqt li jitqies it-terminu tal-istrument bħala maturità residwa, f’konformità mal-punt (b) tal-Artikolu 428k(1) CRR;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11536E39" w14:textId="77777777" w:rsidR="007E1815" w:rsidRPr="007F4CC8" w:rsidRDefault="007E1815" w:rsidP="007E1815">
            <w:pPr>
              <w:pStyle w:val="ListParagraph"/>
              <w:numPr>
                <w:ilvl w:val="0"/>
                <w:numId w:val="9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obbligazzjonijiet oħrajn, pereżempju pożizzjonijiet qosra u pożizzjonijiet b’maturità miftuħa, f’konformità mal-Artikoli 428k(1) u 428k(3) CRR.</w:t>
            </w:r>
          </w:p>
        </w:tc>
      </w:tr>
      <w:tr w:rsidR="007E1815" w:rsidRPr="007F4CC8" w14:paraId="654FDDC1" w14:textId="77777777" w:rsidTr="00D819DE">
        <w:tc>
          <w:tcPr>
            <w:tcW w:w="1355" w:type="dxa"/>
          </w:tcPr>
          <w:p w14:paraId="5C49C82C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705" w:type="dxa"/>
          </w:tcPr>
          <w:p w14:paraId="159128F6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Finanzjament stabbli disponibbli totali (ASF)</w:t>
            </w:r>
          </w:p>
          <w:p w14:paraId="7CDD2B32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Il-Kapitolu 3 tat-Titolu IV tal-Parti Sitta tas-CRR</w:t>
            </w:r>
          </w:p>
          <w:p w14:paraId="4BCF2875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 l-istituzzjonijiet għandhom jiddikjaraw it-total tal-entrati li jipprovdu finanzjament stabbli disponibbli f’konformità mal-Kapitolu 3 tat-Titolu IV tal-Parti Sitta tas-CRR (somma tal-ammonti fir-ringieli 1, 4, 7, 10 u 11 ta’ dan il-mudell).</w:t>
            </w:r>
          </w:p>
        </w:tc>
      </w:tr>
      <w:tr w:rsidR="007E1815" w:rsidRPr="007F4CC8" w14:paraId="5C44ED41" w14:textId="77777777" w:rsidTr="00D819DE">
        <w:trPr>
          <w:trHeight w:val="567"/>
        </w:trPr>
        <w:tc>
          <w:tcPr>
            <w:tcW w:w="1355" w:type="dxa"/>
            <w:shd w:val="clear" w:color="auto" w:fill="D0CECE"/>
          </w:tcPr>
          <w:p w14:paraId="43FB195E" w14:textId="77777777" w:rsidR="007E1815" w:rsidRPr="007F4CC8" w:rsidRDefault="007E1815" w:rsidP="00D819DE">
            <w:pPr>
              <w:spacing w:after="24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05" w:type="dxa"/>
            <w:shd w:val="clear" w:color="auto" w:fill="D0CECE"/>
          </w:tcPr>
          <w:p w14:paraId="13090657" w14:textId="77777777" w:rsidR="007E1815" w:rsidRPr="007F4CC8" w:rsidRDefault="007E1815" w:rsidP="00D819DE">
            <w:pPr>
              <w:spacing w:after="240"/>
              <w:rPr>
                <w:b/>
                <w:color w:val="000000" w:themeColor="text1"/>
                <w:sz w:val="24"/>
                <w:rFonts w:ascii="Times New Roman" w:hAnsi="Times New Roman"/>
              </w:rPr>
            </w:pPr>
            <w:r>
              <w:rPr>
                <w:b/>
                <w:color w:val="000000" w:themeColor="text1"/>
                <w:sz w:val="24"/>
                <w:rFonts w:ascii="Times New Roman" w:hAnsi="Times New Roman"/>
              </w:rPr>
              <w:t xml:space="preserve">Entrati ta’ finanzjament stabbli meħtieġ (RSF)</w:t>
            </w:r>
          </w:p>
        </w:tc>
      </w:tr>
      <w:tr w:rsidR="007E1815" w:rsidRPr="007F4CC8" w14:paraId="5486139E" w14:textId="77777777" w:rsidTr="00D819DE">
        <w:tc>
          <w:tcPr>
            <w:tcW w:w="1355" w:type="dxa"/>
          </w:tcPr>
          <w:p w14:paraId="5B4EB28D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705" w:type="dxa"/>
          </w:tcPr>
          <w:p w14:paraId="7524A030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likwidi ta’ kwalità għolja totali (HQLA)</w:t>
            </w:r>
          </w:p>
          <w:p w14:paraId="192250E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wkoll hawn assi likwidi ta’ kwalità għolja mirhuna u mhux mirhuna skont ir-Regolament ta’ Delega tal-Kummissjoni (UE) 2015/61, irrispettivament minn jekk jikkonformawx mar-rekwiżiti operazzjonali msemmija fl-Artikolu 8 ta’ dan ir-Regolament ta’ Delega, f’konformità mal-Artikoli minn 428r sa 428ae CRR.</w:t>
            </w:r>
          </w:p>
        </w:tc>
      </w:tr>
      <w:tr w:rsidR="007E1815" w:rsidRPr="007F4CC8" w14:paraId="1652C25E" w14:textId="77777777" w:rsidTr="00D819DE">
        <w:tc>
          <w:tcPr>
            <w:tcW w:w="1355" w:type="dxa"/>
          </w:tcPr>
          <w:p w14:paraId="36AB779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EU-15 a</w:t>
            </w:r>
          </w:p>
        </w:tc>
        <w:tc>
          <w:tcPr>
            <w:tcW w:w="7705" w:type="dxa"/>
          </w:tcPr>
          <w:p w14:paraId="6B183BAA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mirhuna għal maturità residwa ta’ sena jew aktar f’aggregazzjoni ta’ kopertura</w:t>
            </w:r>
          </w:p>
          <w:p w14:paraId="1BB5D81B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428ag(h) CRR</w:t>
            </w:r>
          </w:p>
          <w:p w14:paraId="2A30344A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l-ammont ta’ flejjes dovuti minn self li ma jkunx f’inadempjenza f’konformità mal-Artikolu 178 CRR u assi likwidi, li huma mirhuna għal maturità residwa ta’ sena jew aktar f’aggregazzjoni ta’ kopertura ffinanzjata b’bonds koperti kif imsemmija fl-Artikolu 52(4) tad-Direttiva (KE) 2009/65</w:t>
            </w:r>
            <w:r w:rsidRPr="007F4CC8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eastAsia="sv-SE"/>
              </w:rPr>
              <w:footnoteReference w:id="7"/>
            </w:r>
            <w:r>
              <w:rPr>
                <w:sz w:val="24"/>
                <w:rFonts w:ascii="Times New Roman" w:hAnsi="Times New Roman"/>
              </w:rPr>
              <w:t xml:space="preserve"> jew b’bonds koperti li jissodisfaw ir-rekwiżiti ta’ eliġibbiltà għat-trattament kif stabbiliti fl-Artikolu 129(4) jew (5) CRR.</w:t>
            </w:r>
          </w:p>
        </w:tc>
      </w:tr>
      <w:tr w:rsidR="007E1815" w:rsidRPr="007F4CC8" w14:paraId="2122B833" w14:textId="77777777" w:rsidTr="00D819DE">
        <w:tc>
          <w:tcPr>
            <w:tcW w:w="1355" w:type="dxa"/>
          </w:tcPr>
          <w:p w14:paraId="7FF74E8F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705" w:type="dxa"/>
          </w:tcPr>
          <w:p w14:paraId="4D8DCFEA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Depożiti miżmuma f’istituzzjonijiet finanzjarji oħra għal finijiet operazzjonali</w:t>
            </w:r>
          </w:p>
          <w:p w14:paraId="546E2989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 428ad CRR</w:t>
            </w:r>
          </w:p>
          <w:p w14:paraId="213C4B5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dawk l-ammonti ta’ flejjes dovuti minn self li mhuwiex f’inadempjenza f’konformità mal-Artikolu 178 CRR, li huma depożiti operazzjonali skont ir-Regolament ta’ Delega tal-Kummissjoni (UE) 2015/61 u meħtieġa għall-forniment ta’ servizzi operazzjonali.</w:t>
            </w:r>
          </w:p>
        </w:tc>
      </w:tr>
      <w:tr w:rsidR="007E1815" w:rsidRPr="007F4CC8" w14:paraId="51365A88" w14:textId="77777777" w:rsidTr="00D819DE">
        <w:tc>
          <w:tcPr>
            <w:tcW w:w="1355" w:type="dxa"/>
          </w:tcPr>
          <w:p w14:paraId="4C01387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705" w:type="dxa"/>
          </w:tcPr>
          <w:p w14:paraId="65E0396B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Self u titoli produttivi:</w:t>
            </w:r>
          </w:p>
          <w:p w14:paraId="6607B84D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fir-ringieli 18, 19, 20, 22 u 24 ta’ dan il-mudell.</w:t>
            </w:r>
          </w:p>
        </w:tc>
      </w:tr>
      <w:tr w:rsidR="007E1815" w:rsidRPr="007F4CC8" w14:paraId="4BAAFBF3" w14:textId="77777777" w:rsidTr="00D819DE">
        <w:tc>
          <w:tcPr>
            <w:tcW w:w="1355" w:type="dxa"/>
          </w:tcPr>
          <w:p w14:paraId="2D3BF736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7705" w:type="dxa"/>
          </w:tcPr>
          <w:p w14:paraId="7087AA5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ta’ finanzjament tat-titoli produttivi ma’ klijenti finanzjarji kkollateralizzat b’HQLA tal-Livell 1 soġġetti għal telf impost ta’ 0 %</w:t>
            </w:r>
          </w:p>
          <w:p w14:paraId="1F9F59CD" w14:textId="77777777" w:rsidR="007E1815" w:rsidRPr="007F4CC8" w:rsidRDefault="007E1815" w:rsidP="00D819DE">
            <w:pPr>
              <w:spacing w:after="240"/>
              <w:jc w:val="both"/>
            </w:pPr>
            <w:r>
              <w:rPr>
                <w:sz w:val="24"/>
                <w:rFonts w:ascii="Times New Roman" w:hAnsi="Times New Roman"/>
              </w:rPr>
              <w:t xml:space="preserve">L-Artikolu 428e, il-punt (g) tal-Artikolu 428r(1) u l-punt (b) tal-Artikolu 428s CRR</w:t>
            </w:r>
          </w:p>
          <w:p w14:paraId="3F44C0F3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l-ammont ta’ flejjes dovuti minn tranżazzjonijiet ta’ finanzjament tat-titoli, li mhumiex f’inadempjenza f’konformità mal-Artikolu 178 CRR, ma’ klijenti finanzjarji u li huma kkollateralizzati permezz ta’ assi tal-livell 1 eliġibbli għal telf impost ta’ 0 % skont ir-Regolament ta’ Delega tal-Kummissjoni (UE) 2015/61.</w:t>
            </w:r>
          </w:p>
        </w:tc>
      </w:tr>
      <w:tr w:rsidR="007E1815" w:rsidRPr="007F4CC8" w14:paraId="3C902540" w14:textId="77777777" w:rsidTr="00D819DE">
        <w:tc>
          <w:tcPr>
            <w:tcW w:w="1355" w:type="dxa"/>
          </w:tcPr>
          <w:p w14:paraId="799072AA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705" w:type="dxa"/>
          </w:tcPr>
          <w:p w14:paraId="358BD859" w14:textId="77777777" w:rsidR="007E1815" w:rsidRPr="007F4CC8" w:rsidRDefault="007E1815" w:rsidP="00D819DE">
            <w:pPr>
              <w:pStyle w:val="TableParagraph"/>
              <w:spacing w:after="240"/>
              <w:ind w:right="96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Tranżazzjonijiet ta’ finanzjament tat-titoli produttivi ma’ klijenti finanzjarji kkollateralizzati b’assi oħrajn u b’self u b’avvanzi oħrajn lil istituzzjonijiet finanzjarji</w:t>
            </w:r>
          </w:p>
          <w:p w14:paraId="50F79A15" w14:textId="77777777" w:rsidR="007E1815" w:rsidRPr="007F4CC8" w:rsidRDefault="007E1815" w:rsidP="00D819DE">
            <w:pPr>
              <w:pStyle w:val="TableParagraph"/>
              <w:spacing w:after="240"/>
              <w:ind w:right="96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(b) tal-Artikolu 428s, il-punt (d) tal-Artikolu 428ad, il-punt (b) tal-Artikolu 428ah(1) u l-punt (a) tal-Artikolu 428v CRR</w:t>
            </w:r>
          </w:p>
          <w:p w14:paraId="45DF09F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hawnhekk is-somma tal-entrati li ġejjin:</w:t>
            </w:r>
          </w:p>
          <w:p w14:paraId="188E4FFB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flejjes dovuti minn tranżazzjonijiet ta’ finanzjament tat-titoli, li mhumiex f’inadempjenza f’konformità mal-Artikolu 178 CRR, ma’ klijenti finanzjarji u li huma kkollateralizzati permezz ta’ assi li mhumiex assi tal-livell 1 eliġibbli għal telf impost ta’ 0 % skont ir-Regolament ta’ Delega tal-Kummissjoni (UE) 2015/61;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269EFE57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flejjes dovuti minn self u minn avvanzi oħrajn, li mhumiex f’inadempjenza f’konformità mal-Artikolu 178 CRR, lil klijenti finanzjarji, f’konformità mal-punt (a) tal-Artikolu 428v u mal-punt (d)(iii) tal-Artikolu 428ad CRR.</w:t>
            </w:r>
          </w:p>
        </w:tc>
      </w:tr>
      <w:tr w:rsidR="007E1815" w:rsidRPr="007F4CC8" w14:paraId="16173500" w14:textId="77777777" w:rsidTr="00D819DE">
        <w:tc>
          <w:tcPr>
            <w:tcW w:w="1355" w:type="dxa"/>
          </w:tcPr>
          <w:p w14:paraId="00F1D35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7705" w:type="dxa"/>
          </w:tcPr>
          <w:p w14:paraId="58451781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L-għoti ta’ self produttiv lil klijenti korporattivi mhux finanzjarji, ta’ self lil klijenti kummerċjali fil-livell tal-konsumatur u żgħar, u self lil sovrani, u lil PSEs, li minnhom:</w:t>
            </w:r>
          </w:p>
          <w:p w14:paraId="6DA38F7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428ad, 428af u l-punt (c) tal-Artikolu 428ag CRR</w:t>
            </w:r>
          </w:p>
          <w:p w14:paraId="36C3F19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dawk l-ammonti ta’ flejjes dovuti minn self li ma jkunx f’inadempjenza f’konformità mal-Artikolu 178 CRR, li huwa self residenzjali ggarantit bis-sħiħ minn fornitur tal-protezzjoni eliġibbli kif imsemmi fil-punt (e) tal-Artikolu 129(1) CRR jew self, eskluż self lil klijenti finanzjarji u self imsemmi fl-Artikoli minn 428r sa 428ad ħlief il-punt (c) tal-Artikolu 428ad CRR, irrispettivament mill-piżijiet tar-riskju assenjati għal dan is-self.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ma għandux jinkludi skoperturi ggarantiti b’ipoteki fuq proprjetà residenzjali.</w:t>
            </w:r>
          </w:p>
        </w:tc>
      </w:tr>
      <w:tr w:rsidR="007E1815" w:rsidRPr="007F4CC8" w14:paraId="20F6DFE3" w14:textId="77777777" w:rsidTr="00D819DE">
        <w:tc>
          <w:tcPr>
            <w:tcW w:w="1355" w:type="dxa"/>
          </w:tcPr>
          <w:p w14:paraId="1358F50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7705" w:type="dxa"/>
          </w:tcPr>
          <w:p w14:paraId="56BBDD16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B’piż tar-riskju ta’ anqas minn jew daqs 35 % skont l-Approċċ Standardizzat ta’ Basel II għar-riskju ta’ kreditu</w:t>
            </w:r>
          </w:p>
          <w:p w14:paraId="001D77E7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428ad u 428af CRR</w:t>
            </w:r>
          </w:p>
          <w:p w14:paraId="058D836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dawk l-ammonti ta’ self mir-ringiela 21 ta’ dan il-mudell li huma assenjati piż tar-riskju ta’ anqas minn jew ugwali għal 35 % f’konformità mal-Kapitolu 2 tat-Titolu II tal-Parti Tlieta tas-CRR.</w:t>
            </w:r>
          </w:p>
        </w:tc>
      </w:tr>
      <w:tr w:rsidR="007E1815" w:rsidRPr="007F4CC8" w14:paraId="29C889F9" w14:textId="77777777" w:rsidTr="00D819DE">
        <w:tc>
          <w:tcPr>
            <w:tcW w:w="1355" w:type="dxa"/>
          </w:tcPr>
          <w:p w14:paraId="39F7C4A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7705" w:type="dxa"/>
          </w:tcPr>
          <w:p w14:paraId="7140A66D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Ipoteki residenzjali produttivi, li minnhom:</w:t>
            </w:r>
          </w:p>
          <w:p w14:paraId="583DA513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428ad, il-punt (a) ta’ 428af u l-punt (c) ta’ 428ag CRR</w:t>
            </w:r>
          </w:p>
          <w:p w14:paraId="4FF29EF2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dawk l-ammonti ta’ flejjes dovuti minn self li ma jkunx f’inadempjenza f’konformità mal-Artikolu 178 CRR, li huma self iggarantit b’ipoteki fuq proprjetà residenzjali, minbarra self lil klijenti finanzjarji u self imsemmi fl-Artikolu minn 428r sa 428ad CRR, ħlief il-paragrafu (c) tal-Artikolu 428ad CRR, irrispettivament mill-piżijiet tar-riskju assenjati għal dan is-self.</w:t>
            </w:r>
          </w:p>
        </w:tc>
      </w:tr>
      <w:tr w:rsidR="007E1815" w:rsidRPr="007F4CC8" w14:paraId="54156A49" w14:textId="77777777" w:rsidTr="00D819DE">
        <w:tc>
          <w:tcPr>
            <w:tcW w:w="1355" w:type="dxa"/>
          </w:tcPr>
          <w:p w14:paraId="0D61EA0E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7705" w:type="dxa"/>
          </w:tcPr>
          <w:p w14:paraId="005CD15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B’piż tar-riskju ta’ anqas minn jew daqs 35 % skont l-Approċċ Standardizzat ta’ Basel II għar-riskju ta’ kreditu</w:t>
            </w:r>
          </w:p>
          <w:p w14:paraId="03D79734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(c) tal-Artikolu 428ad u l-punt (a) ta’ 428af CRR</w:t>
            </w:r>
          </w:p>
          <w:p w14:paraId="00D059E6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hawn dawk l-ammonti ta’ self mir-ringiela 22 ta’ dan il-mudell li huma assenjati piż tar-riskju ta’ anqas minn jew ugwali għal 35 % f’konformità mal-Kapitolu 2 tat-Titolu II tal-Parti Tlieta tas-CRR.</w:t>
            </w:r>
          </w:p>
        </w:tc>
      </w:tr>
      <w:tr w:rsidR="007E1815" w:rsidRPr="007F4CC8" w14:paraId="6434C3BA" w14:textId="77777777" w:rsidTr="00D819DE">
        <w:tc>
          <w:tcPr>
            <w:tcW w:w="1355" w:type="dxa"/>
          </w:tcPr>
          <w:p w14:paraId="549B601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7705" w:type="dxa"/>
          </w:tcPr>
          <w:p w14:paraId="67C2DE86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Self u titoli oħrajn li mhumiex f’inadempjenza u li ma jikkwalifikawx bħala HQLA, inklużi ekwitajiet innegozjati fil-borża u prodotti ta’ finanzjament tal-kummerċ fil-karta bilanċjali</w:t>
            </w:r>
          </w:p>
          <w:p w14:paraId="39DF980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ta’:</w:t>
            </w:r>
          </w:p>
          <w:p w14:paraId="51D89DE9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il-punti (e) u (f) tal-Artikolu 428ag CRR, titoli li mhumiex f’inadempjenza f’konformità mal-Artikolu 178 CRR u li mhumiex assi likwidi skont ir-Regolament ta’ Delega tal-Kummissjoni (UE) 2015/61, irrispettivament minn jekk jikkonformawx mar-rekwiżiti operazzjonali stabbiliti fih; 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7E2ECB28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spacing w:after="240"/>
              <w:contextualSpacing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prodotti relatati mal-finanzjament tal-kummerċ fil-karta bilanċjali f’konformità mal-punt (b) tal-Artikolu 428v, mal-punt (e) tal-Artikolu 428ad u mal-punt (d) tal-Artikolu 428ag CRR.</w:t>
            </w:r>
          </w:p>
        </w:tc>
      </w:tr>
      <w:tr w:rsidR="007E1815" w:rsidRPr="007F4CC8" w14:paraId="35E36BF0" w14:textId="77777777" w:rsidTr="00D819DE">
        <w:tc>
          <w:tcPr>
            <w:tcW w:w="1355" w:type="dxa"/>
          </w:tcPr>
          <w:p w14:paraId="57459CB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7705" w:type="dxa"/>
          </w:tcPr>
          <w:p w14:paraId="2499489C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interdipendenti</w:t>
            </w:r>
          </w:p>
          <w:p w14:paraId="27834A63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428f u l-punt (f) tal-Artikolu 428r(1) CRR</w:t>
            </w:r>
          </w:p>
          <w:p w14:paraId="72C976E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l-assi li, wara li jkunu ġew awtorizzati mill-awtoritajiet kompetenti, ikunu interdipendenti ma’ obbligazzjonijiet f’konformità mal-Artikolu 428f CRR.</w:t>
            </w:r>
          </w:p>
        </w:tc>
      </w:tr>
      <w:tr w:rsidR="007E1815" w:rsidRPr="007F4CC8" w14:paraId="0CF97540" w14:textId="77777777" w:rsidTr="00D819DE">
        <w:tc>
          <w:tcPr>
            <w:tcW w:w="1355" w:type="dxa"/>
          </w:tcPr>
          <w:p w14:paraId="70B09EF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7705" w:type="dxa"/>
          </w:tcPr>
          <w:p w14:paraId="42CE6BB4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oħrajn:</w:t>
            </w:r>
          </w:p>
          <w:p w14:paraId="04069E74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fir-ringieli 27, 28, 29, 30, u 31 ta’ dan il-mudell.</w:t>
            </w:r>
          </w:p>
        </w:tc>
      </w:tr>
      <w:tr w:rsidR="007E1815" w:rsidRPr="007F4CC8" w14:paraId="308B373B" w14:textId="77777777" w:rsidTr="00D819DE">
        <w:tc>
          <w:tcPr>
            <w:tcW w:w="1355" w:type="dxa"/>
          </w:tcPr>
          <w:p w14:paraId="5913D910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7705" w:type="dxa"/>
          </w:tcPr>
          <w:p w14:paraId="697B193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Komoditajiet innegozjati fiżikament</w:t>
            </w:r>
          </w:p>
          <w:p w14:paraId="32837474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(g) tal-Artikolu 428ag CRR</w:t>
            </w:r>
          </w:p>
          <w:p w14:paraId="78174A53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l-amont tal-komoditajiet innegozjati fiżikament.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l-ammont ma għandux jinkludi derivattivi ta’ komoditajiet.</w:t>
            </w:r>
          </w:p>
        </w:tc>
      </w:tr>
      <w:tr w:rsidR="007E1815" w:rsidRPr="007F4CC8" w14:paraId="26AD8E34" w14:textId="77777777" w:rsidTr="00D819DE">
        <w:tc>
          <w:tcPr>
            <w:tcW w:w="1355" w:type="dxa"/>
          </w:tcPr>
          <w:p w14:paraId="67D2AD9F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705" w:type="dxa"/>
          </w:tcPr>
          <w:p w14:paraId="185B88C7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ddepożitati bħala marġni inizjali għal kuntratti ta’ derivattivi u kontribuzzjonijiet għal fondi ta’ inadempjenza tas-CCPs</w:t>
            </w:r>
          </w:p>
          <w:p w14:paraId="0A9AEFDF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is-somma tal-ammonti li ġejjin:</w:t>
            </w:r>
          </w:p>
          <w:p w14:paraId="74F0EC9D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finanzjament stabbli meħtieġ li jirriżulta minn derivattivi, f’konformità mal-Artikoli 428d, 428s(2), mal-punt (a) tal-Artikolu 428ag u 428ah(2) CRR, li huwa relatat mal-marġini inizjali għal kuntratti tad-derivattivi;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59B2427D" w14:textId="77777777" w:rsidR="007E1815" w:rsidRPr="007F4CC8" w:rsidRDefault="007E1815" w:rsidP="007E1815">
            <w:pPr>
              <w:pStyle w:val="ListParagraph"/>
              <w:numPr>
                <w:ilvl w:val="0"/>
                <w:numId w:val="8"/>
              </w:num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relatat mal-entrati ddepożitati bħala kontribuzzjoni għall-fond ta’ inadempjenza ta’ CCP, f’konformità mal-punt (b) tal-Artikolu 428ag CRR.</w:t>
            </w:r>
          </w:p>
        </w:tc>
      </w:tr>
      <w:tr w:rsidR="007E1815" w:rsidRPr="007F4CC8" w14:paraId="376E3454" w14:textId="77777777" w:rsidTr="00D819DE">
        <w:tc>
          <w:tcPr>
            <w:tcW w:w="1355" w:type="dxa"/>
          </w:tcPr>
          <w:p w14:paraId="6B351DBB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7705" w:type="dxa"/>
          </w:tcPr>
          <w:p w14:paraId="6FC27BA7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Assi derivattivi tal-NSFR</w:t>
            </w:r>
          </w:p>
          <w:p w14:paraId="130EA517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428d u 428h(2) CRR</w:t>
            </w:r>
          </w:p>
          <w:p w14:paraId="33E01ABB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hawn l-ammont ta’ finanzjament stabbli meħtieġ li jirriżulta minn derivattivi, f’konformità mal-Artikolu 428d, 428s(2), mal-punt (a) tal-Artikolu 428ag u 428ah(2) CRR, li huwa kkalkolat bħala l-ammont assolut tad-differenza pożittiva bejn is-settijiet ta’ netting ikkalkolati f’konformità mal-Artikolu 428ah(2) CRR.</w:t>
            </w:r>
          </w:p>
        </w:tc>
      </w:tr>
      <w:tr w:rsidR="007E1815" w:rsidRPr="007F4CC8" w14:paraId="68225B13" w14:textId="77777777" w:rsidTr="00D819DE">
        <w:tc>
          <w:tcPr>
            <w:tcW w:w="1355" w:type="dxa"/>
          </w:tcPr>
          <w:p w14:paraId="19DA3D6E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7705" w:type="dxa"/>
          </w:tcPr>
          <w:p w14:paraId="6473604D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Obbligazzjonijiet derivattivi tal-NSFR qabel it-tnaqqis tal-marġni tal-varjazzjoni ddepożitat</w:t>
            </w:r>
          </w:p>
          <w:p w14:paraId="394264C8" w14:textId="77777777" w:rsidR="007E1815" w:rsidRPr="007F4CC8" w:rsidRDefault="007E1815" w:rsidP="00D819DE">
            <w:pPr>
              <w:pStyle w:val="TableParagraph"/>
              <w:spacing w:after="240"/>
              <w:ind w:right="99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428s(2) CRR</w:t>
            </w:r>
          </w:p>
          <w:p w14:paraId="43211B55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l-ammont ta’ finanzjament stabbli meħtieġ relatat mal-obbligazzjonijiet derivattivi, f’konformità mal-Artikolu 428d, 428s(2) u mal-punt (a) ta’ 428ag u 428ah(2) CRR, li huwa l-valur ġust assolut tas-settijiet ta’ netting b’valur ġust negattiv ikkalkolat f’konformità mal-Artikolu 428s(2) CRR.</w:t>
            </w:r>
          </w:p>
        </w:tc>
      </w:tr>
      <w:tr w:rsidR="007E1815" w:rsidRPr="007F4CC8" w14:paraId="12F08601" w14:textId="77777777" w:rsidTr="00D819DE">
        <w:tc>
          <w:tcPr>
            <w:tcW w:w="1355" w:type="dxa"/>
          </w:tcPr>
          <w:p w14:paraId="090CE7E2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7705" w:type="dxa"/>
          </w:tcPr>
          <w:p w14:paraId="4F2885DE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L-assi l-oħra kollha mhux inklużi fil-kategoriji ta’ hawn fuq</w:t>
            </w:r>
          </w:p>
          <w:p w14:paraId="60A47B66" w14:textId="77777777" w:rsidR="007E1815" w:rsidRPr="007F4CC8" w:rsidRDefault="007E1815" w:rsidP="00D819DE">
            <w:pPr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Hawnhekk, l-istituzzjonijiet għandhom jinkludu s-somma tal-entrati li ġejjin:</w:t>
            </w:r>
          </w:p>
          <w:p w14:paraId="211EEB85" w14:textId="77777777" w:rsidR="007E1815" w:rsidRPr="007F4CC8" w:rsidRDefault="007E1815" w:rsidP="007E181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riċevibbli tad-data tan-negozju f’konformità mal-punt (e) tal-Artikolu 428r(1) CRR;</w:t>
            </w:r>
          </w:p>
          <w:p w14:paraId="3A3E23A2" w14:textId="77777777" w:rsidR="007E1815" w:rsidRPr="007F4CC8" w:rsidRDefault="007E1815" w:rsidP="007E181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improduttivi f’konformità mal-punt (b) tal-Artikolu 428ah(1) CRR;</w:t>
            </w:r>
          </w:p>
          <w:p w14:paraId="7CE9E147" w14:textId="77777777" w:rsidR="007E1815" w:rsidRPr="007F4CC8" w:rsidRDefault="007E1815" w:rsidP="007E181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riżervi f’banek ċentrali li mhumiex meqjusa bħala HQLA;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kif ukoll</w:t>
            </w:r>
          </w:p>
          <w:p w14:paraId="3374626C" w14:textId="77777777" w:rsidR="007E1815" w:rsidRPr="007F4CC8" w:rsidRDefault="007E1815" w:rsidP="007E1815">
            <w:pPr>
              <w:pStyle w:val="ListParagraph"/>
              <w:numPr>
                <w:ilvl w:val="0"/>
                <w:numId w:val="11"/>
              </w:num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assi oħrajn mhux imsemmija fl-entrati preċedenti elenkati hawn fuq.</w:t>
            </w:r>
          </w:p>
        </w:tc>
      </w:tr>
      <w:tr w:rsidR="007E1815" w:rsidRPr="007F4CC8" w14:paraId="107FAB0B" w14:textId="77777777" w:rsidTr="00D819DE">
        <w:tc>
          <w:tcPr>
            <w:tcW w:w="1355" w:type="dxa"/>
          </w:tcPr>
          <w:p w14:paraId="305193C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32</w:t>
            </w:r>
          </w:p>
        </w:tc>
        <w:tc>
          <w:tcPr>
            <w:tcW w:w="7705" w:type="dxa"/>
          </w:tcPr>
          <w:p w14:paraId="449E2037" w14:textId="77777777" w:rsidR="007E1815" w:rsidRPr="007F4CC8" w:rsidRDefault="007E1815" w:rsidP="00D819DE">
            <w:pPr>
              <w:spacing w:after="24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Entrati li ma jidhrux fil-karta bilanċjali</w:t>
            </w:r>
          </w:p>
          <w:p w14:paraId="0146B44D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hawn l-ammont ta’ entrati li ma jidhrux fil-karta bilanċjali li huma soġġetti għar-rekwiżiti ta’ finanzjament stabbli meħtieġ.</w:t>
            </w:r>
          </w:p>
        </w:tc>
      </w:tr>
      <w:tr w:rsidR="007E1815" w:rsidRPr="007F4CC8" w14:paraId="3AA0FBAF" w14:textId="77777777" w:rsidTr="00D819DE">
        <w:tc>
          <w:tcPr>
            <w:tcW w:w="1355" w:type="dxa"/>
          </w:tcPr>
          <w:p w14:paraId="0CD179E6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33</w:t>
            </w:r>
          </w:p>
        </w:tc>
        <w:tc>
          <w:tcPr>
            <w:tcW w:w="7705" w:type="dxa"/>
          </w:tcPr>
          <w:p w14:paraId="5B3E34AC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stabbli meħtieġ (RSF) totali</w:t>
            </w:r>
          </w:p>
          <w:p w14:paraId="7C7790F2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Il-Kapitolu 4 tat-Titolu IV tal-Parti Sitta tas-CRR</w:t>
            </w:r>
          </w:p>
          <w:p w14:paraId="12009000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Hawn l-istituzzjonijiet għandhom jinkludu l-entrati totali soġġetti għall-finanzjament stabbli meħtieġ f’konformità mal-Kapitolu 4 tat-Titolu IV tal-Parti Sitta tas-CRR (somma tal-ammonti fir-ringieli 15, EU-15a, 16, 17, 25, 26, u 32 ta’ dan il-mudell).</w:t>
            </w:r>
          </w:p>
        </w:tc>
      </w:tr>
      <w:tr w:rsidR="007E1815" w:rsidRPr="007F4CC8" w14:paraId="3116BCED" w14:textId="77777777" w:rsidTr="00D819DE">
        <w:trPr>
          <w:trHeight w:val="274"/>
        </w:trPr>
        <w:tc>
          <w:tcPr>
            <w:tcW w:w="1355" w:type="dxa"/>
          </w:tcPr>
          <w:p w14:paraId="4CE43E71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34</w:t>
            </w:r>
          </w:p>
        </w:tc>
        <w:tc>
          <w:tcPr>
            <w:tcW w:w="7705" w:type="dxa"/>
          </w:tcPr>
          <w:p w14:paraId="6B3C5508" w14:textId="77777777" w:rsidR="007E1815" w:rsidRPr="007F4CC8" w:rsidRDefault="007E1815" w:rsidP="00D819DE">
            <w:pPr>
              <w:spacing w:after="24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Finanzjament Stabbli Nett (%)</w:t>
            </w:r>
          </w:p>
          <w:p w14:paraId="049707E6" w14:textId="77777777" w:rsidR="007E1815" w:rsidRPr="007F4CC8" w:rsidRDefault="007E1815" w:rsidP="00D819DE">
            <w:pPr>
              <w:pStyle w:val="TableParagraph"/>
              <w:spacing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L-NSFR ikkalkolat f’konformità mal-Artikolu 428b(1) CRR</w:t>
            </w:r>
          </w:p>
        </w:tc>
      </w:tr>
    </w:tbl>
    <w:p w14:paraId="505A96AE" w14:textId="77777777" w:rsidR="004E3F4D" w:rsidRDefault="004E3F4D"/>
    <w:sectPr w:rsidR="004E3F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7252" w14:textId="77777777" w:rsidR="00E35FAE" w:rsidRDefault="00E35FAE" w:rsidP="007E1815">
      <w:r>
        <w:separator/>
      </w:r>
    </w:p>
  </w:endnote>
  <w:endnote w:type="continuationSeparator" w:id="0">
    <w:p w14:paraId="7D1B336F" w14:textId="77777777" w:rsidR="00E35FAE" w:rsidRDefault="00E35FAE" w:rsidP="007E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79CB8" w14:textId="77777777" w:rsidR="007E1815" w:rsidRDefault="007E18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74245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140FDE" w14:textId="77777777" w:rsidR="007E1815" w:rsidRDefault="007E18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B4C">
          <w:t>20</w:t>
        </w:r>
        <w:r>
          <w:fldChar w:fldCharType="end"/>
        </w:r>
      </w:p>
    </w:sdtContent>
  </w:sdt>
  <w:p w14:paraId="56B16CFF" w14:textId="77777777" w:rsidR="007E1815" w:rsidRDefault="007E18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885B" w14:textId="77777777" w:rsidR="007E1815" w:rsidRDefault="007E1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65CE" w14:textId="77777777" w:rsidR="00E35FAE" w:rsidRDefault="00E35FAE" w:rsidP="007E1815">
      <w:r>
        <w:separator/>
      </w:r>
    </w:p>
  </w:footnote>
  <w:footnote w:type="continuationSeparator" w:id="0">
    <w:p w14:paraId="289BB8FD" w14:textId="77777777" w:rsidR="00E35FAE" w:rsidRDefault="00E35FAE" w:rsidP="007E1815">
      <w:r>
        <w:continuationSeparator/>
      </w:r>
    </w:p>
  </w:footnote>
  <w:footnote w:id="1">
    <w:p w14:paraId="1457CDC2" w14:textId="79793824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ta' kreditu u li jemenda r-Regolament (UE) Nru 648/2012,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OJ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077D46E6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ta’ Delega tal-Kummissjoni (UE) 2015/61 tal-10 ta' Ottubru 2014 li jissupplimenta r-Regolament (UE) Nru 575/2013 tal-Parlament Ewropew u tal-Kunsill rigward ir-rekwiżit ta' kopertura tal-likwidità għall-Istituzzjonijiet ta' Kreditu (ĠU L 11, 17.1.2015, p. 1)</w:t>
      </w:r>
      <w:r>
        <w:t xml:space="preserve"> </w:t>
      </w:r>
    </w:p>
  </w:footnote>
  <w:footnote w:id="3">
    <w:p w14:paraId="6C159A9A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94/19/KE TAL-PARLAMENT EWROPEW U TAL-KUNSILL tat-30 ta’ Mejju 1994 dwar skemi ta’ garanzija għal depożiti (ĠU L135, 31.5.1994, p. 5).</w:t>
      </w:r>
    </w:p>
  </w:footnote>
  <w:footnote w:id="4">
    <w:p w14:paraId="13D8F6DE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2014/49/UE TAL-PARLAMENT EWROPEW U TAL-KUNSILL tas-16 ta’ April 2014 dwar skemi ta' garanzija għal depożiti (ĠU L 173, 12.6.2014, p. 149).</w:t>
      </w:r>
    </w:p>
  </w:footnote>
  <w:footnote w:id="5">
    <w:p w14:paraId="05834BF0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DELEGAT TAL-KUMMISSJONI (UE) 2017/208 tal-31 ta' Ottubru 2016 li jissupplimenta r-Regolament (UE) Nru 575/2013 tal-Parlament Ewropew u tal-Kunsill fir-rigward ta' standards tekniċi regolatorji għal flussi ta' ħruġ ta' likwidità addizzjonali li jikkorrispondu għal ħtiġijiet ta' kollateral li jirriżultaw mill-impatt ta' xenarju negattiv tas-suq fuq it-tranżazzjonijiet derivattivi ta' istituzzjoni (ĠU L 33, 8.2.2017, p. 14).</w:t>
      </w:r>
    </w:p>
  </w:footnote>
  <w:footnote w:id="6">
    <w:p w14:paraId="1904ECE3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TA' IMPLIMENTAZZJONI TAL-KUMMISSJONI (UE) Nru 680/2014 tas-16 ta' April 2014 li jistabbilixxi standards tekniċi ta' implimentazzjoni fir-rigward tar-rappurtar superviżorju ta' istituzzjonijiet skont ir-Regolament (UE) Nru 575/2013 tal-Parlament Ewropew u tal-Kunsill (ĠU L 191, 28.6.2014, p. 1).</w:t>
      </w:r>
    </w:p>
  </w:footnote>
  <w:footnote w:id="7">
    <w:p w14:paraId="6D008ADE" w14:textId="77777777" w:rsidR="007E1815" w:rsidRPr="00222AAB" w:rsidRDefault="007E1815" w:rsidP="007E181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2009/65/KE TAL-PARLAMENT EWROPEW U TAL-KUNSILL tat-13 ta’ Lulju 2009 dwar il-koordinazzjoni ta’ liġijiet, regolamenti u dispożizzjonijiet amministrattivi fir-rigward tal-impriżi ta’ investiment kollettiv f’titoli trasferibbli (UCITS) (ĠU L 302, 17.11.2009, p. 32).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7A96" w14:textId="5E4CC2F8" w:rsidR="007E1815" w:rsidRDefault="007A276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1E088A6" wp14:editId="7DD786B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3177049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903643" w14:textId="0C7E9597" w:rsidR="007A2766" w:rsidRPr="007A2766" w:rsidRDefault="007A2766" w:rsidP="007A27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1E088A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9903643" w14:textId="0C7E9597" w:rsidR="007A2766" w:rsidRPr="007A2766" w:rsidRDefault="007A2766" w:rsidP="007A27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A9F57" w14:textId="016BF112" w:rsidR="007E1815" w:rsidRDefault="007A276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50BF424" wp14:editId="0EC4EE1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997024026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C209D5" w14:textId="72FFFDC7" w:rsidR="007A2766" w:rsidRPr="007A2766" w:rsidRDefault="007A2766" w:rsidP="007A27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50BF4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14C209D5" w14:textId="72FFFDC7" w:rsidR="007A2766" w:rsidRPr="007A2766" w:rsidRDefault="007A2766" w:rsidP="007A27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B745" w14:textId="7C73CB45" w:rsidR="007E1815" w:rsidRDefault="007A276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014A0BC8" wp14:editId="5D025CF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748815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6F2BF3" w14:textId="44F604B9" w:rsidR="007A2766" w:rsidRPr="007A2766" w:rsidRDefault="007A2766" w:rsidP="007A27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14A0B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56F2BF3" w14:textId="44F604B9" w:rsidR="007A2766" w:rsidRPr="007A2766" w:rsidRDefault="007A2766" w:rsidP="007A27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E1079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num w:numId="1" w16cid:durableId="183133071">
    <w:abstractNumId w:val="0"/>
  </w:num>
  <w:num w:numId="2" w16cid:durableId="1980108966">
    <w:abstractNumId w:val="1"/>
  </w:num>
  <w:num w:numId="3" w16cid:durableId="1361467688">
    <w:abstractNumId w:val="8"/>
  </w:num>
  <w:num w:numId="4" w16cid:durableId="1579946161">
    <w:abstractNumId w:val="2"/>
  </w:num>
  <w:num w:numId="5" w16cid:durableId="1059480742">
    <w:abstractNumId w:val="4"/>
  </w:num>
  <w:num w:numId="6" w16cid:durableId="1262034091">
    <w:abstractNumId w:val="10"/>
  </w:num>
  <w:num w:numId="7" w16cid:durableId="232351393">
    <w:abstractNumId w:val="6"/>
  </w:num>
  <w:num w:numId="8" w16cid:durableId="1716541516">
    <w:abstractNumId w:val="5"/>
  </w:num>
  <w:num w:numId="9" w16cid:durableId="52235570">
    <w:abstractNumId w:val="3"/>
  </w:num>
  <w:num w:numId="10" w16cid:durableId="1685591171">
    <w:abstractNumId w:val="7"/>
  </w:num>
  <w:num w:numId="11" w16cid:durableId="1693339185">
    <w:abstractNumId w:val="9"/>
  </w:num>
  <w:num w:numId="12" w16cid:durableId="12057535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606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674B5"/>
    <w:rsid w:val="001B236F"/>
    <w:rsid w:val="004B5B4C"/>
    <w:rsid w:val="004C7B23"/>
    <w:rsid w:val="004E3F4D"/>
    <w:rsid w:val="007A2766"/>
    <w:rsid w:val="007E1815"/>
    <w:rsid w:val="009674B5"/>
    <w:rsid w:val="00BA0A8F"/>
    <w:rsid w:val="00C02D72"/>
    <w:rsid w:val="00E35FAE"/>
    <w:rsid w:val="00F1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EA55B"/>
  <w15:chartTrackingRefBased/>
  <w15:docId w15:val="{0B778350-80D1-4ED0-B9FA-2055CABC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81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7E1815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mt-MT"/>
    </w:rPr>
  </w:style>
  <w:style w:type="table" w:styleId="TableGrid">
    <w:name w:val="Table Grid"/>
    <w:basedOn w:val="TableProfessional"/>
    <w:uiPriority w:val="59"/>
    <w:rsid w:val="007E1815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7E1815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7E1815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E181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E181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E181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E1815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E1815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extChar">
    <w:name w:val="Instructions Text Char"/>
    <w:link w:val="InstructionsText"/>
    <w:locked/>
    <w:rsid w:val="007E1815"/>
    <w:rPr>
      <w:rFonts w:ascii="Times New Roman" w:eastAsia="Times New Roman" w:hAnsi="Times New Roman" w:cs="Times New Roman"/>
      <w:lang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7E1815"/>
    <w:pPr>
      <w:spacing w:after="120"/>
      <w:jc w:val="both"/>
    </w:pPr>
    <w:rPr>
      <w:rFonts w:ascii="Times New Roman" w:eastAsia="Times New Roman" w:hAnsi="Times New Roman" w:cs="Times New Roman"/>
      <w:szCs w:val="22"/>
      <w:lang w:eastAsia="de-DE"/>
    </w:rPr>
  </w:style>
  <w:style w:type="paragraph" w:customStyle="1" w:styleId="TableParagraph">
    <w:name w:val="Table Paragraph"/>
    <w:basedOn w:val="Normal"/>
    <w:uiPriority w:val="1"/>
    <w:qFormat/>
    <w:rsid w:val="007E1815"/>
    <w:pPr>
      <w:widowControl w:val="0"/>
    </w:pPr>
    <w:rPr>
      <w:rFonts w:eastAsiaTheme="minorHAnsi"/>
      <w:szCs w:val="22"/>
    </w:rPr>
  </w:style>
  <w:style w:type="paragraph" w:styleId="ListNumber">
    <w:name w:val="List Number"/>
    <w:basedOn w:val="Normal"/>
    <w:uiPriority w:val="9"/>
    <w:qFormat/>
    <w:rsid w:val="007E1815"/>
    <w:pPr>
      <w:numPr>
        <w:numId w:val="1"/>
      </w:numPr>
      <w:contextualSpacing/>
    </w:pPr>
  </w:style>
  <w:style w:type="table" w:styleId="TableProfessional">
    <w:name w:val="Table Professional"/>
    <w:basedOn w:val="TableNormal"/>
    <w:uiPriority w:val="99"/>
    <w:semiHidden/>
    <w:unhideWhenUsed/>
    <w:rsid w:val="007E1815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7E1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81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815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HTML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144C4-E91E-407D-9995-152E3E47A677}"/>
</file>

<file path=customXml/itemProps2.xml><?xml version="1.0" encoding="utf-8"?>
<ds:datastoreItem xmlns:ds="http://schemas.openxmlformats.org/officeDocument/2006/customXml" ds:itemID="{A5560320-A1EF-4003-98F6-9496FABAD861}"/>
</file>

<file path=customXml/itemProps3.xml><?xml version="1.0" encoding="utf-8"?>
<ds:datastoreItem xmlns:ds="http://schemas.openxmlformats.org/officeDocument/2006/customXml" ds:itemID="{15BF85D3-0CD9-4BED-A88B-B213324ACD3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7260</Words>
  <Characters>38697</Characters>
  <Application>Microsoft Office Word</Application>
  <DocSecurity>0</DocSecurity>
  <Lines>899</Lines>
  <Paragraphs>516</Paragraphs>
  <ScaleCrop>false</ScaleCrop>
  <Company>European Banking Authority</Company>
  <LinksUpToDate>false</LinksUpToDate>
  <CharactersWithSpaces>45441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6</cp:revision>
  <dcterms:created xsi:type="dcterms:W3CDTF">2021-03-11T12:04:00Z</dcterms:created>
  <dcterms:modified xsi:type="dcterms:W3CDTF">2024-09-26T14:46:00Z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2217bcf,3d7f9181,3b6d611a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2024-09-26T14:46:14Z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fedb6b11-7bd8-4377-8abd-50858ab043d7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