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XL PIELIKUMS – Norādījumi informācijas atklāšanai par VSP riskiem</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Iestādes atklāj Regulas (ES) Nr. 575/2013 449.a pantā minēto informāciju, ievērojot šajā pielikumā sniegtos norādījumus. Norādījumi jāizmanto, lai aizpildītu EBI IT risinājumu XXXIX pielikumā iekļautās tabulas un veidnes.</w:t>
      </w:r>
    </w:p>
    <w:p w14:paraId="4A061912" w14:textId="77777777" w:rsidR="00183989" w:rsidRPr="00E50FA4" w:rsidRDefault="00183989" w:rsidP="00183989">
      <w:pPr>
        <w:pStyle w:val="NumPar2"/>
        <w:numPr>
          <w:ilvl w:val="0"/>
          <w:numId w:val="11"/>
        </w:numPr>
        <w:ind w:left="567" w:hanging="567"/>
        <w:rPr>
          <w:noProof/>
        </w:rPr>
      </w:pPr>
      <w:r>
        <w:t>Šajos norādījumos šādus terminus saprot šādi:</w:t>
      </w:r>
    </w:p>
    <w:p w14:paraId="66FCA2A6" w14:textId="77777777" w:rsidR="00183989" w:rsidRPr="00E50FA4" w:rsidRDefault="00183989" w:rsidP="00183989">
      <w:pPr>
        <w:pStyle w:val="Point1letter"/>
        <w:tabs>
          <w:tab w:val="clear" w:pos="1417"/>
        </w:tabs>
        <w:ind w:left="1134" w:right="-8"/>
        <w:rPr>
          <w:noProof/>
          <w:szCs w:val="24"/>
        </w:rPr>
      </w:pPr>
      <w:r>
        <w:t>“vides, sociālie vai pārvaldības (VSP) riski” ir zaudējumu risks, ko rada jebkāda tāda negatīva finansiāla ietekme uz iestādi, kura izriet no vides, sociālo vai pārvaldības (VSP) faktoru pašreizējās vai paredzamās ietekmes uz iestādes darījumu partneriem vai ieguldītajiem aktīviem;</w:t>
      </w:r>
    </w:p>
    <w:p w14:paraId="04F8B5B7" w14:textId="77777777" w:rsidR="00183989" w:rsidRPr="00E50FA4" w:rsidRDefault="00183989" w:rsidP="00183989">
      <w:pPr>
        <w:pStyle w:val="Point1letter"/>
        <w:tabs>
          <w:tab w:val="clear" w:pos="1417"/>
        </w:tabs>
        <w:ind w:left="1134" w:right="-8"/>
        <w:rPr>
          <w:noProof/>
          <w:szCs w:val="24"/>
        </w:rPr>
      </w:pPr>
      <w:r>
        <w:t>“vides risks” ir zaudējumu risks, ko rada jebkāda tāda negatīva finansiāla ietekme uz iestādi, kura izriet no vides faktoru pašreizējās vai paredzamās ietekmes uz iestādes darījumu partneriem vai ieguldītajiem aktīviem, tajā skaitā faktori, kas saistīti ar pāreju uz šādiem vides mērķiem:</w:t>
      </w:r>
    </w:p>
    <w:p w14:paraId="545FE72D" w14:textId="77777777" w:rsidR="00183989" w:rsidRPr="00E50FA4" w:rsidRDefault="00183989" w:rsidP="00183989">
      <w:pPr>
        <w:pStyle w:val="Point2number"/>
        <w:numPr>
          <w:ilvl w:val="4"/>
          <w:numId w:val="18"/>
        </w:numPr>
        <w:tabs>
          <w:tab w:val="clear" w:pos="1984"/>
        </w:tabs>
        <w:ind w:left="1701" w:right="-8"/>
        <w:rPr>
          <w:noProof/>
        </w:rPr>
      </w:pPr>
      <w:r>
        <w:t>klimata pārmaiņu mazināšana;</w:t>
      </w:r>
    </w:p>
    <w:p w14:paraId="7E347DF0" w14:textId="77777777" w:rsidR="00183989" w:rsidRPr="00E50FA4" w:rsidRDefault="00183989" w:rsidP="00183989">
      <w:pPr>
        <w:pStyle w:val="Point2number"/>
        <w:numPr>
          <w:ilvl w:val="4"/>
          <w:numId w:val="18"/>
        </w:numPr>
        <w:tabs>
          <w:tab w:val="clear" w:pos="1984"/>
        </w:tabs>
        <w:ind w:left="1701" w:right="-8"/>
        <w:rPr>
          <w:noProof/>
        </w:rPr>
      </w:pPr>
      <w:r>
        <w:t>pielāgošanās klimata pārmaiņām;</w:t>
      </w:r>
    </w:p>
    <w:p w14:paraId="3ED0632A" w14:textId="77777777" w:rsidR="00183989" w:rsidRPr="00E50FA4" w:rsidRDefault="00183989" w:rsidP="00183989">
      <w:pPr>
        <w:pStyle w:val="Point2number"/>
        <w:numPr>
          <w:ilvl w:val="4"/>
          <w:numId w:val="18"/>
        </w:numPr>
        <w:tabs>
          <w:tab w:val="clear" w:pos="1984"/>
        </w:tabs>
        <w:ind w:left="1701" w:right="-8"/>
        <w:rPr>
          <w:noProof/>
        </w:rPr>
      </w:pPr>
      <w:r>
        <w:t>ilgtspējīga ūdens un jūras resursu izmantošana un aizsardzība;</w:t>
      </w:r>
    </w:p>
    <w:p w14:paraId="5B790937" w14:textId="77777777" w:rsidR="00183989" w:rsidRPr="00E50FA4" w:rsidRDefault="00183989" w:rsidP="00183989">
      <w:pPr>
        <w:pStyle w:val="Point2number"/>
        <w:numPr>
          <w:ilvl w:val="4"/>
          <w:numId w:val="18"/>
        </w:numPr>
        <w:tabs>
          <w:tab w:val="clear" w:pos="1984"/>
        </w:tabs>
        <w:ind w:left="1701" w:right="-8"/>
        <w:rPr>
          <w:noProof/>
        </w:rPr>
      </w:pPr>
      <w:r>
        <w:t>pāreja uz aprites ekonomiku;</w:t>
      </w:r>
    </w:p>
    <w:p w14:paraId="4D635D58" w14:textId="77777777" w:rsidR="00183989" w:rsidRPr="00E50FA4" w:rsidRDefault="00183989" w:rsidP="00183989">
      <w:pPr>
        <w:pStyle w:val="Point2number"/>
        <w:numPr>
          <w:ilvl w:val="4"/>
          <w:numId w:val="18"/>
        </w:numPr>
        <w:tabs>
          <w:tab w:val="clear" w:pos="1984"/>
        </w:tabs>
        <w:ind w:left="1701" w:right="-8"/>
        <w:rPr>
          <w:noProof/>
        </w:rPr>
      </w:pPr>
      <w:r>
        <w:t>piesārņojuma novēršana un kontrole;</w:t>
      </w:r>
    </w:p>
    <w:p w14:paraId="7800D50D" w14:textId="77777777" w:rsidR="00183989" w:rsidRPr="00E50FA4" w:rsidRDefault="00183989" w:rsidP="00183989">
      <w:pPr>
        <w:pStyle w:val="Point2number"/>
        <w:numPr>
          <w:ilvl w:val="4"/>
          <w:numId w:val="18"/>
        </w:numPr>
        <w:tabs>
          <w:tab w:val="clear" w:pos="1984"/>
        </w:tabs>
        <w:ind w:left="1701" w:right="-8"/>
        <w:rPr>
          <w:noProof/>
        </w:rPr>
      </w:pPr>
      <w:r>
        <w:t>bioloģiskās daudzveidības un ekosistēmu aizsardzība un atjaunošana.</w:t>
      </w:r>
    </w:p>
    <w:p w14:paraId="52FA5CFE" w14:textId="77777777" w:rsidR="00183989" w:rsidRPr="00E50FA4" w:rsidRDefault="00183989" w:rsidP="00183989">
      <w:pPr>
        <w:pStyle w:val="Point2"/>
        <w:ind w:left="1134" w:right="568" w:firstLine="0"/>
        <w:rPr>
          <w:noProof/>
          <w:szCs w:val="24"/>
        </w:rPr>
      </w:pPr>
      <w:r>
        <w:t>Vides risks ietver gan fizisku risku, gan pārejas risku;</w:t>
      </w:r>
    </w:p>
    <w:p w14:paraId="69CE4D1E" w14:textId="77777777" w:rsidR="00183989" w:rsidRPr="00E50FA4" w:rsidRDefault="00183989" w:rsidP="00183989">
      <w:pPr>
        <w:pStyle w:val="Point1letter"/>
        <w:tabs>
          <w:tab w:val="clear" w:pos="1417"/>
        </w:tabs>
        <w:ind w:left="1134" w:right="-8"/>
        <w:rPr>
          <w:noProof/>
          <w:szCs w:val="24"/>
        </w:rPr>
      </w:pPr>
      <w:r>
        <w:t>“fizisks risks” vispārējā vides riska ietvaros ir zaudējumu risks, ko rada jebkāda tāda negatīva finansiāla ietekme uz iestādi, kura izriet no vides faktoru fizisko seku pašreizējās vai paredzamās ietekmes uz iestādes darījumu partneriem vai ieguldītajiem aktīviem;</w:t>
      </w:r>
    </w:p>
    <w:p w14:paraId="2A7177BA" w14:textId="77777777" w:rsidR="00183989" w:rsidRPr="00E50FA4" w:rsidRDefault="00183989" w:rsidP="00183989">
      <w:pPr>
        <w:pStyle w:val="Point1letter"/>
        <w:tabs>
          <w:tab w:val="clear" w:pos="1417"/>
        </w:tabs>
        <w:ind w:left="1134" w:right="-8"/>
        <w:rPr>
          <w:noProof/>
          <w:szCs w:val="24"/>
        </w:rPr>
      </w:pPr>
      <w:r>
        <w:t>“pārejas risks” vispārējā vides riska ietvaros ir zaudējumu risks, ko rada jebkāda tāda negatīva finansiāla ietekme uz iestādi, kura izriet no pārejas uz vides ziņā ilgtspējīgu ekonomiku pašreizējās vai paredzamās ietekmes uz iestādes darījumu partneriem vai ieguldītajiem aktīviem;</w:t>
      </w:r>
    </w:p>
    <w:p w14:paraId="5E0AEFC3" w14:textId="77777777" w:rsidR="00183989" w:rsidRPr="00E50FA4" w:rsidRDefault="00183989" w:rsidP="00183989">
      <w:pPr>
        <w:pStyle w:val="Point1letter"/>
        <w:tabs>
          <w:tab w:val="clear" w:pos="1417"/>
        </w:tabs>
        <w:ind w:left="1134" w:right="-8"/>
        <w:rPr>
          <w:noProof/>
          <w:szCs w:val="24"/>
        </w:rPr>
      </w:pPr>
      <w:r>
        <w:t>“sociālais risks” ir zaudējumu risks, ko rada jebkāda tāda negatīva finansiāla ietekme uz iestādi, kura izriet no sociālo faktoru pašreizējās vai paredzamās ietekmes uz iestādes darījumu partneriem vai ieguldītajiem aktīviem;</w:t>
      </w:r>
    </w:p>
    <w:p w14:paraId="649CF9D5" w14:textId="77777777" w:rsidR="00183989" w:rsidRPr="00E50FA4" w:rsidRDefault="00183989" w:rsidP="00183989">
      <w:pPr>
        <w:pStyle w:val="Point1letter"/>
        <w:tabs>
          <w:tab w:val="clear" w:pos="1417"/>
        </w:tabs>
        <w:ind w:left="1134" w:right="-8"/>
        <w:rPr>
          <w:noProof/>
        </w:rPr>
      </w:pPr>
      <w:r>
        <w:t>“pārvaldības risks” ir zaudējumu risks, ko rada jebkāda tāda negatīva finansiāla ietekme uz iestādi, kura izriet no pārvaldības faktoru pašreizējās vai paredzamās ietekmes uz iestādes darījumu partneriem vai ieguldītajiem aktīviem.</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Atsauces uz starptautisko un Savienības politikas regulējumu un pieejamajiem kritērijiem šajos norādījumos ietver: Parīzes nolīgumu, kas pieņemts saskaņā ar Apvienoto Nāciju Organizācijas Vispārējo konvenciju par klimata pārmaiņām</w:t>
      </w:r>
      <w:r>
        <w:rPr>
          <w:rFonts w:ascii="Times New Roman" w:hAnsi="Times New Roman"/>
          <w:sz w:val="24"/>
          <w:vertAlign w:val="superscript"/>
        </w:rPr>
        <w:t>*</w:t>
      </w:r>
      <w:r>
        <w:rPr>
          <w:rFonts w:ascii="Times New Roman" w:hAnsi="Times New Roman"/>
          <w:sz w:val="20"/>
          <w:vertAlign w:val="superscript"/>
        </w:rPr>
        <w:t>1</w:t>
      </w:r>
      <w:r>
        <w:rPr>
          <w:rFonts w:ascii="Times New Roman" w:hAnsi="Times New Roman"/>
        </w:rPr>
        <w:t xml:space="preserve"> </w:t>
      </w:r>
      <w:r>
        <w:rPr>
          <w:rFonts w:ascii="Times New Roman" w:hAnsi="Times New Roman"/>
          <w:sz w:val="24"/>
        </w:rPr>
        <w:t>(“Parīzes nolīgums”), Komisijas paziņojumu par Eiropas zaļo kursu</w:t>
      </w:r>
      <w:r>
        <w:rPr>
          <w:rFonts w:ascii="Times New Roman" w:hAnsi="Times New Roman"/>
          <w:sz w:val="24"/>
          <w:vertAlign w:val="superscript"/>
        </w:rPr>
        <w:t>*2</w:t>
      </w:r>
      <w:r>
        <w:rPr>
          <w:rFonts w:ascii="Times New Roman" w:hAnsi="Times New Roman"/>
          <w:sz w:val="24"/>
        </w:rPr>
        <w:t>, Eiropas Parlamenta un Padomes Direktīvu 2013/34/ES</w:t>
      </w:r>
      <w:r>
        <w:rPr>
          <w:rFonts w:ascii="Times New Roman" w:hAnsi="Times New Roman"/>
          <w:sz w:val="24"/>
          <w:vertAlign w:val="superscript"/>
        </w:rPr>
        <w:t>*3</w:t>
      </w:r>
      <w:r>
        <w:rPr>
          <w:rFonts w:ascii="Times New Roman" w:hAnsi="Times New Roman"/>
          <w:sz w:val="24"/>
        </w:rPr>
        <w:t>, Eiropas Parlamenta un Padomes Direktīvu 2014/95/ES</w:t>
      </w:r>
      <w:r>
        <w:rPr>
          <w:rFonts w:ascii="Times New Roman" w:hAnsi="Times New Roman"/>
          <w:sz w:val="24"/>
          <w:vertAlign w:val="superscript"/>
        </w:rPr>
        <w:t>*4</w:t>
      </w:r>
      <w:r>
        <w:rPr>
          <w:rFonts w:ascii="Times New Roman" w:hAnsi="Times New Roman"/>
          <w:sz w:val="24"/>
        </w:rPr>
        <w:t>, Komisijas paziņojumu – Pamatnostādnes par nefinansiālas informācijas sniegšanu: papildinājums par klimatiskās informācijas sniegšanu</w:t>
      </w:r>
      <w:r>
        <w:rPr>
          <w:rFonts w:ascii="Times New Roman" w:hAnsi="Times New Roman"/>
          <w:sz w:val="24"/>
          <w:vertAlign w:val="superscript"/>
        </w:rPr>
        <w:t>*5</w:t>
      </w:r>
      <w:r>
        <w:rPr>
          <w:rFonts w:ascii="Times New Roman" w:hAnsi="Times New Roman"/>
          <w:sz w:val="24"/>
        </w:rPr>
        <w:t xml:space="preserve">, </w:t>
      </w:r>
      <w:r>
        <w:rPr>
          <w:rFonts w:ascii="Times New Roman" w:hAnsi="Times New Roman"/>
          <w:sz w:val="24"/>
        </w:rPr>
        <w:lastRenderedPageBreak/>
        <w:t>norādes, kas darītas pieejamas ar klimatiskās finanšu informācijas izpaušanas darba grupas (</w:t>
      </w:r>
      <w:r>
        <w:rPr>
          <w:rFonts w:ascii="Times New Roman" w:hAnsi="Times New Roman"/>
          <w:i/>
          <w:sz w:val="24"/>
        </w:rPr>
        <w:t>TCFD</w:t>
      </w:r>
      <w:r>
        <w:rPr>
          <w:rFonts w:ascii="Times New Roman" w:hAnsi="Times New Roman"/>
          <w:sz w:val="24"/>
        </w:rPr>
        <w:t>) ieteikumiem</w:t>
      </w:r>
      <w:r>
        <w:rPr>
          <w:rFonts w:ascii="Times New Roman" w:hAnsi="Times New Roman"/>
          <w:sz w:val="24"/>
          <w:vertAlign w:val="superscript"/>
        </w:rPr>
        <w:t>*6</w:t>
      </w:r>
      <w:r>
        <w:rPr>
          <w:rFonts w:ascii="Times New Roman" w:hAnsi="Times New Roman"/>
          <w:sz w:val="24"/>
        </w:rPr>
        <w:t>, Apvienoto Nāciju Organizācijas Vides programmas Finanšu iniciatīvu (</w:t>
      </w:r>
      <w:r>
        <w:rPr>
          <w:rFonts w:ascii="Times New Roman" w:hAnsi="Times New Roman"/>
          <w:i/>
          <w:sz w:val="24"/>
        </w:rPr>
        <w:t>UNEP FI</w:t>
      </w:r>
      <w:r>
        <w:rPr>
          <w:rFonts w:ascii="Times New Roman" w:hAnsi="Times New Roman"/>
          <w:sz w:val="24"/>
        </w:rPr>
        <w:t>)</w:t>
      </w:r>
      <w:r>
        <w:rPr>
          <w:rFonts w:ascii="Times New Roman" w:hAnsi="Times New Roman"/>
          <w:sz w:val="24"/>
          <w:vertAlign w:val="superscript"/>
        </w:rPr>
        <w:t>*7</w:t>
      </w:r>
      <w:r>
        <w:rPr>
          <w:rFonts w:ascii="Times New Roman" w:hAnsi="Times New Roman"/>
          <w:sz w:val="24"/>
        </w:rPr>
        <w:t>, Globālās ziņošanas iniciatīvas ilgtspējas ziņošanas standartus</w:t>
      </w:r>
      <w:r>
        <w:rPr>
          <w:rFonts w:ascii="Times New Roman" w:hAnsi="Times New Roman"/>
          <w:sz w:val="24"/>
          <w:vertAlign w:val="superscript"/>
        </w:rPr>
        <w:t>*8</w:t>
      </w:r>
      <w:r>
        <w:rPr>
          <w:rFonts w:ascii="Times New Roman" w:hAnsi="Times New Roman"/>
          <w:sz w:val="24"/>
        </w:rPr>
        <w:t xml:space="preserve"> un Apvienoto Nāciju Organizācijas atbildīgu investīciju principus (</w:t>
      </w:r>
      <w:r>
        <w:rPr>
          <w:rFonts w:ascii="Times New Roman" w:hAnsi="Times New Roman"/>
          <w:i/>
          <w:sz w:val="24"/>
        </w:rPr>
        <w:t>UNPRI</w:t>
      </w:r>
      <w:r>
        <w:rPr>
          <w:rFonts w:ascii="Times New Roman" w:hAnsi="Times New Roman"/>
          <w:sz w:val="24"/>
        </w:rPr>
        <w:t>)</w:t>
      </w:r>
      <w:r>
        <w:rPr>
          <w:rFonts w:ascii="Times New Roman" w:hAnsi="Times New Roman"/>
          <w:sz w:val="24"/>
          <w:vertAlign w:val="superscript"/>
        </w:rPr>
        <w:t>*9</w:t>
      </w:r>
      <w:r>
        <w:rPr>
          <w:rFonts w:ascii="Times New Roman" w:hAnsi="Times New Roman"/>
          <w:sz w:val="24"/>
        </w:rPr>
        <w:t>.</w:t>
      </w:r>
    </w:p>
    <w:p w14:paraId="4D659D14" w14:textId="77777777" w:rsidR="00183989" w:rsidRPr="00F27EAD"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1. tabula – Kvalitatīva informācija par vides risku.</w:t>
      </w:r>
      <w:r>
        <w:rPr>
          <w:rFonts w:ascii="Times New Roman" w:hAnsi="Times New Roman"/>
          <w:sz w:val="24"/>
        </w:rPr>
        <w:t xml:space="preserve"> Brīva formāta </w:t>
      </w:r>
      <w:proofErr w:type="spellStart"/>
      <w:r>
        <w:rPr>
          <w:rFonts w:ascii="Times New Roman" w:hAnsi="Times New Roman"/>
          <w:sz w:val="24"/>
        </w:rPr>
        <w:t>tekstlogi</w:t>
      </w:r>
      <w:proofErr w:type="spellEnd"/>
      <w:r>
        <w:rPr>
          <w:rFonts w:ascii="Times New Roman" w:hAnsi="Times New Roman"/>
          <w:sz w:val="24"/>
        </w:rPr>
        <w:t xml:space="preserve"> kvalitatīvas informācijas atklāšanai XXXIX pielikumā.</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Iestādes izmanto turpmākos norādījumus, lai aizpildītu šīs regulas XXXIX pielikumā iekļauto 1. tabulu “Kvalitatīva informācija par vides risku” nolūkā aprakstīt vides risku integrēšanu savā uzņēmējdarbības stratēģijā un procesos, pārvaldībā un riska pārvaldībā, tajā skaitā konkrētu informāciju par klimata pārmaiņu riskiem un citiem vides riskiem. Tas attiecas uz Regulas (ES) Nr. 575/2013 449.a pantu, lasot to kopsakarā ar minētās regulas 435. pantu.</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Atsauces uz tiesību aktiem un norādījumi</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Rindas numurs</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Paskaidrojums</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Uzņēmējdarbības stratēģija un procesi</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regulas 435. panta 1. punkta a) un e) apakšpunktu, iestādes sniedz skaidrojumu par to, kā to uzņēmējdarbības modelī, stratēģijā un procesos un to finanšu plānošanā ir integrēti riski, kuri izriet no vides faktoriem (t. i., vides riski), un kā šie riski laika gaitā var mainīties, ņemot vērā mainīgās tehnoloģijas, politikas satvaru, uzņēmējdarbības vidi, ieinteresēto personu vēlmes un izmaiņas pašā fiziskajā vidē.</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Saskaņā ar Regulas (ES) Nr. 575/2013 449.a pantu, lasot to kopsakarā ar minētās regulas 435. panta 1. punkta a) un c)– f) apakšpunktu, iestādes nosaka vides risku novērtēšanas un pārvaldības mērķus, </w:t>
            </w:r>
            <w:proofErr w:type="spellStart"/>
            <w:r>
              <w:rPr>
                <w:rFonts w:ascii="Times New Roman" w:hAnsi="Times New Roman"/>
                <w:sz w:val="24"/>
              </w:rPr>
              <w:t>mērķrādītājus</w:t>
            </w:r>
            <w:proofErr w:type="spellEnd"/>
            <w:r>
              <w:rPr>
                <w:rFonts w:ascii="Times New Roman" w:hAnsi="Times New Roman"/>
                <w:sz w:val="24"/>
              </w:rPr>
              <w:t xml:space="preserve"> un ierobežojumus. Iestādes paskaidro procesus, ko tās izmanto, lai noteiktu minētos mērķus, </w:t>
            </w:r>
            <w:proofErr w:type="spellStart"/>
            <w:r>
              <w:rPr>
                <w:rFonts w:ascii="Times New Roman" w:hAnsi="Times New Roman"/>
                <w:sz w:val="24"/>
              </w:rPr>
              <w:t>mērķrādītājus</w:t>
            </w:r>
            <w:proofErr w:type="spellEnd"/>
            <w:r>
              <w:rPr>
                <w:rFonts w:ascii="Times New Roman" w:hAnsi="Times New Roman"/>
                <w:sz w:val="24"/>
              </w:rPr>
              <w:t xml:space="preserve"> un ierobežojumus.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Iestādēm jāpaskaidro, kā šie mērķi, </w:t>
            </w:r>
            <w:proofErr w:type="spellStart"/>
            <w:r>
              <w:rPr>
                <w:rFonts w:ascii="Times New Roman" w:hAnsi="Times New Roman"/>
                <w:sz w:val="24"/>
              </w:rPr>
              <w:t>mērķrādītāji</w:t>
            </w:r>
            <w:proofErr w:type="spellEnd"/>
            <w:r>
              <w:rPr>
                <w:rFonts w:ascii="Times New Roman" w:hAnsi="Times New Roman"/>
                <w:sz w:val="24"/>
              </w:rPr>
              <w:t xml:space="preserve"> un ierobežojumi ir saistīti ar pašreizējo starptautisko un Savienības politikas satvaru un pieejamajiem etaloniem.</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iestādes sniedz informāciju par saviem pašreizējiem un turpmākajiem (plānotajiem) ieguldījumiem vides ziņā ilgtspējīgās darbībās un darbībās un nozarēs, kas ir saskaņotas ar Regulas (ES) 2020/852 9. pantā noteiktajiem vides mērķiem, tajā skaitā klimata pārmaiņu mērķiem.</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Ja šī informācija ir atkarīga no pašas iestādes pieejas vai ir balstīta uz iestādes iekšējiem darba uzdevumiem, iestādes savā atklātajā informācijā iekļauj aprakstu par šīm pieejām un iekšējiem darba uzdevumiem.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Saskaņā ar Regulas (ES) Nr. 575/2013 449.a pantu, lasot to kopsakarā ar minētās regulas 435. panta 1. punkta d) apakšpunktu, iestādes sniedz </w:t>
            </w:r>
            <w:r>
              <w:rPr>
                <w:rFonts w:ascii="Times New Roman" w:hAnsi="Times New Roman"/>
                <w:sz w:val="24"/>
              </w:rPr>
              <w:lastRenderedPageBreak/>
              <w:t>informāciju par pasākumiem, kas veikti, lai mazinātu ar vides faktoriem saistītos riskus. Iestādēm jāņem vērā darījumu partnera spēja pārvaldīt vides riskus.</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Pārvaldība</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5970EEA9"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w:t>
            </w:r>
            <w:r w:rsidR="00F27EAD">
              <w:rPr>
                <w:rFonts w:ascii="Times New Roman" w:hAnsi="Times New Roman"/>
                <w:sz w:val="24"/>
              </w:rPr>
              <w:t xml:space="preserve"> </w:t>
            </w:r>
            <w:r>
              <w:rPr>
                <w:rFonts w:ascii="Times New Roman" w:hAnsi="Times New Roman"/>
                <w:sz w:val="24"/>
              </w:rPr>
              <w:t>lasot to kopsakarā ar minētās regulas 435. panta 1. punkta b) apakšpunktu un 2. punkta a), b) un c) apakšpunktu, iestādes sniedz informāciju par savas vadības struktūras iesaisti vides risku pārraudzībā un pārvaldībā. Iestādēm jāņem vērā šādu vides risku iespējamie transmisijas kanāli (tajā skaitā fiziskie, pārejas un atbildības riski).</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2. punkta d) apakšpunktu, iestādes sniedz informāciju par to, kā to vadības struktūra riska pārvaldības nolūkā integrē vides risku īstermiņa, vidēja termiņa un ilgtermiņa ietekmi iestādes organizatoriskajā struktūrā. Iestādēm jāpaskaidro, kā šāda īstenošana vadības struktūras līmenī tiek atspoguļota to darbības jomās un iekšējās kontroles funkcijās.</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2. punkta a), b) un c) apakšpunktu, iestādes sniedz informāciju par savu riska komiteju organizāciju un par uzdevumu un pienākumu sadali riska pārvaldības sistēmā attiecībā uz vides risku uzraudzību un pārvaldīšanu, ņemot vērā fiziskā, pārejas un atbildības riska transmisijas kanālus.</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2. punkta e) apakšpunktu, iestādes sniedz informāciju par to, kā tās savā iekšējā pārskatu sniegšanas sistēmā un struktūrā iekļauj vides riskus, kā arī informāciju par to iekšējo pārskatu sniegšanas biežumu un informācijas apmaiņu par šādiem riskiem.</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2. punkta e) apakšpunktu, iestādes sniedz informāciju par to, vai to atalgojuma politikā ir iekļauti vides riski, un par kritērijiem un rādītājiem, ko izmanto, lai noteiktu vides riska apsvērumu ietekmi uz mainīgo atalgojumu.</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F27EAD"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Riska pārvaldība</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Saskaņā ar Regulas (ES) Nr. 575/2013 449.a pantu, lasot to kopsakarā ar minētās regulas 435. panta 1. punkta f) apakšpunktu, iestādes sniedz informāciju par vides faktoru un risku īstermiņa, vidēja termiņa un ilgtermiņa ietekmes integrāciju riska tolerances sistēmā. Iestādes lemj par attiecīgo laikposmu saskaņā ar savu riska profilu un riska darījumiem.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Saskaņā ar Regulas (ES) Nr. 575/2013 449.a pantu, lasot to kopsakarā ar minētās regulas 435. panta 1. punkta a) apakšpunktu, iestādes sniedz informāciju par metodēm, definīcijām un standartiem, ko izmanto, lai </w:t>
            </w:r>
            <w:r>
              <w:rPr>
                <w:rFonts w:ascii="Times New Roman" w:hAnsi="Times New Roman"/>
                <w:sz w:val="24"/>
              </w:rPr>
              <w:lastRenderedPageBreak/>
              <w:t xml:space="preserve">identificētu un pārvaldītu vides faktorus un riskus, kā arī par sistēmu, kas ir minēto standartu, definīciju un metožu pamatā.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paskaidro, kā šādas metodes, definīcijas un standarti ir saistīti ar piemērojamo starptautisko un Savienības politikas regulējumu un pieejamajiem etaloniem.</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1. punkta d) apakšpunktu, iestādes atklāj:</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procesus, ar kuriem iestāde identificē un uzrauga savas darbības un riska darījumus, kas ir jutīgi un neaizsargāti pret vides riskiem, tajā skaitā jebkādus kustamus un nekustamus aktīvus, kas saistīti ar šādām darbībām un riska darījumiem;</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procesus, ar kuriem iestāde identificē un uzrauga vides riskus, kas ir finansiāli būtiski vai pašlaik nav būtiski, bet ar iespējamību kļūt par būtiskiem nākotnē.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Darbības, riska darījumi un aktīvi, kas ir jutīgi un neaizsargāti pret vides riskiem, ietver darbības, riska darījumus un aktīvus saistībā ar lauksaimniecību, zivsaimniecību, mežsaimniecību, enerģētikas nozari apvienojumā ar to ģeogrāfisko atrašanās vietu, paļaušanos uz ūdeni vai citiem vides faktoriem un riskiem, kas var būt neaizsargāti pret dažādiem faktoriem, tajā skaitā plūdiem, sausumu, ugunsgrēkiem un bioloģiskās daudzveidības zudumu. Tie ietver arī darījumu partnera darījumu koncentrāciju apdraudētās zonās, un uzskata, ka tie aptver visu darījumu partnera vērtības ķēdi.</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Atklājot šajā punktā minēto informāciju, iestādes norāda būtiskumu (tajā skaitā dubulto būtiskumu), kas jāsaprot tādā nozīmē, kā noteikts Eiropas Parlamenta un Padomes Direktīvas 2013/36/ES</w:t>
            </w:r>
            <w:r>
              <w:rPr>
                <w:rFonts w:ascii="Times New Roman" w:hAnsi="Times New Roman"/>
                <w:sz w:val="24"/>
                <w:vertAlign w:val="superscript"/>
              </w:rPr>
              <w:t>*10</w:t>
            </w:r>
            <w:r>
              <w:rPr>
                <w:rFonts w:ascii="Times New Roman" w:hAnsi="Times New Roman"/>
                <w:sz w:val="24"/>
              </w:rPr>
              <w:t xml:space="preserve"> 98. panta 8. punktā minētajā ziņojumā, un aptver riska darījumu dzīves ciklu, tajā skaitā aizdevuma iniciēšanu apvienojumā ar darījumu partnera kredītspējas novērtējumu un uzraudzību.</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paskaidro, cik lielā mērā šāds novērtējums aptver attiecīgos transmisijas kanālus, tajā skaitā i) </w:t>
            </w:r>
            <w:proofErr w:type="spellStart"/>
            <w:r>
              <w:rPr>
                <w:rFonts w:ascii="Times New Roman" w:hAnsi="Times New Roman"/>
                <w:sz w:val="24"/>
              </w:rPr>
              <w:t>pelnītspējas</w:t>
            </w:r>
            <w:proofErr w:type="spellEnd"/>
            <w:r>
              <w:rPr>
                <w:rFonts w:ascii="Times New Roman" w:hAnsi="Times New Roman"/>
                <w:sz w:val="24"/>
              </w:rPr>
              <w:t xml:space="preserve"> samazināšanos, ii) nekustamā īpašuma vērtības kritumu, mājsaimniecību bagātības samazināšanos, iii) aktīvu snieguma pasliktināšanos, iv) atbilstības nodrošināšanas izmaksu pieaugumu un v) juridisko izmaksu pieaugumu.</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kas neidentificē vides riskus kā būtiskus, paskaidro un pamato, kāpēc tas tā ir, un apraksta metodes, ko tās izmantojušas, lai nonāktu pie šāda secinājuma.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1. punkta d) apakšpunktu, iestādes sniedz informāciju par darbībām, saistībām un riska darījumiem, ko tās īstenojušas, lai mazinātu vides riskus.</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metodes, ko tās izmanto, lai identificētu riska mazināšanas pasākumus un darbības. Turklāt tās sniedz informāciju par to, cik lielā mērā minētās darbības, saistības un riska darījumi nosaka attiecīgos transmisijas kanālus, tajā skaitā i) zemāku </w:t>
            </w:r>
            <w:proofErr w:type="spellStart"/>
            <w:r>
              <w:rPr>
                <w:rFonts w:ascii="Times New Roman" w:hAnsi="Times New Roman"/>
                <w:sz w:val="24"/>
              </w:rPr>
              <w:t>pelnītspēju</w:t>
            </w:r>
            <w:proofErr w:type="spellEnd"/>
            <w:r>
              <w:rPr>
                <w:rFonts w:ascii="Times New Roman" w:hAnsi="Times New Roman"/>
                <w:sz w:val="24"/>
              </w:rPr>
              <w:t xml:space="preserve">, ii) zemāku nekustamā īpašuma vērtību, mazāku mājsaimniecību bagātību, iii) sliktāku aktīvu sniegumu, </w:t>
            </w:r>
            <w:r>
              <w:rPr>
                <w:rFonts w:ascii="Times New Roman" w:hAnsi="Times New Roman"/>
                <w:sz w:val="24"/>
              </w:rPr>
              <w:lastRenderedPageBreak/>
              <w:t>iv) atbilstības nodrošināšanas izmaksu pieaugumu un v) juridisko izmaksu pieaugumu.</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1. punkta a) un f) apakšpunktu, iestādes sniedz informāciju par īstenošanas instrumentiem, ko tās izmanto, lai identificētu un pārvaldītu vides riskus. Šādi instrumenti ietver stresa testus, jutīguma analīzi vai citus uz nākotni vērstus rādītājus, ko piemēro riska darījumu līmenī, portfeļa līmenī, darījumu partnera līmenī vai nozaru līmenī atkarībā no riska būtiskuma.</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Atklātajā informācijā norāda pieņēmumus un metodes, kas ir attiecīgo īstenošanas instrumentu pamatā. Iestādes arī norāda laikposmu, kas izmantots vides risku novērtēšanai, pamatojoties uz uzskaites un </w:t>
            </w:r>
            <w:proofErr w:type="spellStart"/>
            <w:r>
              <w:rPr>
                <w:rFonts w:ascii="Times New Roman" w:hAnsi="Times New Roman"/>
                <w:sz w:val="24"/>
              </w:rPr>
              <w:t>prudenciāliem</w:t>
            </w:r>
            <w:proofErr w:type="spellEnd"/>
            <w:r>
              <w:rPr>
                <w:rFonts w:ascii="Times New Roman" w:hAnsi="Times New Roman"/>
                <w:sz w:val="24"/>
              </w:rPr>
              <w:t xml:space="preserve"> rādītājiem, t. i., īstermiņa, vidēja termiņa vai ilgtermiņa laikposmu.</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1. punkta a) un f) apakšpunktu, iestādes apraksta saskaņā ar 14. punktu izmantotā riska instrumenta veiktā novērtējuma iznākumu.</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norāda vides riska, tajā skaitā klimata pārmaiņu riska, aplēsto ietekmi uz iestādes maksātspēju, regulatīvā kapitāla prasībām un likviditātes riska profilu iekšējā kapitāla pietiekamības novērtēšanas procesā (</w:t>
            </w:r>
            <w:r>
              <w:rPr>
                <w:rFonts w:ascii="Times New Roman" w:hAnsi="Times New Roman"/>
                <w:i/>
                <w:sz w:val="24"/>
              </w:rPr>
              <w:t>ICAAP</w:t>
            </w:r>
            <w:r>
              <w:rPr>
                <w:rFonts w:ascii="Times New Roman" w:hAnsi="Times New Roman"/>
                <w:sz w:val="24"/>
              </w:rPr>
              <w:t>) un iekšējā likviditātes pietiekamības novērtēšanas procesā (</w:t>
            </w:r>
            <w:r>
              <w:rPr>
                <w:rFonts w:ascii="Times New Roman" w:hAnsi="Times New Roman"/>
                <w:i/>
                <w:sz w:val="24"/>
              </w:rPr>
              <w:t>ILAAP</w:t>
            </w:r>
            <w:r>
              <w:rPr>
                <w:rFonts w:ascii="Times New Roman" w:hAnsi="Times New Roman"/>
                <w:sz w:val="24"/>
              </w:rPr>
              <w:t>).</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iestādes sniedz informāciju par datiem un informāciju, kas tām ir pieejama vides risku pārvaldības nolūkā, galvenajiem datiem un pašlaik trūkstošo informāciju un pasākumiem, kurus tās veic, lai novērstu datu nepilnības un uzlabotu datu kvalitāti un precizitāti.</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1. punkta f) apakšpunktu, iestādes sniedz informāciju par ierobežojumiem, ko tās nosaka projektu finansēšanai vai darījumu partneriem, kuri ievērojami kaitē vides mērķiem saskaņā ar to uzņēmējdarbības stratēģiju.</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Minētie ierobežojumi ietver ierobežojumus, ko iestādes noteikušas iniciēšanas un uzraudzības brīdī, lai izvairītos no vides riskiem vai tos mazinātu, un ierobežojumus, kas norāda, kad konkrēts riska darījums izraisītu korektīvas darbības, turpmāku izmeklēšanu, iekšēju eskalāciju vai izslēgšanu no portfeļa.</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apraksta, kā savā bilancē tās kartē un sasaista vides risku rašanos ar kredītrisku, likviditātes risku, tirgus risku un operacionālo risku.</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Iestādēm jāpaskaidro, kā tās novērtē un pārvalda pārejas uz </w:t>
            </w:r>
            <w:proofErr w:type="spellStart"/>
            <w:r>
              <w:rPr>
                <w:rFonts w:ascii="Times New Roman" w:hAnsi="Times New Roman"/>
                <w:sz w:val="24"/>
              </w:rPr>
              <w:t>mazoglekļa</w:t>
            </w:r>
            <w:proofErr w:type="spellEnd"/>
            <w:r>
              <w:rPr>
                <w:rFonts w:ascii="Times New Roman" w:hAnsi="Times New Roman"/>
                <w:sz w:val="24"/>
              </w:rPr>
              <w:t xml:space="preserve"> un </w:t>
            </w:r>
            <w:proofErr w:type="spellStart"/>
            <w:r>
              <w:rPr>
                <w:rFonts w:ascii="Times New Roman" w:hAnsi="Times New Roman"/>
                <w:sz w:val="24"/>
              </w:rPr>
              <w:t>klimatnoturīgu</w:t>
            </w:r>
            <w:proofErr w:type="spellEnd"/>
            <w:r>
              <w:rPr>
                <w:rFonts w:ascii="Times New Roman" w:hAnsi="Times New Roman"/>
                <w:sz w:val="24"/>
              </w:rPr>
              <w:t xml:space="preserve"> ekonomiku ietekmi uz </w:t>
            </w:r>
            <w:proofErr w:type="spellStart"/>
            <w:r>
              <w:rPr>
                <w:rFonts w:ascii="Times New Roman" w:hAnsi="Times New Roman"/>
                <w:sz w:val="24"/>
              </w:rPr>
              <w:t>prudenciālā</w:t>
            </w:r>
            <w:proofErr w:type="spellEnd"/>
            <w:r>
              <w:rPr>
                <w:rFonts w:ascii="Times New Roman" w:hAnsi="Times New Roman"/>
                <w:sz w:val="24"/>
              </w:rPr>
              <w:t xml:space="preserve"> riska kategorijām, tajā skaitā kredītrisku, likviditātes risku, tirgus risku un operacionālo risku.</w:t>
            </w:r>
          </w:p>
        </w:tc>
      </w:tr>
    </w:tbl>
    <w:p w14:paraId="1A459844" w14:textId="77777777" w:rsidR="00183989" w:rsidRPr="00F27EAD" w:rsidRDefault="00183989" w:rsidP="00183989">
      <w:pPr>
        <w:jc w:val="both"/>
        <w:rPr>
          <w:rFonts w:ascii="Times New Roman" w:hAnsi="Times New Roman" w:cs="Times New Roman"/>
          <w:b/>
          <w:noProof/>
          <w:sz w:val="24"/>
        </w:rPr>
      </w:pPr>
    </w:p>
    <w:p w14:paraId="7AEF1E59" w14:textId="77777777" w:rsidR="00183989" w:rsidRPr="00F27EAD"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lastRenderedPageBreak/>
        <w:t xml:space="preserve">2. tabula – Kvalitatīva informācija par sociālo risku. Brīva formāta </w:t>
      </w:r>
      <w:proofErr w:type="spellStart"/>
      <w:r>
        <w:rPr>
          <w:rFonts w:ascii="Times New Roman" w:hAnsi="Times New Roman"/>
          <w:b/>
          <w:sz w:val="24"/>
        </w:rPr>
        <w:t>tekstlogi</w:t>
      </w:r>
      <w:proofErr w:type="spellEnd"/>
      <w:r>
        <w:rPr>
          <w:rFonts w:ascii="Times New Roman" w:hAnsi="Times New Roman"/>
          <w:b/>
          <w:sz w:val="24"/>
        </w:rPr>
        <w:t xml:space="preserve"> kvalitatīvas informācijas atklāšanai</w:t>
      </w:r>
      <w:r>
        <w:rPr>
          <w:rFonts w:ascii="Times New Roman" w:hAnsi="Times New Roman"/>
          <w:sz w:val="24"/>
        </w:rPr>
        <w:t xml:space="preserve"> XXXVII pielikumā.</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Iestādes izmanto turpmākos norādījumus, lai aizpildītu šīs regulas XXXIX pielikumā iekļauto 2. tabulu “Kvalitatīva informācija par sociālo risku” nolūkā aprakstīt sociālo risku integrāciju savā uzņēmējdarbības stratēģijā un procesos, pārvaldībā un riska pārvaldībā saskaņā ar Regulas (ES) Nr. 575/2013 449.a pantu, lasot to kopsakarā ar minētās regulas 435. pantu.  </w:t>
      </w:r>
    </w:p>
    <w:p w14:paraId="4C6EAE40" w14:textId="77777777" w:rsidR="00183989" w:rsidRPr="00F27EAD"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Atsauces uz tiesību aktiem un norādījumi</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Rindas numurs</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Paskaidrojums</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Uzņēmējdarbības stratēģija un procesi</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1. punkta a) un e) apakšpunktu, iestādes apraksta, kā to uzņēmējdarbības modelī, stratēģijā un procesos un finanšu plānošanā ir integrēti riski, kas izriet no sociāliem faktoriem (t. i., sociālie riski), un kā šie riski laika gaitā mainās, ņemot vērā mainīgās tehnoloģijas, politikas satvaru, uzņēmējdarbības vidi un ieinteresēto personu vēlmes.</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Saskaņā ar Regulas (ES) Nr. 575/2013 449.a pantu, lasot to kopsakarā ar minētās regulas 435. panta 1. punkta a) un c) līdz f) apakšpunktu, iestādes sniedz aprakstu par mērķiem, </w:t>
            </w:r>
            <w:proofErr w:type="spellStart"/>
            <w:r>
              <w:rPr>
                <w:rFonts w:ascii="Times New Roman" w:hAnsi="Times New Roman"/>
                <w:sz w:val="24"/>
              </w:rPr>
              <w:t>mērķrādītājiem</w:t>
            </w:r>
            <w:proofErr w:type="spellEnd"/>
            <w:r>
              <w:rPr>
                <w:rFonts w:ascii="Times New Roman" w:hAnsi="Times New Roman"/>
                <w:sz w:val="24"/>
              </w:rPr>
              <w:t xml:space="preserve"> un ierobežojumiem sociālo risku novērtēšanai un pārvaldībai un to procesu aprakstu, ko tās izmanto minēto mērķu, </w:t>
            </w:r>
            <w:proofErr w:type="spellStart"/>
            <w:r>
              <w:rPr>
                <w:rFonts w:ascii="Times New Roman" w:hAnsi="Times New Roman"/>
                <w:sz w:val="24"/>
              </w:rPr>
              <w:t>mērķrādītāju</w:t>
            </w:r>
            <w:proofErr w:type="spellEnd"/>
            <w:r>
              <w:rPr>
                <w:rFonts w:ascii="Times New Roman" w:hAnsi="Times New Roman"/>
                <w:sz w:val="24"/>
              </w:rPr>
              <w:t xml:space="preserve"> un ierobežojumu noteikšanai.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Iestādēm jāpaskaidro šo mērķu, </w:t>
            </w:r>
            <w:proofErr w:type="spellStart"/>
            <w:r>
              <w:rPr>
                <w:rFonts w:ascii="Times New Roman" w:hAnsi="Times New Roman"/>
                <w:sz w:val="24"/>
              </w:rPr>
              <w:t>mērķrādītāju</w:t>
            </w:r>
            <w:proofErr w:type="spellEnd"/>
            <w:r>
              <w:rPr>
                <w:rFonts w:ascii="Times New Roman" w:hAnsi="Times New Roman"/>
                <w:sz w:val="24"/>
              </w:rPr>
              <w:t xml:space="preserve"> un ierobežojumu saiknes ar piemērojamo starptautisko un Savienības politikas satvaru un pieejamajiem etaloniem.</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Sociālie aspekti ietver cilvēktiesību pārkāpumus, darba tiesības, ienākumu nevienlīdzību, cilvēktiesību neievērošanu, patērētāju drošību un tiesību aizsardzību, privātumu, nabadzību un </w:t>
            </w:r>
            <w:proofErr w:type="spellStart"/>
            <w:r>
              <w:rPr>
                <w:rFonts w:ascii="Times New Roman" w:hAnsi="Times New Roman"/>
                <w:sz w:val="24"/>
              </w:rPr>
              <w:t>nediskrimināciju</w:t>
            </w:r>
            <w:proofErr w:type="spellEnd"/>
            <w:r>
              <w:rPr>
                <w:rFonts w:ascii="Times New Roman" w:hAnsi="Times New Roman"/>
                <w:sz w:val="24"/>
              </w:rPr>
              <w:t xml:space="preserve">. Turklāt klimata pārmaiņām un pārejai uz </w:t>
            </w:r>
            <w:proofErr w:type="spellStart"/>
            <w:r>
              <w:rPr>
                <w:rFonts w:ascii="Times New Roman" w:hAnsi="Times New Roman"/>
                <w:sz w:val="24"/>
              </w:rPr>
              <w:t>mazoglekļa</w:t>
            </w:r>
            <w:proofErr w:type="spellEnd"/>
            <w:r>
              <w:rPr>
                <w:rFonts w:ascii="Times New Roman" w:hAnsi="Times New Roman"/>
                <w:sz w:val="24"/>
              </w:rPr>
              <w:t xml:space="preserve"> ekonomiku ir sociāla ietekme, kas ietver izmaiņas darba tirgū. Tās ietver pieprasījuma samazināšanos pēc konkrētām darbvietām un prasmēm, jaunu darbvietu un prasmju rašanos, patērētāju mainīgās vēlmes, akcionāru vēlmi ātri integrēt klimata, vides un sociālās pārmaiņas savos uzņēmumos, kā izklāstīts saskaņā ar Direktīvas 2013/36/ES 98. panta 8. punktu pieņemtā EBI ziņojuma 78. punktā.</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1. punkta d) apakšpunktu, iestādes apraksta, kā tās veic pasākumus ar sociālajiem faktoriem saistīto risku mazināšanai, tajā skaitā izprot darījumu partneru spēju pārvaldīt sociālos riskus un iesaistās dialogā ar tiem, lai mazinātu sociālos riskus.</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F27EAD"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Pārvaldība</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Saskaņā ar Regulas (ES) Nr. 575/2013 449.a pantu, lasot to kopsakarā ar minētās regulas 435. panta 1. punkta b) apakšpunktu un 2. punkta a), b) un </w:t>
            </w:r>
            <w:r>
              <w:rPr>
                <w:rFonts w:ascii="Times New Roman" w:hAnsi="Times New Roman"/>
                <w:sz w:val="24"/>
              </w:rPr>
              <w:lastRenderedPageBreak/>
              <w:t>c) apakšpunktu, iestādes apraksta, kā to vadības struktūra ir iesaistīta sociālo risku pārraudzībā un pārvaldībā. Minētajā informācijā ietver vadības struktūras izmantotās pieejas pamatojumu un ņem vērā vairākus sociālos faktorus. Šie faktori ietver iestādes iesaistīšanos kopienas un sabiedrības labā, tās attiecības ar darba ņēmējiem un darba standartu ievērošanu, patērētāju tiesību aizsardzību un atbildību par produktiem, kā arī cilvēktiesības.</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2. punkta a), b) un c) apakšpunktu, iestādes apraksta, kā tās organizē savas riska komitejas un kā tās sadala uzdevumus un pienākumus riska pārvaldības sistēmā, lai uzraudzītu un pārvaldītu sociālos riskus.</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Iestādes sniedz informāciju par saviem iekšējiem un ārējiem resursiem, kas paredzēti sociālo risku novērtēšanai.</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2. punkta e) apakšpunktu, iestādes apraksta, kā tās savā iekšējā pārskatu sniegšanas sistēmā un struktūrā iekļauj sociālos riskus, un nosaka to iekšējo pārskatu sniegšanas biežumu un informācijas apmaiņu par sociāliem riskiem.</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2. punkta e) apakšpunktu, iestādes sniedz informāciju par to, vai to atalgojuma politikā ir iekļauti sociālie riski, kā arī par kritērijiem un rādītājiem, ko izmanto, lai noteiktu sociālā riska apsvērumu ietekmi uz mainīgo atalgojumu.</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F27EAD"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Riska pārvaldība</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Saskaņā ar Regulas (ES) Nr. 575/2013 449.a pantu, lasot to kopsakarā minētās regulas 435. panta 1. punkta a) apakšpunktu, iestādes sniedz informāciju par to, kādas metodes, definīcijas un standartus tās izmanto, lai identificētu un pārvaldītu sociālos faktorus un riskus, kā arī par sistēmu, kas ir minēto standartu, definīciju un metožu pamatā.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Iestādēm jāpaskaidro, kā minētās metodes, definīcijas un standarti ir saistīti ar pašreizējo starptautisko un Savienības politikas regulējumu un pieejamajiem etaloniem.</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1. punkta a) apakšpunktu, iestādes sniedz informāciju par procesu, kurā tās identificē un uzrauga savas darbības un riska darījumus, kas ir jutīgi pret sociālajiem riskiem, tajā skaitā ar savu darījumu partneru, ieguldījumu vai aktīvu pārvaldības darbību starpniecību, un tajā skaitā par visiem kustamajiem un nekustamajiem aktīviem, kas saistīti ar minētajām darbībām un riska darījumiem.</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sniedz informāciju par procesu, ar kuru tās identificē un uzrauga sociālos riskus, kas ir finansiāli būtiski vai pašlaik nav būtiski, bet ar iespējamību būt būtiskiem nākotnē.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lastRenderedPageBreak/>
              <w:t>Šādas darbības, riska darījumi un aktīvi, kas ir jutīgi pret sociālajiem riskiem, var būt saistīti ar darījumu partneriem, kuri pārkāpj darba tiesības, cilvēktiesības vai citus sociālos tiesību aktus vai tiesības, kas var radīt juridisku strīdu. Konkrētāk, nozares ar paaugstinātu sociālo risku var ietvert tās, kurās ir migrējoši darba ņēmēji, zems atalgojums, slikti darba standarti vai slikti darba apstākļi, kas negatīvi ietekmē kopienas un kam ir lielākas iespējas tikt pakļautiem publiskai un politiskai kontrolei.</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1. punkta a) apakšpunktu, iestādes sniedz informāciju par darbībām, saistībām un aktīviem, kas tām ir, lai mazinātu sociālos riskus.</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1. punkta a) apakšpunktu, iestādes sniedz informāciju par īstenošanas instrumentiem, ko tās izmanto, lai identificētu un pārvaldītu sociālos riskus. Šādi instrumenti ietver scenāriju analīzi, ko piemēro riska darījumu līmenī, portfeļa līmenī, darījumu partnera līmenī vai nozaru līmenī, un aptver tādus faktorus kā migrācija, demogrāfiskās tendences, darbaspēka pārmaiņas un tehnoloģiskās pārmaiņas.</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Sociālie riski var būt arī patērētāju uzvedības maiņa, ar diskrimināciju un sociālo </w:t>
            </w:r>
            <w:proofErr w:type="spellStart"/>
            <w:r>
              <w:rPr>
                <w:rFonts w:ascii="Times New Roman" w:hAnsi="Times New Roman"/>
                <w:sz w:val="24"/>
              </w:rPr>
              <w:t>iekļautību</w:t>
            </w:r>
            <w:proofErr w:type="spellEnd"/>
            <w:r>
              <w:rPr>
                <w:rFonts w:ascii="Times New Roman" w:hAnsi="Times New Roman"/>
                <w:sz w:val="24"/>
              </w:rPr>
              <w:t xml:space="preserve"> saistīti jautājumi, pieaugošās nevienlīdzības scenāriju analīze, klimata pārmaiņu sociālā ietekme, pielāgošanās klimata pārmaiņām / klimata pārmaiņu mazināšana un vides degradācija.</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sniedz informāciju par pieņēmumiem un metodēm, kas izmantotas, lai veiktu šādu scenāriju analīzi. Iestādes arī norāda laikposmu, kas izmantots sociālā riska novērtēšanai uzskaites un </w:t>
            </w:r>
            <w:proofErr w:type="spellStart"/>
            <w:r>
              <w:rPr>
                <w:rFonts w:ascii="Times New Roman" w:hAnsi="Times New Roman"/>
                <w:sz w:val="24"/>
              </w:rPr>
              <w:t>prudenciālos</w:t>
            </w:r>
            <w:proofErr w:type="spellEnd"/>
            <w:r>
              <w:rPr>
                <w:rFonts w:ascii="Times New Roman" w:hAnsi="Times New Roman"/>
                <w:sz w:val="24"/>
              </w:rPr>
              <w:t xml:space="preserve"> rādītājos, t. i., īstermiņa, vidēja termiņa vai ilgtermiņa laikposmu.</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1. punkta f) apakšpunktu, iestādes sniedz informāciju par ierobežojumiem, ko tās nosaka saistībā ar projektu finansēšanu vai darījumu partneriem, kas ievērojami kaitē to uzņēmējdarbības stratēģijas sociālajiem mērķiem.</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Šie ierobežojumi ietver ierobežojumus, ko iestādes noteikušas iniciēšanas un uzraudzības brīdī, lai izvairītos no sociāliem riskiem vai tos mazinātu, kā arī ierobežojumus, kas norāda, kad konkrēts riska darījums izraisītu turpmāku izmeklēšanu, iekšēju eskalāciju, korektīvas darbības vai izslēgšanu no portfeļa.</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iestādes sniedz informāciju par veidiem, kā tās savā bilancē kartē un sasaista sociālo risku rašanos ar kredītrisku, likviditātes risku, tirgus risku un operacionālo risku.</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Iestādēm jāsniedz informācija par to, kā tās novērtē un pārvalda attiecīgo sociāli kaitīgo notikumu ietekmi uz </w:t>
            </w:r>
            <w:proofErr w:type="spellStart"/>
            <w:r>
              <w:rPr>
                <w:rFonts w:ascii="Times New Roman" w:hAnsi="Times New Roman"/>
                <w:sz w:val="24"/>
              </w:rPr>
              <w:t>prudenciālo</w:t>
            </w:r>
            <w:proofErr w:type="spellEnd"/>
            <w:r>
              <w:rPr>
                <w:rFonts w:ascii="Times New Roman" w:hAnsi="Times New Roman"/>
                <w:sz w:val="24"/>
              </w:rPr>
              <w:t xml:space="preserve"> risku kategorijām, tajā skaitā kredītrisku, likviditātes risku, tirgus risku un operacionālo risku.</w:t>
            </w:r>
          </w:p>
        </w:tc>
      </w:tr>
    </w:tbl>
    <w:p w14:paraId="7BD0A166" w14:textId="77777777" w:rsidR="00183989" w:rsidRPr="00F27EAD"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3. tabula – Kvalitatīva informācija par pārvaldības risku.</w:t>
      </w:r>
      <w:r>
        <w:rPr>
          <w:rFonts w:ascii="Times New Roman" w:hAnsi="Times New Roman"/>
          <w:sz w:val="24"/>
        </w:rPr>
        <w:t xml:space="preserve"> Brīva formāta </w:t>
      </w:r>
      <w:proofErr w:type="spellStart"/>
      <w:r>
        <w:rPr>
          <w:rFonts w:ascii="Times New Roman" w:hAnsi="Times New Roman"/>
          <w:sz w:val="24"/>
        </w:rPr>
        <w:t>tekstlogi</w:t>
      </w:r>
      <w:proofErr w:type="spellEnd"/>
      <w:r>
        <w:rPr>
          <w:rFonts w:ascii="Times New Roman" w:hAnsi="Times New Roman"/>
          <w:sz w:val="24"/>
        </w:rPr>
        <w:t xml:space="preserve"> kvalitatīvas informācijas atklāšanai XXXVII pielikumā.</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lastRenderedPageBreak/>
        <w:t>Iestādes izmanto turpmākos norādījumus, lai aizpildītu šīs regulas XXXIX pielikumā iekļauto 3. tabulu “Kvalitatīva informācija par pārvaldības risku” nolūkā aprakstīt pārvaldības risku integrāciju pārvaldībā un riska pārvaldībā saskaņā ar Regulas (ES) Nr. 575/2013 449.a pantu, lasot to kopsakarā ar minētās regulas 435. pantu.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Atsauces uz tiesību aktiem un norādījumi</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Rindas numurs</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Paskaidrojums</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Pārvaldība</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Saskaņā ar Regulas (ES) Nr. 575/2013 449.a pantu, lasot to kopsakarā ar minētās regulas 435. panta 2. punktu, iestādes sniedz informāciju par to, kā tās darījumu partnera pārvaldības rezultātus integrē savā pārvaldības kārtībā.</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Apsvērumiem par darījumu partnera pārvaldības rezultātiem jāaptver nepieciešamie pasākumi darījumu partnera lēmumu pieņemšanas, pārraudzības un pārvaldības procesos visos līmeņos, tajā skaitā augstākās pārvaldības struktūras komitejās un tajās komitejās, kas atbild par lēmumu pieņemšanu ekonomikas, vides un sociālajā jomā.</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Iestādes paskaidro, kā tās ņem vērā darījumu partnera augstākās pārvaldības struktūras lomu </w:t>
            </w:r>
            <w:proofErr w:type="spellStart"/>
            <w:r>
              <w:rPr>
                <w:rFonts w:ascii="Times New Roman" w:hAnsi="Times New Roman"/>
                <w:sz w:val="24"/>
              </w:rPr>
              <w:t>nefinanšu</w:t>
            </w:r>
            <w:proofErr w:type="spellEnd"/>
            <w:r>
              <w:rPr>
                <w:rFonts w:ascii="Times New Roman" w:hAnsi="Times New Roman"/>
                <w:sz w:val="24"/>
              </w:rPr>
              <w:t xml:space="preserve"> pārskatu sniegšanā, tajā skaitā augstākās komitejas vai funkcionālās pozīcijas, kas oficiāli pārskata un apstiprina organizācijas ilgtspējas ziņojumu un nodrošina, ka ir aptverti visi būtiskie temati.</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Saskaņā ar Regulas (ES) Nr. 575/2013 449.a pantu, lasot to kopsakarā ar minētās regulas 435. panta 2. punktu, iestādes sniedz informāciju par to, kā tās darījumu partneru pārvaldības rezultātus integrē savā pārvaldības kārtībā.</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Apsvērumiem, kas saistīti ar iestādes darījumu partneru pārvaldības rezultātiem, jāietver visi turpmāk minētie aspekti:</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ētiski apsvērumi, tajā skaitā rīcības integritāte, vērtības un ētika, kukuļošanas un korupcijas apkarošanas pasākumi, </w:t>
            </w:r>
            <w:proofErr w:type="spellStart"/>
            <w:r>
              <w:rPr>
                <w:rFonts w:ascii="Times New Roman" w:hAnsi="Times New Roman"/>
                <w:sz w:val="24"/>
              </w:rPr>
              <w:t>pārskatatbildība</w:t>
            </w:r>
            <w:proofErr w:type="spellEnd"/>
            <w:r>
              <w:rPr>
                <w:rFonts w:ascii="Times New Roman" w:hAnsi="Times New Roman"/>
                <w:sz w:val="24"/>
              </w:rPr>
              <w:t xml:space="preserve"> un tiesiskums;</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stratēģijas un riska pārvaldība, tajā skaitā stratēģijas īstenošana, operatīvā izpilde un uzraudzība, iekšējā kontrole un riska pārvaldības politika un procedūras;</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spellStart"/>
            <w:r>
              <w:rPr>
                <w:rFonts w:ascii="Times New Roman" w:hAnsi="Times New Roman"/>
                <w:sz w:val="24"/>
              </w:rPr>
              <w:t>iekļautība</w:t>
            </w:r>
            <w:proofErr w:type="spellEnd"/>
            <w:r>
              <w:rPr>
                <w:rFonts w:ascii="Times New Roman" w:hAnsi="Times New Roman"/>
                <w:sz w:val="24"/>
              </w:rPr>
              <w:t xml:space="preserve">, tajā skaitā dzimumu </w:t>
            </w:r>
            <w:proofErr w:type="spellStart"/>
            <w:r>
              <w:rPr>
                <w:rFonts w:ascii="Times New Roman" w:hAnsi="Times New Roman"/>
                <w:sz w:val="24"/>
              </w:rPr>
              <w:t>nelīdztiesība</w:t>
            </w:r>
            <w:proofErr w:type="spellEnd"/>
            <w:r>
              <w:rPr>
                <w:rFonts w:ascii="Times New Roman" w:hAnsi="Times New Roman"/>
                <w:sz w:val="24"/>
              </w:rPr>
              <w:t xml:space="preserve"> un minoritāšu grupu pārstāvju pārstāvība pārvaldībā, ienākumu nevienlīdzība;</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proofErr w:type="spellStart"/>
            <w:r>
              <w:rPr>
                <w:rFonts w:ascii="Times New Roman" w:hAnsi="Times New Roman"/>
                <w:sz w:val="24"/>
              </w:rPr>
              <w:t>pārredzamība</w:t>
            </w:r>
            <w:proofErr w:type="spellEnd"/>
            <w:r>
              <w:rPr>
                <w:rFonts w:ascii="Times New Roman" w:hAnsi="Times New Roman"/>
                <w:sz w:val="24"/>
              </w:rPr>
              <w:t>, tajā informācijas atklāšana par diskrimināciju, nodokļu saistībām un maksājumiem, informācijas atklāšana par lobēšanas darbībām, kā arī noteikumiem un praksi;</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interešu konfliktu pārvaldība, tajā skaitā procesi augstākajai pārvaldības struktūrai, lai nodrošinātu, ka tiek novērsts, pārvaldīts un mazināts jebkāds interešu konflikts, un</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iekšējā komunikācija par kritiskiem jautājumiem, tajā skaitā par to, kā darbojas darījumu partnera iekšējais process, lai kritiskus jautājumus darītu zināmus augstākajai pārvaldības struktūrai.</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F27EAD"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Riska pārvaldība</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Saskaņā ar Regulas (ES) Nr. 575/2013 449.a pantu, lasot to kopsakarā ar minētās regulas 435. panta 1. punktu, iestādes sniedz informāciju par to, kā tās darījumu partneru pārvaldības rezultātus integrē savā riska pārvaldības kārtībā, ņemot vērā 3. rindā noteiktos aspektus.</w:t>
            </w:r>
          </w:p>
        </w:tc>
      </w:tr>
    </w:tbl>
    <w:p w14:paraId="4ABD82C5" w14:textId="77777777" w:rsidR="00183989" w:rsidRPr="00F27EAD"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1. veidne. Bankas portfelis – iespējamā klimata pārmaiņu pārejas riska rādītāji. </w:t>
      </w:r>
      <w:r>
        <w:rPr>
          <w:rFonts w:ascii="Times New Roman" w:hAnsi="Times New Roman"/>
          <w:sz w:val="24"/>
        </w:rPr>
        <w:t xml:space="preserve">Riska darījumu </w:t>
      </w:r>
      <w:proofErr w:type="spellStart"/>
      <w:r>
        <w:rPr>
          <w:rFonts w:ascii="Times New Roman" w:hAnsi="Times New Roman"/>
          <w:sz w:val="24"/>
        </w:rPr>
        <w:t>kredītkvalitāte</w:t>
      </w:r>
      <w:proofErr w:type="spellEnd"/>
      <w:r>
        <w:rPr>
          <w:rFonts w:ascii="Times New Roman" w:hAnsi="Times New Roman"/>
          <w:sz w:val="24"/>
        </w:rPr>
        <w:t xml:space="preserve"> sadalījumā pa nozarēm, emisijām un atlikušo termiņu. Fiksēts formāts.</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w:t>
      </w:r>
      <w:r>
        <w:rPr>
          <w:rFonts w:ascii="Times New Roman" w:hAnsi="Times New Roman"/>
          <w:color w:val="000000"/>
          <w:sz w:val="24"/>
        </w:rPr>
        <w:t>izmanto turpmākos norādījumus, lai aizpildītu</w:t>
      </w:r>
      <w:r>
        <w:rPr>
          <w:rFonts w:ascii="Times New Roman" w:hAnsi="Times New Roman"/>
          <w:sz w:val="24"/>
        </w:rPr>
        <w:t xml:space="preserve"> </w:t>
      </w:r>
      <w:r>
        <w:rPr>
          <w:rFonts w:ascii="Times New Roman" w:hAnsi="Times New Roman"/>
          <w:color w:val="000000"/>
          <w:sz w:val="24"/>
        </w:rPr>
        <w:t>šīs regulas</w:t>
      </w:r>
      <w:r>
        <w:rPr>
          <w:rFonts w:ascii="Times New Roman" w:hAnsi="Times New Roman"/>
          <w:sz w:val="24"/>
        </w:rPr>
        <w:t xml:space="preserve"> XXXIX pielikumā iekļauto 1. veidni nolūkā sniegt informāciju par riska darījumiem, kas ir vairāk pakļauti riskiem, ar kuriem iestādes var saskarties, pārejot uz </w:t>
      </w:r>
      <w:proofErr w:type="spellStart"/>
      <w:r>
        <w:rPr>
          <w:rFonts w:ascii="Times New Roman" w:hAnsi="Times New Roman"/>
          <w:sz w:val="24"/>
        </w:rPr>
        <w:t>mazoglekļa</w:t>
      </w:r>
      <w:proofErr w:type="spellEnd"/>
      <w:r>
        <w:rPr>
          <w:rFonts w:ascii="Times New Roman" w:hAnsi="Times New Roman"/>
          <w:sz w:val="24"/>
        </w:rPr>
        <w:t xml:space="preserve"> un </w:t>
      </w:r>
      <w:proofErr w:type="spellStart"/>
      <w:r>
        <w:rPr>
          <w:rFonts w:ascii="Times New Roman" w:hAnsi="Times New Roman"/>
          <w:sz w:val="24"/>
        </w:rPr>
        <w:t>klimatnoturīgu</w:t>
      </w:r>
      <w:proofErr w:type="spellEnd"/>
      <w:r>
        <w:rPr>
          <w:rFonts w:ascii="Times New Roman" w:hAnsi="Times New Roman"/>
          <w:sz w:val="24"/>
        </w:rPr>
        <w:t xml:space="preserve"> ekonomiku. Regulas (ES) Nr. 575/2013 449.a panta piemērošanas vajadzībām:</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rPr>
          <w:rFonts w:ascii="Times New Roman" w:hAnsi="Times New Roman"/>
          <w:sz w:val="24"/>
        </w:rPr>
        <w:tab/>
        <w:t xml:space="preserve">iestādes atklāj informāciju par saviem riska darījumiem ar </w:t>
      </w:r>
      <w:proofErr w:type="spellStart"/>
      <w:r>
        <w:rPr>
          <w:rFonts w:ascii="Times New Roman" w:hAnsi="Times New Roman"/>
          <w:sz w:val="24"/>
        </w:rPr>
        <w:t>nefinanšu</w:t>
      </w:r>
      <w:proofErr w:type="spellEnd"/>
      <w:r>
        <w:rPr>
          <w:rFonts w:ascii="Times New Roman" w:hAnsi="Times New Roman"/>
          <w:sz w:val="24"/>
        </w:rPr>
        <w:t xml:space="preserve"> sabiedrībām, kas darbojas ar oglekli saistītās nozarēs, un par šo riska darījumu kvalitāti, tajā skaitā par ienākumus nenesošiem, 2. pakāpē klasificētiem darījumiem un saistītajiem uzkrājumiem, kā arī termiņu grupām;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rPr>
          <w:rFonts w:ascii="Times New Roman" w:hAnsi="Times New Roman"/>
          <w:sz w:val="24"/>
        </w:rPr>
        <w:tab/>
        <w:t>iestādes sāk atklāt informāciju par savu darījumu partneru 1., 2. un 3. pakāpes emisijām, ja tā jau ir pieejama, tajā skaitā kvalitatīvu informāciju šai veidnei pievienotajā aprakstā par metodiku un avotiem, kas izmantoti minēto emisiju aprēķināšanai. Ja iestādes vēl neaplēš par darījumu partneru emisijas, kas saistītas ar to finansēšanas darbībām, tajā skaitā aizdevumu un ieguldījumu darbībām, tās atklāj informāciju par plāniem īstenot metodiku šīs informācijas aplēsēm un atklāšanai. Iestādes sāk atklāt informāciju veidnes i)–k) aile ar pirmo informācijas atklāšanas atsauces datumu 2024. gada 30. jūnijā.</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Veidnei pievienotajā aprakstā iestādes iekļauj paskaidrojumus par atklāto informāciju un izmaiņām salīdzinājumā ar iepriekšējiem informācijas atklāšanas periodiem, kā arī par jebkādu ietekmi, kāda šiem riska darījumiem var būt attiecībā uz iestāžu kredītrisku, tirgus, operacionālo, reputācijas un likviditātes risku.</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veidnes rindās iekļauj bruto uzskaites vērtības sadalījumu tādiem aizdevumiem un avansiem, parāda vērtspapīriem un kapitāla vērtspapīru instrumentiem </w:t>
      </w:r>
      <w:proofErr w:type="spellStart"/>
      <w:r>
        <w:rPr>
          <w:rFonts w:ascii="Times New Roman" w:hAnsi="Times New Roman"/>
          <w:sz w:val="24"/>
        </w:rPr>
        <w:t>nefinanšu</w:t>
      </w:r>
      <w:proofErr w:type="spellEnd"/>
      <w:r>
        <w:rPr>
          <w:rFonts w:ascii="Times New Roman" w:hAnsi="Times New Roman"/>
          <w:sz w:val="24"/>
        </w:rPr>
        <w:t xml:space="preserve"> sabiedrībām, kas nav tirdzniecības nolūkā turēti, pa saimnieciskās darbības nozarēm, izmantojot saimniecisko darbību nomenklatūras (</w:t>
      </w:r>
      <w:r>
        <w:rPr>
          <w:rFonts w:ascii="Times New Roman" w:hAnsi="Times New Roman"/>
          <w:i/>
          <w:sz w:val="24"/>
        </w:rPr>
        <w:t>NACE</w:t>
      </w:r>
      <w:r>
        <w:rPr>
          <w:rFonts w:ascii="Times New Roman" w:hAnsi="Times New Roman"/>
          <w:sz w:val="24"/>
        </w:rPr>
        <w:t>) kodus, kas noteikti Eiropas Parlamenta un Padomes Regulā (EK) Nr. 1893/2006</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pamatojoties uz darījumu partnera pamatdarbību. Tās ietver arī starpsummas, kas apkopo bruto uzskaites vērtību riska darījumiem ar nozarēm un </w:t>
      </w:r>
      <w:proofErr w:type="spellStart"/>
      <w:r>
        <w:rPr>
          <w:rFonts w:ascii="Times New Roman" w:hAnsi="Times New Roman"/>
          <w:sz w:val="24"/>
        </w:rPr>
        <w:t>apakšnozarēm</w:t>
      </w:r>
      <w:proofErr w:type="spellEnd"/>
      <w:r>
        <w:rPr>
          <w:rFonts w:ascii="Times New Roman" w:hAnsi="Times New Roman"/>
          <w:sz w:val="24"/>
        </w:rPr>
        <w:t>, kuras būtiski veicina klimata pārmaiņas. Konkrētāk, izdara atsauci uz nozarēm, kas uzskaitītas Regulas (EK) Nr. 1893/2006 I pielikuma A–H un L iedaļā un kas ietver naftas, gāzes, ieguves un transporta nozares kā nozares, kuras būtiski veicina klimata pārmaiņas, kā norādīts Komisijas Deleģētās regulas (ES) 2020/1818</w:t>
      </w:r>
      <w:r>
        <w:rPr>
          <w:rFonts w:ascii="Times New Roman" w:hAnsi="Times New Roman"/>
          <w:sz w:val="24"/>
          <w:vertAlign w:val="superscript"/>
        </w:rPr>
        <w:t>*12</w:t>
      </w:r>
      <w:r>
        <w:rPr>
          <w:rFonts w:ascii="Times New Roman" w:hAnsi="Times New Roman"/>
          <w:sz w:val="24"/>
        </w:rPr>
        <w:t xml:space="preserve"> 6. apsvērumā, un starpsummu riska darījumiem ar “citām nozarēm”, kas nav norādītas minētajā apsvērumā.</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 xml:space="preserve">Darījumu partnera </w:t>
      </w:r>
      <w:r>
        <w:rPr>
          <w:rFonts w:ascii="Times New Roman" w:hAnsi="Times New Roman"/>
          <w:i/>
          <w:sz w:val="24"/>
        </w:rPr>
        <w:t>NACE</w:t>
      </w:r>
      <w:r>
        <w:rPr>
          <w:rFonts w:ascii="Times New Roman" w:hAnsi="Times New Roman"/>
          <w:sz w:val="24"/>
        </w:rPr>
        <w:t xml:space="preserve"> nozaru iedalījumu balsta uz tiešā darījumu partnera veidu.</w:t>
      </w:r>
      <w:r>
        <w:t xml:space="preserve"> </w:t>
      </w:r>
      <w:r>
        <w:rPr>
          <w:rFonts w:ascii="Times New Roman" w:hAnsi="Times New Roman"/>
          <w:sz w:val="24"/>
        </w:rPr>
        <w:t xml:space="preserve">Ja iestādes darījumu partneris ir </w:t>
      </w:r>
      <w:proofErr w:type="spellStart"/>
      <w:r>
        <w:rPr>
          <w:rFonts w:ascii="Times New Roman" w:hAnsi="Times New Roman"/>
          <w:sz w:val="24"/>
        </w:rPr>
        <w:t>pārvaldītājsabiedrība</w:t>
      </w:r>
      <w:proofErr w:type="spellEnd"/>
      <w:r>
        <w:rPr>
          <w:rFonts w:ascii="Times New Roman" w:hAnsi="Times New Roman"/>
          <w:sz w:val="24"/>
        </w:rPr>
        <w:t xml:space="preserve">, iestādes ņem vērā </w:t>
      </w:r>
      <w:proofErr w:type="spellStart"/>
      <w:r>
        <w:rPr>
          <w:rFonts w:ascii="Times New Roman" w:hAnsi="Times New Roman"/>
          <w:sz w:val="24"/>
        </w:rPr>
        <w:t>pārvaldītājsabiedrības</w:t>
      </w:r>
      <w:proofErr w:type="spellEnd"/>
      <w:r>
        <w:rPr>
          <w:rFonts w:ascii="Times New Roman" w:hAnsi="Times New Roman"/>
          <w:sz w:val="24"/>
        </w:rPr>
        <w:t xml:space="preserve"> konkrētā parādnieka (ja tā nav </w:t>
      </w:r>
      <w:proofErr w:type="spellStart"/>
      <w:r>
        <w:rPr>
          <w:rFonts w:ascii="Times New Roman" w:hAnsi="Times New Roman"/>
          <w:sz w:val="24"/>
        </w:rPr>
        <w:t>pārvaldītājsabiedrība</w:t>
      </w:r>
      <w:proofErr w:type="spellEnd"/>
      <w:r>
        <w:rPr>
          <w:rFonts w:ascii="Times New Roman" w:hAnsi="Times New Roman"/>
          <w:sz w:val="24"/>
        </w:rPr>
        <w:t xml:space="preserve">) </w:t>
      </w:r>
      <w:r>
        <w:rPr>
          <w:rFonts w:ascii="Times New Roman" w:hAnsi="Times New Roman"/>
          <w:i/>
          <w:sz w:val="24"/>
        </w:rPr>
        <w:t>NACE</w:t>
      </w:r>
      <w:r>
        <w:rPr>
          <w:rFonts w:ascii="Times New Roman" w:hAnsi="Times New Roman"/>
          <w:sz w:val="24"/>
        </w:rPr>
        <w:t xml:space="preserve"> nozari, kas saņem finansējumu (t. i., attiecīgās </w:t>
      </w:r>
      <w:proofErr w:type="spellStart"/>
      <w:r>
        <w:rPr>
          <w:rFonts w:ascii="Times New Roman" w:hAnsi="Times New Roman"/>
          <w:sz w:val="24"/>
        </w:rPr>
        <w:t>pārvaldītājsabiedrības</w:t>
      </w:r>
      <w:proofErr w:type="spellEnd"/>
      <w:r>
        <w:rPr>
          <w:rFonts w:ascii="Times New Roman" w:hAnsi="Times New Roman"/>
          <w:sz w:val="24"/>
        </w:rPr>
        <w:t xml:space="preserve"> konkrēto meitasuzņēmumu), nevis </w:t>
      </w:r>
      <w:proofErr w:type="spellStart"/>
      <w:r>
        <w:rPr>
          <w:rFonts w:ascii="Times New Roman" w:hAnsi="Times New Roman"/>
          <w:sz w:val="24"/>
        </w:rPr>
        <w:t>pārvaldītājsabiedrības</w:t>
      </w:r>
      <w:proofErr w:type="spellEnd"/>
      <w:r>
        <w:rPr>
          <w:rFonts w:ascii="Times New Roman" w:hAnsi="Times New Roman"/>
          <w:sz w:val="24"/>
        </w:rPr>
        <w:t xml:space="preserve"> nozari, jo īpaši gadījumos, kad parādnieks, kurš saņem finansējumu, ir </w:t>
      </w:r>
      <w:proofErr w:type="spellStart"/>
      <w:r>
        <w:rPr>
          <w:rFonts w:ascii="Times New Roman" w:hAnsi="Times New Roman"/>
          <w:sz w:val="24"/>
        </w:rPr>
        <w:t>nefinanšu</w:t>
      </w:r>
      <w:proofErr w:type="spellEnd"/>
      <w:r>
        <w:rPr>
          <w:rFonts w:ascii="Times New Roman" w:hAnsi="Times New Roman"/>
          <w:sz w:val="24"/>
        </w:rPr>
        <w:t xml:space="preserve"> sabiedrība. Līdzīgi, ja iestādes tiešais darījumu partneris (parādnieks) ir īpašam nolūkam dibināta sabiedrība (</w:t>
      </w:r>
      <w:r>
        <w:rPr>
          <w:rFonts w:ascii="Times New Roman" w:hAnsi="Times New Roman"/>
          <w:i/>
          <w:sz w:val="24"/>
        </w:rPr>
        <w:t>SPV</w:t>
      </w:r>
      <w:r>
        <w:rPr>
          <w:rFonts w:ascii="Times New Roman" w:hAnsi="Times New Roman"/>
          <w:sz w:val="24"/>
        </w:rPr>
        <w:t xml:space="preserve">), iestādes atklāj attiecīgo informāciju par </w:t>
      </w:r>
      <w:r>
        <w:rPr>
          <w:rFonts w:ascii="Times New Roman" w:hAnsi="Times New Roman"/>
          <w:i/>
          <w:sz w:val="24"/>
        </w:rPr>
        <w:t>NACE</w:t>
      </w:r>
      <w:r>
        <w:rPr>
          <w:rFonts w:ascii="Times New Roman" w:hAnsi="Times New Roman"/>
          <w:sz w:val="24"/>
        </w:rPr>
        <w:t xml:space="preserve"> nozari, kas saistīta ar </w:t>
      </w:r>
      <w:r>
        <w:rPr>
          <w:rFonts w:ascii="Times New Roman" w:hAnsi="Times New Roman"/>
          <w:i/>
          <w:sz w:val="24"/>
        </w:rPr>
        <w:t>SPV</w:t>
      </w:r>
      <w:r>
        <w:rPr>
          <w:rFonts w:ascii="Times New Roman" w:hAnsi="Times New Roman"/>
          <w:sz w:val="24"/>
        </w:rPr>
        <w:t xml:space="preserve"> </w:t>
      </w:r>
      <w:proofErr w:type="spellStart"/>
      <w:r>
        <w:rPr>
          <w:rFonts w:ascii="Times New Roman" w:hAnsi="Times New Roman"/>
          <w:sz w:val="24"/>
        </w:rPr>
        <w:t>mātesuzņēmuma</w:t>
      </w:r>
      <w:proofErr w:type="spellEnd"/>
      <w:r>
        <w:rPr>
          <w:rFonts w:ascii="Times New Roman" w:hAnsi="Times New Roman"/>
          <w:sz w:val="24"/>
        </w:rPr>
        <w:t xml:space="preserve"> saimniecisko darbību. Klasificējot kopīgus riska darījumus, kuros ir vairāk nekā viens parādnieks, balstās uz tā parādnieka iezīmēm, kurš iestādei darījuma noslēgšanā bija būtiskākais vai noteicošais. Kopīgi radušos riska darījumu sadalījumu pa </w:t>
      </w:r>
      <w:r>
        <w:rPr>
          <w:rFonts w:ascii="Times New Roman" w:hAnsi="Times New Roman"/>
          <w:i/>
          <w:sz w:val="24"/>
        </w:rPr>
        <w:t>NACE</w:t>
      </w:r>
      <w:r>
        <w:rPr>
          <w:rFonts w:ascii="Times New Roman" w:hAnsi="Times New Roman"/>
          <w:sz w:val="24"/>
        </w:rPr>
        <w:t xml:space="preserve"> kodiem nosaka būtiskākā vai </w:t>
      </w:r>
      <w:r>
        <w:rPr>
          <w:rFonts w:ascii="Times New Roman" w:hAnsi="Times New Roman"/>
          <w:sz w:val="24"/>
        </w:rPr>
        <w:lastRenderedPageBreak/>
        <w:t xml:space="preserve">noteicošā parādnieka iezīmes. Iestādes atklāj informāciju pa </w:t>
      </w:r>
      <w:r>
        <w:rPr>
          <w:rFonts w:ascii="Times New Roman" w:hAnsi="Times New Roman"/>
          <w:i/>
          <w:sz w:val="24"/>
        </w:rPr>
        <w:t>NACE</w:t>
      </w:r>
      <w:r>
        <w:rPr>
          <w:rFonts w:ascii="Times New Roman" w:hAnsi="Times New Roman"/>
          <w:sz w:val="24"/>
        </w:rPr>
        <w:t xml:space="preserve"> kodiem saskaņā ar veidnes rindās prasīto granularitātes līmeni.</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Ailes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Norādījumi</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Kopējā bruto uzskaites vērtība</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 xml:space="preserve">Iestādes atklāj Īstenošanas regulas (ES) 2021/451 V pielikuma 1. daļā minēto bruto uzskaites vērtību minētajiem riska darījumiem ar </w:t>
            </w:r>
            <w:proofErr w:type="spellStart"/>
            <w:r>
              <w:rPr>
                <w:rFonts w:ascii="Times New Roman" w:hAnsi="Times New Roman"/>
                <w:sz w:val="24"/>
              </w:rPr>
              <w:t>nefinanšu</w:t>
            </w:r>
            <w:proofErr w:type="spellEnd"/>
            <w:r>
              <w:rPr>
                <w:rFonts w:ascii="Times New Roman" w:hAnsi="Times New Roman"/>
                <w:sz w:val="24"/>
              </w:rPr>
              <w:t xml:space="preserve"> sabiedrībām, tajā skaitā aizdevumiem un avansiem, parāda vērtspapīriem un pašu kapitāla instrumentiem, kas klasificēti uzskaites portfeļos bankas portfelī saskaņā ar minēto īstenošanas regulu, izņemot tirdzniecības nolūkā turētus finanšu aktīvus vai pārdošanai turētus aktīvus.</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riska darījumi ar uzņēmumiem, kas izslēgti no Parīzes nolīgumam pielāgotiem ES etaloniem</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to riska darījumu ar darījumu partneriem bruto uzskaites vērtību, kuri ir izslēgti no Parīzes nolīgumam pielāgotiem ES etaloniem, kā noteikts Deleģētās regulas (ES) 2020/1818 12. panta 1. punkta d)–g) apakšpunktā un 2. punktā.</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vides ziņā ilgtspējīgi (</w:t>
            </w:r>
            <w:r>
              <w:rPr>
                <w:rFonts w:ascii="Times New Roman" w:hAnsi="Times New Roman"/>
                <w:b/>
                <w:i/>
                <w:sz w:val="24"/>
                <w:u w:val="single"/>
              </w:rPr>
              <w:t>CCM</w:t>
            </w:r>
            <w:r>
              <w:rPr>
                <w:rFonts w:ascii="Times New Roman" w:hAnsi="Times New Roman"/>
                <w:b/>
                <w:sz w:val="24"/>
                <w:u w:val="single"/>
              </w:rPr>
              <w:t>)</w:t>
            </w:r>
          </w:p>
          <w:p w14:paraId="3835363F" w14:textId="77777777" w:rsidR="00183989" w:rsidRPr="00E50FA4" w:rsidRDefault="00183989" w:rsidP="00D0691F">
            <w:pPr>
              <w:spacing w:before="120" w:after="120"/>
              <w:jc w:val="both"/>
              <w:rPr>
                <w:bCs/>
                <w:noProof/>
              </w:rPr>
            </w:pPr>
            <w:r>
              <w:rPr>
                <w:rFonts w:ascii="Times New Roman" w:hAnsi="Times New Roman"/>
                <w:sz w:val="24"/>
              </w:rPr>
              <w:t>Iestādes atklāj riska darījumus, kas uzskatāmi par vides ziņā ilgtspējīgiem, jo tās ir finansēšanas darbības, kas sekmē vai veicina klimata pārmaiņu mazināšanas vides mērķi saskaņā ar Regulas (ES) 2020/852 10. un 16. pantu, kā atklāts šīs regulas XXXIX pielikuma 7. veidnē.</w:t>
            </w:r>
          </w:p>
          <w:p w14:paraId="6C6EE831" w14:textId="77777777" w:rsidR="00183989" w:rsidRPr="00E50FA4" w:rsidRDefault="00183989" w:rsidP="00D0691F">
            <w:pPr>
              <w:pStyle w:val="Fait"/>
              <w:spacing w:after="120"/>
              <w:rPr>
                <w:noProof/>
              </w:rPr>
            </w:pPr>
            <w:r>
              <w:t xml:space="preserve">Iestādes sāk atklāt minēto informāciju 2024. gadā ar pirmo informācijas atklāšanas atsauces datumu 2023. gada 31. decembrī attiecībā uz riska darījumiem, kas iekļauti zaļo aktīvu koeficienta (ZAK) skaitītājā. </w:t>
            </w:r>
          </w:p>
          <w:p w14:paraId="75CE7E22" w14:textId="77777777" w:rsidR="00183989" w:rsidRPr="00E50FA4" w:rsidRDefault="00183989" w:rsidP="00D0691F">
            <w:pPr>
              <w:pStyle w:val="Fait"/>
              <w:spacing w:after="120"/>
              <w:rPr>
                <w:noProof/>
              </w:rPr>
            </w:pPr>
            <w:r>
              <w:t xml:space="preserve">Iestādes var sākt atklāt minēto informāciju 2025. gadā ar pirmo informācijas atklāšanas atsauces datumu 2024. gada 31. decembrī attiecībā uz riska darījumiem, kas iekļauti portfeļa atbilstības </w:t>
            </w:r>
            <w:proofErr w:type="spellStart"/>
            <w:r>
              <w:t>taksonomijai</w:t>
            </w:r>
            <w:proofErr w:type="spellEnd"/>
            <w:r>
              <w:t xml:space="preserve"> koeficienta (</w:t>
            </w:r>
            <w:r>
              <w:rPr>
                <w:i/>
              </w:rPr>
              <w:t>BTAR</w:t>
            </w:r>
            <w:r>
              <w:t>) skaitītājā, bet ne ZAK skaitītājā.</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2. pakāpe</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kas piemēro starptautiskos finanšu pārskatu standartus (SFPS), atklāj “2. pakāpē” klasificēto instrumentu bruto uzskaites vērtību, kā minēts 9. SFPS.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Ailes “T. sk. 2. pakāpe” neaizpilda iestādes, kas piemēro valsts vispārpieņemtos grāmatvedības principus, pamatojoties uz Padomes Direktīvu 86/635/EEK</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ienākumus nenesoši riska darījumi</w:t>
            </w:r>
          </w:p>
          <w:p w14:paraId="102B58BE" w14:textId="77777777" w:rsidR="00183989" w:rsidRPr="00E50FA4" w:rsidRDefault="00183989" w:rsidP="00D0691F">
            <w:pPr>
              <w:pStyle w:val="Fait"/>
              <w:spacing w:before="0" w:after="120"/>
              <w:rPr>
                <w:b/>
                <w:noProof/>
                <w:u w:val="single"/>
              </w:rPr>
            </w:pPr>
            <w:r>
              <w:t>Iestādes atklāj Regulas (ES) Nr. 575/2013 47.a panta 3. punktā definētos ienākumus nenesošos riska darījumus.</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Uzkrātais vērtības samazinājums, patiesās vērtības uzkrātās negatīvās izmaiņas kredītriska rezultātā un uzkrājumi</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Iestādes atklāj summas, kas noteiktas Īstenošanas regulas (ES) 2021/451 </w:t>
            </w:r>
            <w:r>
              <w:rPr>
                <w:rFonts w:ascii="Times New Roman" w:hAnsi="Times New Roman"/>
                <w:sz w:val="24"/>
              </w:rPr>
              <w:lastRenderedPageBreak/>
              <w:t>V pielikuma 2. daļas 11., 69., 70., 71., 106. un 110. punktā.</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2. pakāpe</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2. pakāpes riska darījumu uzkrāto vērtības samazinājuma summu.</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Iestādēm, kas piemēro SFPS, jāatklāj “2. pakāpē” klasificēto instrumentu bruto uzskaites vērtība, kā noteikts 9. SFPS.</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Ailes “T. sk. 2. pakāpe” neaizpilda iestādes, kas piemēro valsts vispārpieņemtos grāmatvedības principus, pamatojoties uz Direktīvu 86/635/EEK.</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ienākumus nenesoši riska darījumi</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Iestādes atklāj Regulas (ES) Nr. 575/2013 47.a panta 3. punktā minētos ienākumus nenesošos riska darījumus.</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SEG finansētās emisijas (darījuma partnera 1., 2. un 3. pakāpes emisijas) (CO</w:t>
            </w:r>
            <w:r>
              <w:rPr>
                <w:rFonts w:ascii="Times New Roman" w:hAnsi="Times New Roman"/>
                <w:b/>
                <w:sz w:val="24"/>
                <w:u w:val="single"/>
                <w:vertAlign w:val="subscript"/>
              </w:rPr>
              <w:t>2</w:t>
            </w:r>
            <w:r>
              <w:rPr>
                <w:rFonts w:ascii="Times New Roman" w:hAnsi="Times New Roman"/>
                <w:b/>
                <w:sz w:val="24"/>
                <w:u w:val="single"/>
              </w:rPr>
              <w:t xml:space="preserve"> ekvivalenta tonnās)</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Ja informācija ir pieejama, iestādes i) ailē atklāj aplēses par to 3. pakāpes SEG emisiju apjomu CO</w:t>
            </w:r>
            <w:r>
              <w:rPr>
                <w:rFonts w:ascii="Times New Roman" w:hAnsi="Times New Roman"/>
                <w:sz w:val="24"/>
                <w:vertAlign w:val="subscript"/>
              </w:rPr>
              <w:t>2</w:t>
            </w:r>
            <w:r>
              <w:rPr>
                <w:rFonts w:ascii="Times New Roman" w:hAnsi="Times New Roman"/>
                <w:sz w:val="24"/>
              </w:rPr>
              <w:t xml:space="preserve"> tonnās (TCO</w:t>
            </w:r>
            <w:r>
              <w:rPr>
                <w:rFonts w:ascii="Times New Roman" w:hAnsi="Times New Roman"/>
                <w:sz w:val="24"/>
                <w:vertAlign w:val="subscript"/>
              </w:rPr>
              <w:t>2</w:t>
            </w:r>
            <w:r>
              <w:rPr>
                <w:rFonts w:ascii="Times New Roman" w:hAnsi="Times New Roman"/>
                <w:sz w:val="24"/>
              </w:rPr>
              <w:t xml:space="preserve">). Informācijas atklāšana aptver visas nozares un </w:t>
            </w:r>
            <w:proofErr w:type="spellStart"/>
            <w:r>
              <w:rPr>
                <w:rFonts w:ascii="Times New Roman" w:hAnsi="Times New Roman"/>
                <w:sz w:val="24"/>
              </w:rPr>
              <w:t>apakšnozares</w:t>
            </w:r>
            <w:proofErr w:type="spellEnd"/>
            <w:r>
              <w:rPr>
                <w:rFonts w:ascii="Times New Roman" w:hAnsi="Times New Roman"/>
                <w:sz w:val="24"/>
              </w:rPr>
              <w:t xml:space="preserve">, kas būtiski veicina klimata pārmaiņas, tajā skaitā naftas, gāzes, ieguves un transporta nozares, kā norādīts Deleģētās regulas (ES) 2020/1818 6. apsvērumā, kuras iekļautas veidnes 2.–52. rindā.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Iestādes 3. pakāpes emisiju aplēsi balsta uz to informāciju par emisijām, kas savākta no to darījumu partneriem, un uz informāciju par nozares vidējo emisiju intensitāti. Uzņēmumu oglekļa emisiju aprēķināšanas metodes ietver finanšu nozares globālo SEG uzskaites un ziņošanas standartu, ko izstrādājusi </w:t>
            </w:r>
            <w:proofErr w:type="spellStart"/>
            <w:r>
              <w:rPr>
                <w:rFonts w:ascii="Times New Roman" w:hAnsi="Times New Roman"/>
                <w:i/>
                <w:sz w:val="24"/>
              </w:rPr>
              <w:t>Partnership</w:t>
            </w:r>
            <w:proofErr w:type="spellEnd"/>
            <w:r>
              <w:rPr>
                <w:rFonts w:ascii="Times New Roman" w:hAnsi="Times New Roman"/>
                <w:i/>
                <w:sz w:val="24"/>
              </w:rPr>
              <w:t xml:space="preserve"> </w:t>
            </w:r>
            <w:proofErr w:type="spellStart"/>
            <w:r>
              <w:rPr>
                <w:rFonts w:ascii="Times New Roman" w:hAnsi="Times New Roman"/>
                <w:i/>
                <w:sz w:val="24"/>
              </w:rPr>
              <w:t>for</w:t>
            </w:r>
            <w:proofErr w:type="spellEnd"/>
            <w:r>
              <w:rPr>
                <w:rFonts w:ascii="Times New Roman" w:hAnsi="Times New Roman"/>
                <w:i/>
                <w:sz w:val="24"/>
              </w:rPr>
              <w:t xml:space="preserve"> </w:t>
            </w:r>
            <w:proofErr w:type="spellStart"/>
            <w:r>
              <w:rPr>
                <w:rFonts w:ascii="Times New Roman" w:hAnsi="Times New Roman"/>
                <w:i/>
                <w:sz w:val="24"/>
              </w:rPr>
              <w:t>Carbon</w:t>
            </w:r>
            <w:proofErr w:type="spellEnd"/>
            <w:r>
              <w:rPr>
                <w:rFonts w:ascii="Times New Roman" w:hAnsi="Times New Roman"/>
                <w:i/>
                <w:sz w:val="24"/>
              </w:rPr>
              <w:t xml:space="preserve"> </w:t>
            </w:r>
            <w:proofErr w:type="spellStart"/>
            <w:r>
              <w:rPr>
                <w:rFonts w:ascii="Times New Roman" w:hAnsi="Times New Roman"/>
                <w:i/>
                <w:sz w:val="24"/>
              </w:rPr>
              <w:t>Accounting</w:t>
            </w:r>
            <w:proofErr w:type="spellEnd"/>
            <w:r>
              <w:rPr>
                <w:rFonts w:ascii="Times New Roman" w:hAnsi="Times New Roman"/>
                <w:i/>
                <w:sz w:val="24"/>
              </w:rPr>
              <w:t xml:space="preserve"> </w:t>
            </w:r>
            <w:proofErr w:type="spellStart"/>
            <w:r>
              <w:rPr>
                <w:rFonts w:ascii="Times New Roman" w:hAnsi="Times New Roman"/>
                <w:i/>
                <w:sz w:val="24"/>
              </w:rPr>
              <w:t>Financials</w:t>
            </w:r>
            <w:proofErr w:type="spellEnd"/>
            <w:r>
              <w:rPr>
                <w:rFonts w:ascii="Times New Roman" w:hAnsi="Times New Roman"/>
                <w:sz w:val="24"/>
                <w:vertAlign w:val="superscript"/>
              </w:rPr>
              <w:t>*14</w:t>
            </w:r>
            <w:r>
              <w:rPr>
                <w:rFonts w:ascii="Times New Roman" w:hAnsi="Times New Roman"/>
                <w:sz w:val="24"/>
              </w:rPr>
              <w:t xml:space="preserve"> (</w:t>
            </w:r>
            <w:r>
              <w:rPr>
                <w:rFonts w:ascii="Times New Roman" w:hAnsi="Times New Roman"/>
                <w:i/>
                <w:sz w:val="24"/>
              </w:rPr>
              <w:t>PCAF</w:t>
            </w:r>
            <w:r>
              <w:rPr>
                <w:rFonts w:ascii="Times New Roman" w:hAnsi="Times New Roman"/>
                <w:sz w:val="24"/>
              </w:rPr>
              <w:t>, kas īpaši nozīmīga FSP klimatiskās finanšu informācijas izpaušanas darba grupai (</w:t>
            </w:r>
            <w:r>
              <w:rPr>
                <w:rFonts w:ascii="Times New Roman" w:hAnsi="Times New Roman"/>
                <w:i/>
                <w:sz w:val="24"/>
              </w:rPr>
              <w:t>TCFD</w:t>
            </w:r>
            <w:r>
              <w:rPr>
                <w:rFonts w:ascii="Times New Roman" w:hAnsi="Times New Roman"/>
                <w:sz w:val="24"/>
              </w:rPr>
              <w:t>)), vai Oglekļa informācijas atklāšanas projekts</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Iestādes proporcionāli aplēš 3. pakāpes emisijas pa nozarēm, tajā skaitā ņemot vērā savus riska darījumus (aizdevumi un avansi, parāda vērtspapīri un kapitāla vērtspapīru turējumi) ar darījumu partneri salīdzinājumā ar darījumu partnera kopējām saistībām (grāmatvedības saistības un akcionāru pašu kapitāls).</w:t>
            </w:r>
            <w:bookmarkEnd w:id="10"/>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Veidnei pievienotajā apraksta daļā iestādes sniedz detalizētus skaidrojumus par izmantotajiem datu avotiem un metodiku, ko tās ir piemērojušas, lai aplēstu 3. pakāpes SEG emisijas. Iestādes konkrēti paskaidro, vai tās atklāj kādu no šādiem aspektiem:</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paziņotās emisijas (emisiju datus apkopo tieši no aizņēmēja vai ieguldījumu saņēmēja uzņēmuma);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uz fizisko aktivitāti balstītās emisijas (emisijas aplēš ziņojošā finanšu iestāde, pamatojoties uz datiem par primāro fizisko aktivitāti, kas savākti no aizņēmēja vai ieguldījumu saņēmēja);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uz saimniecisko darbību balstītās emisijas (emisijas aplēš ziņojošā finanšu iestāde, pamatojoties uz saimnieciskās darbības datiem, kas savākti no aizņēmēja vai ieguldījumu saņēmēja).</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 xml:space="preserve">Ja iestādes vēl neaplēš darījumu partneru emisijas, kas saistītas ar to </w:t>
            </w:r>
            <w:r>
              <w:rPr>
                <w:rFonts w:ascii="Times New Roman" w:hAnsi="Times New Roman"/>
                <w:sz w:val="24"/>
              </w:rPr>
              <w:lastRenderedPageBreak/>
              <w:t>finansēšanas darbībām, tajā skaitā aizdevumu un ieguldījumu darbībām, tās atklāj informāciju par plāniem īstenot metodes minētās informācijas aplēsei. Iestādes atklāj informāciju veidnes i), j) un k) ailē ar pirmo informācijas atklāšanas atsauces datumu 2024. gada 30. jūnijā.</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var nolemt sākt šīs informācijas atklāšanu agrāk, t. i., ar pirmo informācijas atklāšanas atsauces datumu 2022. gada 31. decembrī.</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3. pakāpes finansētās emisijas</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Iestādes atklāj savu darījumu partneru 3. pakāpes emisijas, kas saistītas ar iestāžu aizdevumu un ieguldījumu darbībām. Ja iestādes vēl neaplēš 3. pakāpes emisijas, tās atstāj j) aili neaizpildītu, un veidnei pievienotajā apraksta daļā tās atklāj savus plānus īstenot metodes, lai aplēstu un atklātu minēto informāciju.</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Iestādes atklāj 3. pakāpes emisijas pēc iespējas labāk, aptverot visbūtiskākās nozares saskaņā ar </w:t>
            </w:r>
            <w:r>
              <w:rPr>
                <w:rFonts w:ascii="Times New Roman" w:hAnsi="Times New Roman"/>
                <w:i/>
                <w:color w:val="auto"/>
                <w:sz w:val="24"/>
              </w:rPr>
              <w:t>PCAF</w:t>
            </w:r>
            <w:r>
              <w:rPr>
                <w:rFonts w:ascii="Times New Roman" w:hAnsi="Times New Roman"/>
                <w:color w:val="auto"/>
                <w:sz w:val="24"/>
              </w:rPr>
              <w:t xml:space="preserve"> pieeju un pakāpeniskās iekļaušanas pieeju attiecībā uz 3. pakāpes emisijām, kas ietvertas Deleģētās regulas (ES) 2020/1818 5. pantā.</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Iestādes atklāj informāciju par darījumu partnera 3. pakāpes emisijām attiecībā uz visām veidnē iekļautajām nozarēm ar pirmo atsauces datumu</w:t>
            </w:r>
            <w:r>
              <w:rPr>
                <w:rFonts w:ascii="Times New Roman" w:hAnsi="Times New Roman"/>
                <w:sz w:val="24"/>
              </w:rPr>
              <w:t xml:space="preserve"> 2024. gada 30. jūnijā.</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Attiecībā uz nozarēm, kurās pastāv datu un metodikas problēmas, iestādes ievēro siltumnīcefekta gāzu protokolu un tā 15 posmus – gan augšupējos, gan lejupējos.</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Saskaņā ar </w:t>
            </w:r>
            <w:r>
              <w:rPr>
                <w:rFonts w:ascii="Times New Roman" w:hAnsi="Times New Roman"/>
                <w:i/>
                <w:sz w:val="24"/>
              </w:rPr>
              <w:t>TCFD</w:t>
            </w:r>
            <w:r>
              <w:rPr>
                <w:rFonts w:ascii="Times New Roman" w:hAnsi="Times New Roman"/>
                <w:sz w:val="24"/>
              </w:rPr>
              <w:t xml:space="preserve"> norādījumiem par rādītājiem un </w:t>
            </w:r>
            <w:proofErr w:type="spellStart"/>
            <w:r>
              <w:rPr>
                <w:rFonts w:ascii="Times New Roman" w:hAnsi="Times New Roman"/>
                <w:sz w:val="24"/>
              </w:rPr>
              <w:t>mērķrādītājiem</w:t>
            </w:r>
            <w:proofErr w:type="spellEnd"/>
            <w:r>
              <w:rPr>
                <w:rFonts w:ascii="Times New Roman" w:hAnsi="Times New Roman"/>
                <w:sz w:val="24"/>
              </w:rPr>
              <w:t xml:space="preserve"> iestādes nodrošina </w:t>
            </w:r>
            <w:proofErr w:type="spellStart"/>
            <w:r>
              <w:rPr>
                <w:rFonts w:ascii="Times New Roman" w:hAnsi="Times New Roman"/>
                <w:sz w:val="24"/>
              </w:rPr>
              <w:t>pārredzamību</w:t>
            </w:r>
            <w:proofErr w:type="spellEnd"/>
            <w:r>
              <w:rPr>
                <w:rFonts w:ascii="Times New Roman" w:hAnsi="Times New Roman"/>
                <w:sz w:val="24"/>
              </w:rPr>
              <w:t xml:space="preserve"> attiecībā uz problēmām vākt šāda veida informāciju un pēc iespējas izvairās no dubultas uzskaites.</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Iestādes sāk atklāt informāciju veidnes j) ailē ar pirmo informācijas atklāšanas atsauces datumu 2024. gada 30. jūnijā.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Iestādes var nolemt sākt šīs informācijas atklāšanu agrāk, t. i., ar pirmo informācijas atklāšanas atsauces datumu 2022. gada 31. decembrī.</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SEG emisijas (i) aile): portfeļa bruto uzskaites vērtības procentuālā daļa, kas izriet no uzņēmuma konkrētiem pārskatiem</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norāda portfeļa procentuālo daļu (riska darījumu bruto uzskaites vērtība), par kuru tās ir spējušas aplēst darījumu partneru 1., 2. un 3. pakāpes emisijas, kas saistītas ar iestāžu aizdevumu un ieguldījumu darbībām, pamatojoties uz informāciju, ko atklājuši to darījumu partneri vai kas iestādei paziņota divpusēji.</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gadi; &gt; 5 gadi &lt;= 10 gadi; &gt; 10 gadi &lt;= 20 gadi; &gt; 20 gadi; Vidējais svērtais termiņš</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Iestādes iedala riska darījumus attiecīgajā grupā atkarībā no finanšu instrumenta atlikušā termiņa, ņemot vērā šādus aspektus:</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ja summu atmaksā pa daļām, riska darījumu iekļauj termiņa grupā atbilstīgi pēdējam maksājumam;</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 xml:space="preserve">b) ja riska darījumam nav noteikts termiņš citu iemeslu dēļ, izņemot to, ka darījumu partneris izvēlas atmaksas datumu, vai attiecībā uz līdzdalību </w:t>
            </w:r>
            <w:r>
              <w:rPr>
                <w:rFonts w:ascii="Times New Roman" w:hAnsi="Times New Roman"/>
                <w:sz w:val="24"/>
              </w:rPr>
              <w:lastRenderedPageBreak/>
              <w:t>kapitālā, šā riska darījuma summu atklāj lielākajā termiņu grupā “&gt; 20 gadi”;</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lai aprēķinātu riska darījumu vidējo termiņu, iestādes katra riska darījuma termiņu vērtē pēc riska darījumu bruto uzskaites vērtības.</w:t>
            </w:r>
          </w:p>
        </w:tc>
      </w:tr>
    </w:tbl>
    <w:p w14:paraId="386F8D8E" w14:textId="77777777" w:rsidR="00183989" w:rsidRPr="00F27EAD"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2. veidne. Bankas portfelis – iespējamā klimata pārmaiņu pārejas riska rādītāji: ar nekustamo īpašumu nodrošināti aizdevumi – nodrošinājuma energoefektivitāte. Fiksēts formāts.</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Iestādes izmanto turpmākos norādījumus, lai atklātu informāciju, kas prasīta 2. veidnē “Bankas portfelis – iespējamā klimata pārmaiņu pārejas riska rādītāji: ar nekustamo īpašumu nodrošināti aizdevumi – nodrošinājuma energoefektivitāte”, kā noteikts šīs regulas XXXIX pielikumā.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Eiropas Parlamenta un Padomes Direktīva 2010/31/ES</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un Eiropas Parlamenta un Padomes Direktīva 2012/27/ES</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veicina politiku, kuras mērķis ir līdz 2050. gadam panākt augstu ēku fonda energoefektivitātes un dekarbonizācijas pakāpi. Ar Direktīvu 2010/31/ES tika ieviesti energoefektivitātes sertifikāti (</w:t>
      </w:r>
      <w:r>
        <w:rPr>
          <w:rFonts w:ascii="Times New Roman" w:hAnsi="Times New Roman"/>
          <w:i/>
          <w:sz w:val="24"/>
        </w:rPr>
        <w:t>EPC</w:t>
      </w:r>
      <w:r>
        <w:rPr>
          <w:rFonts w:ascii="Times New Roman" w:hAnsi="Times New Roman"/>
          <w:sz w:val="24"/>
        </w:rPr>
        <w:t>) kā instrumenti ēku energoefektivitātes uzlabošanai. Minētie sertifikāti ir dalībvalsts vai tās izraudzītas juridiskas personas atzīti sertifikāti, kurā norādīta ēkas vai ēkas daļas energoefektivitāte, kas aprēķināta saskaņā ar minēto direktīvu.</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Šajā veidnē ir norādīta ar komerciālo un mājokļa nekustamo īpašumu nodrošināto aizdevumu un atgūto nekustamā īpašuma nodrošinājumu bruto uzskaites vērtība, kā minēts Īstenošanas regulas (ES) 2021/451 V pielikuma 1. daļā, tajā skaitā informācija par nodrošinājuma energoefektivitātes līmeni, kas izteikts </w:t>
      </w:r>
      <w:proofErr w:type="spellStart"/>
      <w:r>
        <w:rPr>
          <w:rFonts w:ascii="Times New Roman" w:hAnsi="Times New Roman"/>
          <w:sz w:val="24"/>
        </w:rPr>
        <w:t>kWh</w:t>
      </w:r>
      <w:proofErr w:type="spellEnd"/>
      <w:r>
        <w:rPr>
          <w:rFonts w:ascii="Times New Roman" w:hAnsi="Times New Roman"/>
          <w:sz w:val="24"/>
        </w:rPr>
        <w:t>/m² enerģijas patēriņa izteiksmē (veidnes b)–g) aile), nodrošinājuma energoefektivitātes sertifikāta (</w:t>
      </w:r>
      <w:r>
        <w:rPr>
          <w:rFonts w:ascii="Times New Roman" w:hAnsi="Times New Roman"/>
          <w:i/>
          <w:sz w:val="24"/>
        </w:rPr>
        <w:t>EPC</w:t>
      </w:r>
      <w:r>
        <w:rPr>
          <w:rFonts w:ascii="Times New Roman" w:hAnsi="Times New Roman"/>
          <w:sz w:val="24"/>
        </w:rPr>
        <w:t xml:space="preserve">) marķējuma izteiksmē, kā minēts Direktīvas 2010/31/ES 2. panta 12. punktā attiecībā uz dalībvalstīm vai kā definēts jebkurā attiecīgā vietējā regulējumā attiecībā uz riska darījumiem ārpus Savienības, ja marķējums ir pielīdzināts Savienības </w:t>
      </w:r>
      <w:r>
        <w:rPr>
          <w:rFonts w:ascii="Times New Roman" w:hAnsi="Times New Roman"/>
          <w:i/>
          <w:sz w:val="24"/>
        </w:rPr>
        <w:t>EPC</w:t>
      </w:r>
      <w:r>
        <w:rPr>
          <w:rFonts w:ascii="Times New Roman" w:hAnsi="Times New Roman"/>
          <w:sz w:val="24"/>
        </w:rPr>
        <w:t xml:space="preserve"> marķējumam (h)–n) aile).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Konkrētāk, b)–g) ailē iestādes atklāj riska darījumu bruto uzskaites vērtību pa energoefektivitātes grupām, pamatojoties uz nodrošinājuma konkrēto enerģijas patēriņu </w:t>
      </w:r>
      <w:proofErr w:type="spellStart"/>
      <w:r>
        <w:rPr>
          <w:rFonts w:ascii="Times New Roman" w:hAnsi="Times New Roman"/>
          <w:sz w:val="24"/>
        </w:rPr>
        <w:t>kWh</w:t>
      </w:r>
      <w:proofErr w:type="spellEnd"/>
      <w:r>
        <w:rPr>
          <w:rFonts w:ascii="Times New Roman" w:hAnsi="Times New Roman"/>
          <w:sz w:val="24"/>
        </w:rPr>
        <w:t>/m</w:t>
      </w:r>
      <w:r>
        <w:rPr>
          <w:rFonts w:ascii="Times New Roman" w:hAnsi="Times New Roman"/>
          <w:sz w:val="24"/>
          <w:vertAlign w:val="superscript"/>
        </w:rPr>
        <w:t>2</w:t>
      </w:r>
      <w:r>
        <w:rPr>
          <w:rFonts w:ascii="Times New Roman" w:hAnsi="Times New Roman"/>
          <w:sz w:val="24"/>
        </w:rPr>
        <w:t xml:space="preserve">, kā norādīts nodrošinājuma </w:t>
      </w:r>
      <w:r>
        <w:rPr>
          <w:rFonts w:ascii="Times New Roman" w:hAnsi="Times New Roman"/>
          <w:i/>
          <w:sz w:val="24"/>
        </w:rPr>
        <w:t>EPC</w:t>
      </w:r>
      <w:r>
        <w:rPr>
          <w:rFonts w:ascii="Times New Roman" w:hAnsi="Times New Roman"/>
          <w:sz w:val="24"/>
        </w:rPr>
        <w:t xml:space="preserve"> marķējumā vai ko iestādes aplēš, ja nav </w:t>
      </w:r>
      <w:r>
        <w:rPr>
          <w:rFonts w:ascii="Times New Roman" w:hAnsi="Times New Roman"/>
          <w:i/>
          <w:sz w:val="24"/>
        </w:rPr>
        <w:t>EPC</w:t>
      </w:r>
      <w:r>
        <w:rPr>
          <w:rFonts w:ascii="Times New Roman" w:hAnsi="Times New Roman"/>
          <w:sz w:val="24"/>
        </w:rPr>
        <w:t xml:space="preserve"> marķējuma. Iestādes veidnes 5. un 10. rindā norāda, cik lielā mērā šie dati ir aplēsti un nav balstīti uz </w:t>
      </w:r>
      <w:r>
        <w:rPr>
          <w:rFonts w:ascii="Times New Roman" w:hAnsi="Times New Roman"/>
          <w:i/>
          <w:sz w:val="24"/>
        </w:rPr>
        <w:t>EPC</w:t>
      </w:r>
      <w:r>
        <w:rPr>
          <w:rFonts w:ascii="Times New Roman" w:hAnsi="Times New Roman"/>
          <w:sz w:val="24"/>
        </w:rPr>
        <w:t xml:space="preserve"> marķējumiem. h)–n) ailē iestādes atklāj to riska darījumu bruto uzskaites vērtību, kas sagrupēti pēc nodrošinājuma </w:t>
      </w:r>
      <w:r>
        <w:rPr>
          <w:rFonts w:ascii="Times New Roman" w:hAnsi="Times New Roman"/>
          <w:i/>
          <w:sz w:val="24"/>
        </w:rPr>
        <w:t>EPC</w:t>
      </w:r>
      <w:r>
        <w:rPr>
          <w:rFonts w:ascii="Times New Roman" w:hAnsi="Times New Roman"/>
          <w:sz w:val="24"/>
        </w:rPr>
        <w:t xml:space="preserve"> marķējuma attiecībā uz tiem nodrošinājumiem, par kuriem iestādei ir pieejams </w:t>
      </w:r>
      <w:r>
        <w:rPr>
          <w:rFonts w:ascii="Times New Roman" w:hAnsi="Times New Roman"/>
          <w:i/>
          <w:sz w:val="24"/>
        </w:rPr>
        <w:t>EPC</w:t>
      </w:r>
      <w:r>
        <w:rPr>
          <w:rFonts w:ascii="Times New Roman" w:hAnsi="Times New Roman"/>
          <w:sz w:val="24"/>
        </w:rPr>
        <w:t xml:space="preserve">.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Atklājot nodrošinājuma </w:t>
      </w:r>
      <w:r>
        <w:rPr>
          <w:rFonts w:ascii="Times New Roman" w:hAnsi="Times New Roman"/>
          <w:i/>
          <w:sz w:val="24"/>
        </w:rPr>
        <w:t>EPC</w:t>
      </w:r>
      <w:r>
        <w:rPr>
          <w:rFonts w:ascii="Times New Roman" w:hAnsi="Times New Roman"/>
          <w:sz w:val="24"/>
        </w:rPr>
        <w:t xml:space="preserve"> sadalījumu, iestādes o) ailē atsevišķi atklāj tos riska darījumus, par kuriem tām nav nodrošinājuma </w:t>
      </w:r>
      <w:r>
        <w:rPr>
          <w:rFonts w:ascii="Times New Roman" w:hAnsi="Times New Roman"/>
          <w:i/>
          <w:sz w:val="24"/>
        </w:rPr>
        <w:t>EPC</w:t>
      </w:r>
      <w:r>
        <w:rPr>
          <w:rFonts w:ascii="Times New Roman" w:hAnsi="Times New Roman"/>
          <w:sz w:val="24"/>
        </w:rPr>
        <w:t xml:space="preserve"> informācijas. Ja iestādēm nav </w:t>
      </w:r>
      <w:r>
        <w:rPr>
          <w:rFonts w:ascii="Times New Roman" w:hAnsi="Times New Roman"/>
          <w:i/>
          <w:sz w:val="24"/>
        </w:rPr>
        <w:t>EPC</w:t>
      </w:r>
      <w:r>
        <w:rPr>
          <w:rFonts w:ascii="Times New Roman" w:hAnsi="Times New Roman"/>
          <w:sz w:val="24"/>
        </w:rPr>
        <w:t xml:space="preserve"> informācijas, bet tās izmanto iekšējos aprēķinus, lai aplēstu nodrošinājuma energoefektivitāti, iestādēm jāatklāj to riska darījumu procentuālā daļa bez nodrošinājuma </w:t>
      </w:r>
      <w:r>
        <w:rPr>
          <w:rFonts w:ascii="Times New Roman" w:hAnsi="Times New Roman"/>
          <w:i/>
          <w:sz w:val="24"/>
        </w:rPr>
        <w:t>EPC</w:t>
      </w:r>
      <w:r>
        <w:rPr>
          <w:rFonts w:ascii="Times New Roman" w:hAnsi="Times New Roman"/>
          <w:sz w:val="24"/>
        </w:rPr>
        <w:t xml:space="preserve"> marķējuma, par kuriem tās sniedz aplēses (procentuālā daļa jāaprēķina, pamatojoties uz riska darījumu bruto uzskaites vērtību). Iestādes atklāj kopējās bruto uzskaites vērtības pēc enerģijas patēriņa līmeņa un </w:t>
      </w:r>
      <w:r>
        <w:rPr>
          <w:rFonts w:ascii="Times New Roman" w:hAnsi="Times New Roman"/>
          <w:i/>
          <w:sz w:val="24"/>
        </w:rPr>
        <w:t>EPC</w:t>
      </w:r>
      <w:r>
        <w:rPr>
          <w:rFonts w:ascii="Times New Roman" w:hAnsi="Times New Roman"/>
          <w:sz w:val="24"/>
        </w:rPr>
        <w:t xml:space="preserve"> marķējuma, iedalot pēc atrašanās vietas (Savienībā un ārpus Savienības), nošķirot aizdevumus, kas nodrošināti ar komerciālu nekustamo īpašumu, aizdevumus, kas nodrošināti ar mājokļa nekustamo īpašumu, un nodrošinājumu, kas iegūts ar pārņemšanu.</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 xml:space="preserve">Attiecībā uz riska darījumiem ar sabiedrībām, kas atrodas trešās valstīs, kurām nav </w:t>
      </w:r>
      <w:r>
        <w:rPr>
          <w:rFonts w:ascii="Times New Roman" w:hAnsi="Times New Roman"/>
          <w:i/>
          <w:sz w:val="24"/>
        </w:rPr>
        <w:t>EPC</w:t>
      </w:r>
      <w:r>
        <w:rPr>
          <w:rFonts w:ascii="Times New Roman" w:hAnsi="Times New Roman"/>
          <w:sz w:val="24"/>
        </w:rPr>
        <w:t xml:space="preserve"> marķējuma ekvivalenta, iestādes atstāj neaizpildītu h)–n) aili. Tomēr iestādes atklāj o) un p) ailē un attiecīgā gadījumā b)–g) ailē prasīto informāciju, izmantojot aplēstus datus.</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 xml:space="preserve">Tiem riska darījumiem, kas saistīti ar vairāk nekā vienu nodrošinājumu, piemēram, diviem nekustamajiem īpašumiem, energoefektivitātes informāciju par īpašumiem, kas saistīti ar riska darījumu, sadala un atklāj atsevišķi saskaņā ar energoefektivitātes līmeņiem (gan attiecībā uz nodrošinājuma </w:t>
      </w:r>
      <w:proofErr w:type="spellStart"/>
      <w:r>
        <w:rPr>
          <w:rFonts w:ascii="Times New Roman" w:hAnsi="Times New Roman"/>
          <w:sz w:val="24"/>
        </w:rPr>
        <w:t>KWh</w:t>
      </w:r>
      <w:proofErr w:type="spellEnd"/>
      <w:r>
        <w:rPr>
          <w:rFonts w:ascii="Times New Roman" w:hAnsi="Times New Roman"/>
          <w:sz w:val="24"/>
        </w:rPr>
        <w:t xml:space="preserve">/m² b)–g) ailē, gan attiecībā uz </w:t>
      </w:r>
      <w:r>
        <w:rPr>
          <w:rFonts w:ascii="Times New Roman" w:hAnsi="Times New Roman"/>
          <w:i/>
          <w:sz w:val="24"/>
        </w:rPr>
        <w:t>EPC</w:t>
      </w:r>
      <w:r>
        <w:rPr>
          <w:rFonts w:ascii="Times New Roman" w:hAnsi="Times New Roman"/>
          <w:sz w:val="24"/>
        </w:rPr>
        <w:t xml:space="preserve"> marķējumu h)–n) ailē atbilstīgi katra nodrošinājuma energoefektivitātei). Konkrētāk, iestādes aprēķina katra nodrošinājuma daļu riska darījuma bruto uzskaites vērtībā, pamatojoties uz nodrošinājuma vērtību, un atklāj energoefektivitātes grupā, kas saistīta ar katru nodrošinājumu. Piemēram, iestādei ir aizdevums ar bruto uzskaites vērtību 100 000 EUR, kas nodrošināts ar diviem īpašumiem: A īpašums un B īpašums. A īpašuma nodrošinājuma vērtība ir 80 000 EUR un tam ir </w:t>
      </w:r>
      <w:r>
        <w:rPr>
          <w:rFonts w:ascii="Times New Roman" w:hAnsi="Times New Roman"/>
          <w:i/>
          <w:sz w:val="24"/>
        </w:rPr>
        <w:t>EPC</w:t>
      </w:r>
      <w:r>
        <w:rPr>
          <w:rFonts w:ascii="Times New Roman" w:hAnsi="Times New Roman"/>
          <w:sz w:val="24"/>
        </w:rPr>
        <w:t xml:space="preserve"> A marķējums, savukārt B īpašuma nodrošinājuma vērtība ir 70 000 EUR un </w:t>
      </w:r>
      <w:r>
        <w:rPr>
          <w:rFonts w:ascii="Times New Roman" w:hAnsi="Times New Roman"/>
          <w:i/>
          <w:sz w:val="24"/>
        </w:rPr>
        <w:t>EPC</w:t>
      </w:r>
      <w:r>
        <w:rPr>
          <w:rFonts w:ascii="Times New Roman" w:hAnsi="Times New Roman"/>
          <w:sz w:val="24"/>
        </w:rPr>
        <w:t xml:space="preserve"> D marķējums. Šajā piemērā iestādēm būtu jānorāda </w:t>
      </w:r>
      <w:r>
        <w:rPr>
          <w:rFonts w:ascii="Times New Roman" w:hAnsi="Times New Roman"/>
          <w:i/>
          <w:sz w:val="24"/>
        </w:rPr>
        <w:t>EPC</w:t>
      </w:r>
      <w:r>
        <w:rPr>
          <w:rFonts w:ascii="Times New Roman" w:hAnsi="Times New Roman"/>
          <w:sz w:val="24"/>
        </w:rPr>
        <w:t xml:space="preserve"> A marķējumā 53 333 EUR (t. i., 100 000 EUR * [80 000/(80 000 + 70 000)] un </w:t>
      </w:r>
      <w:r>
        <w:rPr>
          <w:rFonts w:ascii="Times New Roman" w:hAnsi="Times New Roman"/>
          <w:i/>
          <w:sz w:val="24"/>
        </w:rPr>
        <w:t>EPC</w:t>
      </w:r>
      <w:r>
        <w:rPr>
          <w:rFonts w:ascii="Times New Roman" w:hAnsi="Times New Roman"/>
          <w:sz w:val="24"/>
        </w:rPr>
        <w:t xml:space="preserve"> D marķējumā 46 667 EUR (t. i., 100 000 EUR * [70 000/(80 000 + 70 000)], kas abi atbilst konkrētajam aizdevumam.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3. veidne. Bankas portfelis – iespējamā klimata pārmaiņu pārejas riska rādītāji: pielāgošanas rādītāji.</w:t>
      </w:r>
      <w:r>
        <w:rPr>
          <w:rFonts w:ascii="Times New Roman" w:hAnsi="Times New Roman"/>
          <w:sz w:val="24"/>
        </w:rPr>
        <w:t xml:space="preserve"> Elastīgs formāts (fiksētas ailes, elastīgas rindas).</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Iestādes izmanto turpmākos norādījumus, lai atklātu informāciju, kas prasīta 3. veidnē “Bankas portfelis – iespējamā klimata pārmaiņu pārejas riska rādītāji: pielāgošanas rādītāji”, kā noteikts šīs regulas XXXIX pielikumā.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šajā veidnē atklāj informāciju par centieniem pielāgoties Parīzes nolīguma mērķiem atsevišķās nozarēs. Atklājot informāciju par pielāgošanu, norāda, cik lielā mērā finanšu plūsmas atbilst virzībai uz zemu siltumnīcefekta gāzu emisiju līmeni un </w:t>
      </w:r>
      <w:proofErr w:type="spellStart"/>
      <w:r>
        <w:rPr>
          <w:rFonts w:ascii="Times New Roman" w:hAnsi="Times New Roman"/>
          <w:sz w:val="24"/>
        </w:rPr>
        <w:t>klimatnoturīgu</w:t>
      </w:r>
      <w:proofErr w:type="spellEnd"/>
      <w:r>
        <w:rPr>
          <w:rFonts w:ascii="Times New Roman" w:hAnsi="Times New Roman"/>
          <w:sz w:val="24"/>
        </w:rPr>
        <w:t xml:space="preserve"> attīstību, kā minēts Parīzes nolīgumā. Ekonomikas scenārijs, kas raksturo šo dekarbonizācijas ceļu, ir Starptautiskās Enerģētikas aģentūras (</w:t>
      </w:r>
      <w:r>
        <w:rPr>
          <w:rFonts w:ascii="Times New Roman" w:hAnsi="Times New Roman"/>
          <w:i/>
          <w:sz w:val="24"/>
        </w:rPr>
        <w:t>IEA</w:t>
      </w:r>
      <w:r>
        <w:rPr>
          <w:rFonts w:ascii="Times New Roman" w:hAnsi="Times New Roman"/>
          <w:sz w:val="24"/>
        </w:rPr>
        <w:t>) neto nulles emisiju līdz 2050. gadam scenārijs (</w:t>
      </w:r>
      <w:r>
        <w:rPr>
          <w:rFonts w:ascii="Times New Roman" w:hAnsi="Times New Roman"/>
          <w:i/>
          <w:sz w:val="24"/>
        </w:rPr>
        <w:t>NZE2050</w:t>
      </w:r>
      <w:r>
        <w:rPr>
          <w:rFonts w:ascii="Times New Roman" w:hAnsi="Times New Roman"/>
          <w:sz w:val="24"/>
        </w:rPr>
        <w:t>)</w:t>
      </w:r>
      <w:r>
        <w:rPr>
          <w:rFonts w:ascii="Times New Roman" w:hAnsi="Times New Roman"/>
          <w:sz w:val="24"/>
          <w:vertAlign w:val="superscript"/>
        </w:rPr>
        <w:t>*18</w:t>
      </w:r>
      <w:r>
        <w:rPr>
          <w:rFonts w:ascii="Times New Roman" w:hAnsi="Times New Roman"/>
          <w:sz w:val="24"/>
        </w:rPr>
        <w:t xml:space="preserve">. Iestādes ņem vērā šo scenāriju. Ņemot vērā to, ka </w:t>
      </w:r>
      <w:r>
        <w:rPr>
          <w:rFonts w:ascii="Times New Roman" w:hAnsi="Times New Roman"/>
          <w:i/>
          <w:sz w:val="24"/>
        </w:rPr>
        <w:t>IEA</w:t>
      </w:r>
      <w:r>
        <w:rPr>
          <w:rFonts w:ascii="Times New Roman" w:hAnsi="Times New Roman"/>
          <w:sz w:val="24"/>
        </w:rPr>
        <w:t xml:space="preserve"> piedāvā scenārijus pasaules līmenī un dažus specifiskus rādītājus Eiropas līmenī, iestādēm ir jānovērtē laiks līdz </w:t>
      </w:r>
      <w:r>
        <w:rPr>
          <w:rFonts w:ascii="Times New Roman" w:hAnsi="Times New Roman"/>
          <w:i/>
          <w:sz w:val="24"/>
        </w:rPr>
        <w:t>IEA</w:t>
      </w:r>
      <w:r>
        <w:rPr>
          <w:rFonts w:ascii="Times New Roman" w:hAnsi="Times New Roman"/>
          <w:sz w:val="24"/>
        </w:rPr>
        <w:t xml:space="preserve"> scenārija pasaules līmeņa etalonu sasniegšanai un, ja ir pieejami konkrēti Eiropas līmeņa rādītāji, – līdz Eiropas līmeņa sasniegšanai.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Iestādes, kas jau aplēš informāciju par savu nozaru pielāgošanu Parīzes nolīgumam, atklāj informāciju šajā veidnē. Iestādēm veidnei pievienotajā apraksta daļā jāpaskaidro izmantotā metode un datu avots. Iestādes, kas vēl neaplēš savu nozaru pielāgošanu, atklāj informāciju par saviem plāniem īstenot metodi minētās informācijas aplēsei un atklāšanai. Jebkurā gadījumā iestādes sāk atklāt šajā veidnē iekļauto informāciju ar pirmo informācijas atklāšanas atsauces datumu 2024. gada 30. jūnijā.</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Iestādes šajā veidnē atklāj šādu informāciju:</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a) un b) aile: šajās ailēs norāda nozares (</w:t>
      </w:r>
      <w:r>
        <w:rPr>
          <w:rFonts w:ascii="Times New Roman" w:hAnsi="Times New Roman"/>
          <w:i/>
          <w:sz w:val="24"/>
        </w:rPr>
        <w:t>IEA</w:t>
      </w:r>
      <w:r>
        <w:rPr>
          <w:rFonts w:ascii="Times New Roman" w:hAnsi="Times New Roman"/>
          <w:sz w:val="24"/>
        </w:rPr>
        <w:t xml:space="preserve"> nozares), a) ailes 1.–8. rindā uzskaitot obligāto minimālo nozaru kopumu, un </w:t>
      </w:r>
      <w:proofErr w:type="spellStart"/>
      <w:r>
        <w:rPr>
          <w:rFonts w:ascii="Times New Roman" w:hAnsi="Times New Roman"/>
          <w:sz w:val="24"/>
        </w:rPr>
        <w:t>apakšnozares</w:t>
      </w:r>
      <w:proofErr w:type="spellEnd"/>
      <w:r>
        <w:rPr>
          <w:rFonts w:ascii="Times New Roman" w:hAnsi="Times New Roman"/>
          <w:sz w:val="24"/>
        </w:rPr>
        <w:t xml:space="preserve"> (</w:t>
      </w:r>
      <w:r>
        <w:rPr>
          <w:rFonts w:ascii="Times New Roman" w:hAnsi="Times New Roman"/>
          <w:i/>
          <w:sz w:val="24"/>
        </w:rPr>
        <w:t>NACE</w:t>
      </w:r>
      <w:r>
        <w:rPr>
          <w:rFonts w:ascii="Times New Roman" w:hAnsi="Times New Roman"/>
          <w:sz w:val="24"/>
        </w:rPr>
        <w:t xml:space="preserve"> nozares – b) ailē saskaņā ar minimālo “vērā ņemamo NACE nozaru sarakstu”, kā norādīts veidnē);</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ja iestādes darījumu partneris ir </w:t>
      </w:r>
      <w:proofErr w:type="spellStart"/>
      <w:r>
        <w:rPr>
          <w:rFonts w:ascii="Times New Roman" w:hAnsi="Times New Roman"/>
          <w:sz w:val="24"/>
        </w:rPr>
        <w:t>pārvaldītājsabiedrība</w:t>
      </w:r>
      <w:proofErr w:type="spellEnd"/>
      <w:r>
        <w:rPr>
          <w:rFonts w:ascii="Times New Roman" w:hAnsi="Times New Roman"/>
          <w:sz w:val="24"/>
        </w:rPr>
        <w:t xml:space="preserve">, iestādes ņem vērā </w:t>
      </w:r>
      <w:proofErr w:type="spellStart"/>
      <w:r>
        <w:rPr>
          <w:rFonts w:ascii="Times New Roman" w:hAnsi="Times New Roman"/>
          <w:sz w:val="24"/>
        </w:rPr>
        <w:t>pārvaldītājsabiedrības</w:t>
      </w:r>
      <w:proofErr w:type="spellEnd"/>
      <w:r>
        <w:rPr>
          <w:rFonts w:ascii="Times New Roman" w:hAnsi="Times New Roman"/>
          <w:sz w:val="24"/>
        </w:rPr>
        <w:t xml:space="preserve"> kontrolētā konkrētā parādnieka (ja tas nav </w:t>
      </w:r>
      <w:proofErr w:type="spellStart"/>
      <w:r>
        <w:rPr>
          <w:rFonts w:ascii="Times New Roman" w:hAnsi="Times New Roman"/>
          <w:sz w:val="24"/>
        </w:rPr>
        <w:t>pārvaldītājsabiedrība</w:t>
      </w:r>
      <w:proofErr w:type="spellEnd"/>
      <w:r>
        <w:rPr>
          <w:rFonts w:ascii="Times New Roman" w:hAnsi="Times New Roman"/>
          <w:sz w:val="24"/>
        </w:rPr>
        <w:t xml:space="preserve">) </w:t>
      </w:r>
      <w:r>
        <w:rPr>
          <w:rFonts w:ascii="Times New Roman" w:hAnsi="Times New Roman"/>
          <w:i/>
          <w:sz w:val="24"/>
        </w:rPr>
        <w:t>NACE</w:t>
      </w:r>
      <w:r>
        <w:rPr>
          <w:rFonts w:ascii="Times New Roman" w:hAnsi="Times New Roman"/>
          <w:sz w:val="24"/>
        </w:rPr>
        <w:t xml:space="preserve"> nozari, kas saņem finansējumu, nevis </w:t>
      </w:r>
      <w:proofErr w:type="spellStart"/>
      <w:r>
        <w:rPr>
          <w:rFonts w:ascii="Times New Roman" w:hAnsi="Times New Roman"/>
          <w:sz w:val="24"/>
        </w:rPr>
        <w:t>pārvaldītājsabiedrības</w:t>
      </w:r>
      <w:proofErr w:type="spellEnd"/>
      <w:r>
        <w:rPr>
          <w:rFonts w:ascii="Times New Roman" w:hAnsi="Times New Roman"/>
          <w:sz w:val="24"/>
        </w:rPr>
        <w:t xml:space="preserve"> nozari, jo īpaši gadījumos, kad parādnieks ir </w:t>
      </w:r>
      <w:proofErr w:type="spellStart"/>
      <w:r>
        <w:rPr>
          <w:rFonts w:ascii="Times New Roman" w:hAnsi="Times New Roman"/>
          <w:sz w:val="24"/>
        </w:rPr>
        <w:t>nefinanšu</w:t>
      </w:r>
      <w:proofErr w:type="spellEnd"/>
      <w:r>
        <w:rPr>
          <w:rFonts w:ascii="Times New Roman" w:hAnsi="Times New Roman"/>
          <w:sz w:val="24"/>
        </w:rPr>
        <w:t xml:space="preserve"> sabiedrība. Līdzīgi, ja iestādes tiešais darījumu partneris (parādnieks) ir īpašam </w:t>
      </w:r>
      <w:r>
        <w:rPr>
          <w:rFonts w:ascii="Times New Roman" w:hAnsi="Times New Roman"/>
          <w:sz w:val="24"/>
        </w:rPr>
        <w:lastRenderedPageBreak/>
        <w:t>nolūkam dibināta sabiedrība (</w:t>
      </w:r>
      <w:r>
        <w:rPr>
          <w:rFonts w:ascii="Times New Roman" w:hAnsi="Times New Roman"/>
          <w:i/>
          <w:sz w:val="24"/>
        </w:rPr>
        <w:t>SPV</w:t>
      </w:r>
      <w:r>
        <w:rPr>
          <w:rFonts w:ascii="Times New Roman" w:hAnsi="Times New Roman"/>
          <w:sz w:val="24"/>
        </w:rPr>
        <w:t xml:space="preserve">), iestādes atklāj attiecīgo informāciju par </w:t>
      </w:r>
      <w:r>
        <w:rPr>
          <w:rFonts w:ascii="Times New Roman" w:hAnsi="Times New Roman"/>
          <w:i/>
          <w:sz w:val="24"/>
        </w:rPr>
        <w:t>NACE</w:t>
      </w:r>
      <w:r>
        <w:rPr>
          <w:rFonts w:ascii="Times New Roman" w:hAnsi="Times New Roman"/>
          <w:sz w:val="24"/>
        </w:rPr>
        <w:t xml:space="preserve"> nozari, kas saistīta ar </w:t>
      </w:r>
      <w:r>
        <w:rPr>
          <w:rFonts w:ascii="Times New Roman" w:hAnsi="Times New Roman"/>
          <w:i/>
          <w:sz w:val="24"/>
        </w:rPr>
        <w:t>SPV</w:t>
      </w:r>
      <w:r>
        <w:rPr>
          <w:rFonts w:ascii="Times New Roman" w:hAnsi="Times New Roman"/>
          <w:sz w:val="24"/>
        </w:rPr>
        <w:t xml:space="preserve"> </w:t>
      </w:r>
      <w:proofErr w:type="spellStart"/>
      <w:r>
        <w:rPr>
          <w:rFonts w:ascii="Times New Roman" w:hAnsi="Times New Roman"/>
          <w:sz w:val="24"/>
        </w:rPr>
        <w:t>mātesuzņēmuma</w:t>
      </w:r>
      <w:proofErr w:type="spellEnd"/>
      <w:r>
        <w:rPr>
          <w:rFonts w:ascii="Times New Roman" w:hAnsi="Times New Roman"/>
          <w:sz w:val="24"/>
        </w:rPr>
        <w:t xml:space="preserve"> saimniecisko darbību;</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klasificējot kopīgus riska darījumus, kuros ir vairāk nekā viens parādnieks, balstās uz tā parādnieka iezīmēm, kurš iestādei darījuma noslēgšanā bija būtiskākais vai noteicošais. Iestādes atklāj informāciju pa </w:t>
      </w:r>
      <w:r>
        <w:rPr>
          <w:rFonts w:ascii="Times New Roman" w:hAnsi="Times New Roman"/>
          <w:i/>
          <w:sz w:val="24"/>
        </w:rPr>
        <w:t>NACE</w:t>
      </w:r>
      <w:r>
        <w:rPr>
          <w:rFonts w:ascii="Times New Roman" w:hAnsi="Times New Roman"/>
          <w:sz w:val="24"/>
        </w:rPr>
        <w:t xml:space="preserve"> kodiem saskaņā ar b) ailē prasīto granularitātes līmeni.</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c) aile: Īstenošanas regulas (ES) 2021/451 V pielikuma 1. daļā definēto bruto uzskaites vērtību minētajiem riska darījumiem ar </w:t>
      </w:r>
      <w:proofErr w:type="spellStart"/>
      <w:r>
        <w:rPr>
          <w:rFonts w:ascii="Times New Roman" w:hAnsi="Times New Roman"/>
          <w:sz w:val="24"/>
        </w:rPr>
        <w:t>nefinanšu</w:t>
      </w:r>
      <w:proofErr w:type="spellEnd"/>
      <w:r>
        <w:rPr>
          <w:rFonts w:ascii="Times New Roman" w:hAnsi="Times New Roman"/>
          <w:sz w:val="24"/>
        </w:rPr>
        <w:t xml:space="preserve"> sabiedrībām katrā no a) un b) ailē norādītajām nozarēm, tajā skaitā aizdevumiem un avansiem, parāda vērtspapīriem un pašu kapitāla instrumentiem, kas uzskaites portfeļos klasificēti bankas portfelī saskaņā ar minēto īstenošanas regulu, izņemot tirdzniecības nolūkā turētus finanšu aktīvus vai pārdošanai turētus aktīvus;</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d) un e) aile: pielāgošanas rādītājs(-i), ko piemēro iestāde, un tuvākais atsauces gads pielāgošanas rādītajam(-</w:t>
      </w:r>
      <w:proofErr w:type="spellStart"/>
      <w:r>
        <w:rPr>
          <w:rFonts w:ascii="Times New Roman" w:hAnsi="Times New Roman"/>
          <w:sz w:val="24"/>
        </w:rPr>
        <w:t>iem</w:t>
      </w:r>
      <w:proofErr w:type="spellEnd"/>
      <w:r>
        <w:rPr>
          <w:rFonts w:ascii="Times New Roman" w:hAnsi="Times New Roman"/>
          <w:sz w:val="24"/>
        </w:rPr>
        <w:t>) katrai nozarei. Iestādes izmanto pielāgošanas rādītāju(-s), ko var izmērīt attiecībā pret neto nulles emisiju līdz 2050. gadam scenāriju (</w:t>
      </w:r>
      <w:r>
        <w:rPr>
          <w:rFonts w:ascii="Times New Roman" w:hAnsi="Times New Roman"/>
          <w:i/>
          <w:sz w:val="24"/>
        </w:rPr>
        <w:t>NZE2050</w:t>
      </w:r>
      <w:r>
        <w:rPr>
          <w:rFonts w:ascii="Times New Roman" w:hAnsi="Times New Roman"/>
          <w:sz w:val="24"/>
        </w:rPr>
        <w:t xml:space="preserve">). Iestādēm ir jānodrošina, ka rādītāji ļauj visaptveroši atklāt iestāžu finansēto ražošanas jaudu un aptver visas attiecīgās </w:t>
      </w:r>
      <w:proofErr w:type="spellStart"/>
      <w:r>
        <w:rPr>
          <w:rFonts w:ascii="Times New Roman" w:hAnsi="Times New Roman"/>
          <w:sz w:val="24"/>
        </w:rPr>
        <w:t>oglekļietilpīgās</w:t>
      </w:r>
      <w:proofErr w:type="spellEnd"/>
      <w:r>
        <w:rPr>
          <w:rFonts w:ascii="Times New Roman" w:hAnsi="Times New Roman"/>
          <w:sz w:val="24"/>
        </w:rPr>
        <w:t xml:space="preserve"> finansētās darbības. Veidnē ir iekļauti daži izlases rādītāji. Iestādēm jāatklāj vairāki rādītāji par katru nozari, kas attiecas uz to finansēšanas darbību. Tie ietver emisiju intensitātes rādītājus, uz tehnoloģiju kombināciju balstītus rādītājus un uz ražošanu balstītus rādītājus. Iestādēm jāpaļaujas uz pamatā esošo aktīvu un ar finanšu instrumentiem saistīto darbību novērtējumu.</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Aizdevumiem, kuru ieņēmumu izlietojums ir zināms, iekļauj vērtību attiecīgajai nozarei un pielāgošanas rādītājam. Aizdevumiem, kuru ieņēmumu izlietojums nav zināms, riska darījuma bruto uzskaites vērtību iedala attiecīgajām nozarēm un pielāgošanas rādītājiem, pamatojoties uz darījumu partneru darbības sadalījumu, tajā skaitā darījumu partneru apgrozījumu sadalījumā pa darbību veidiem.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Iestādes veidnē pievieno rindu par katru attiecīgo b) ailē atklāto nozaru un d) ailē iekļauto pielāgošanas rādītāju kombināciju;</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f) aile: d) ailes rādītāja(-u) laikposmu līdz 2030. gada neto nulles emisiju līdz 2050. gadam scenārija (</w:t>
      </w:r>
      <w:r>
        <w:rPr>
          <w:rFonts w:ascii="Times New Roman" w:hAnsi="Times New Roman"/>
          <w:i/>
          <w:sz w:val="24"/>
        </w:rPr>
        <w:t>NZE2050</w:t>
      </w:r>
      <w:r>
        <w:rPr>
          <w:rFonts w:ascii="Times New Roman" w:hAnsi="Times New Roman"/>
          <w:sz w:val="24"/>
        </w:rPr>
        <w:t xml:space="preserve">) datu punktiem izsaka procentpunktos. Šis laikposms atspoguļo pašreizējo pielāgošanas pakāpi ar scenārija rādītāju 2030. gadam, un to izsaka kā starpību starp rādītāju d) ailē un </w:t>
      </w:r>
      <w:r>
        <w:rPr>
          <w:rFonts w:ascii="Times New Roman" w:hAnsi="Times New Roman"/>
          <w:i/>
          <w:sz w:val="24"/>
        </w:rPr>
        <w:t>IEA</w:t>
      </w:r>
      <w:r>
        <w:rPr>
          <w:rFonts w:ascii="Times New Roman" w:hAnsi="Times New Roman"/>
          <w:sz w:val="24"/>
        </w:rPr>
        <w:t xml:space="preserve"> scenārija prognozi 2030. gadam, dalītu ar scenārija </w:t>
      </w:r>
      <w:proofErr w:type="spellStart"/>
      <w:r>
        <w:rPr>
          <w:rFonts w:ascii="Times New Roman" w:hAnsi="Times New Roman"/>
          <w:sz w:val="24"/>
        </w:rPr>
        <w:t>etalonrādītāju</w:t>
      </w:r>
      <w:proofErr w:type="spellEnd"/>
      <w:r>
        <w:rPr>
          <w:rFonts w:ascii="Times New Roman" w:hAnsi="Times New Roman"/>
          <w:sz w:val="24"/>
        </w:rPr>
        <w:t xml:space="preserve"> un izteiktu procentos.</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Iestādes </w:t>
      </w:r>
      <w:r>
        <w:rPr>
          <w:rFonts w:ascii="Times New Roman" w:hAnsi="Times New Roman"/>
          <w:i/>
          <w:sz w:val="24"/>
        </w:rPr>
        <w:t>IEA</w:t>
      </w:r>
      <w:r>
        <w:rPr>
          <w:rFonts w:ascii="Times New Roman" w:hAnsi="Times New Roman"/>
          <w:sz w:val="24"/>
        </w:rPr>
        <w:t xml:space="preserve"> tīmekļa vietnē var atrast attiecīgo informāciju un piemērojamos scenāriju rādītājus 2030. gadam pa nozarēm. Iestādes konkrēti var izmantot “Net </w:t>
      </w:r>
      <w:proofErr w:type="spellStart"/>
      <w:r>
        <w:rPr>
          <w:rFonts w:ascii="Times New Roman" w:hAnsi="Times New Roman"/>
          <w:sz w:val="24"/>
        </w:rPr>
        <w:t>Zero</w:t>
      </w:r>
      <w:proofErr w:type="spellEnd"/>
      <w:r>
        <w:rPr>
          <w:rFonts w:ascii="Times New Roman" w:hAnsi="Times New Roman"/>
          <w:sz w:val="24"/>
        </w:rPr>
        <w:t xml:space="preserve"> </w:t>
      </w:r>
      <w:proofErr w:type="spellStart"/>
      <w:r>
        <w:rPr>
          <w:rFonts w:ascii="Times New Roman" w:hAnsi="Times New Roman"/>
          <w:sz w:val="24"/>
        </w:rPr>
        <w:t>by</w:t>
      </w:r>
      <w:proofErr w:type="spellEnd"/>
      <w:r>
        <w:rPr>
          <w:rFonts w:ascii="Times New Roman" w:hAnsi="Times New Roman"/>
          <w:sz w:val="24"/>
        </w:rPr>
        <w:t xml:space="preserve"> 2050 – A </w:t>
      </w:r>
      <w:proofErr w:type="spellStart"/>
      <w:r>
        <w:rPr>
          <w:rFonts w:ascii="Times New Roman" w:hAnsi="Times New Roman"/>
          <w:sz w:val="24"/>
        </w:rPr>
        <w:t>Roadmap</w:t>
      </w:r>
      <w:proofErr w:type="spellEnd"/>
      <w:r>
        <w:rPr>
          <w:rFonts w:ascii="Times New Roman" w:hAnsi="Times New Roman"/>
          <w:sz w:val="24"/>
        </w:rPr>
        <w:t xml:space="preserve"> </w:t>
      </w:r>
      <w:proofErr w:type="spellStart"/>
      <w:r>
        <w:rPr>
          <w:rFonts w:ascii="Times New Roman" w:hAnsi="Times New Roman"/>
          <w:sz w:val="24"/>
        </w:rPr>
        <w:t>for</w:t>
      </w:r>
      <w:proofErr w:type="spellEnd"/>
      <w:r>
        <w:rPr>
          <w:rFonts w:ascii="Times New Roman" w:hAnsi="Times New Roman"/>
          <w:sz w:val="24"/>
        </w:rPr>
        <w:t xml:space="preserve"> </w:t>
      </w:r>
      <w:proofErr w:type="spellStart"/>
      <w:r>
        <w:rPr>
          <w:rFonts w:ascii="Times New Roman" w:hAnsi="Times New Roman"/>
          <w:sz w:val="24"/>
        </w:rPr>
        <w:t>the</w:t>
      </w:r>
      <w:proofErr w:type="spellEnd"/>
      <w:r>
        <w:rPr>
          <w:rFonts w:ascii="Times New Roman" w:hAnsi="Times New Roman"/>
          <w:sz w:val="24"/>
        </w:rPr>
        <w:t xml:space="preserve"> </w:t>
      </w:r>
      <w:proofErr w:type="spellStart"/>
      <w:r>
        <w:rPr>
          <w:rFonts w:ascii="Times New Roman" w:hAnsi="Times New Roman"/>
          <w:sz w:val="24"/>
        </w:rPr>
        <w:t>Global</w:t>
      </w:r>
      <w:proofErr w:type="spellEnd"/>
      <w:r>
        <w:rPr>
          <w:rFonts w:ascii="Times New Roman" w:hAnsi="Times New Roman"/>
          <w:sz w:val="24"/>
        </w:rPr>
        <w:t xml:space="preserve"> </w:t>
      </w:r>
      <w:proofErr w:type="spellStart"/>
      <w:r>
        <w:rPr>
          <w:rFonts w:ascii="Times New Roman" w:hAnsi="Times New Roman"/>
          <w:sz w:val="24"/>
        </w:rPr>
        <w:t>Energy</w:t>
      </w:r>
      <w:proofErr w:type="spellEnd"/>
      <w:r>
        <w:rPr>
          <w:rFonts w:ascii="Times New Roman" w:hAnsi="Times New Roman"/>
          <w:sz w:val="24"/>
        </w:rPr>
        <w:t xml:space="preserve"> </w:t>
      </w:r>
      <w:proofErr w:type="spellStart"/>
      <w:r>
        <w:rPr>
          <w:rFonts w:ascii="Times New Roman" w:hAnsi="Times New Roman"/>
          <w:sz w:val="24"/>
        </w:rPr>
        <w:t>Sector</w:t>
      </w:r>
      <w:proofErr w:type="spellEnd"/>
      <w:r>
        <w:rPr>
          <w:rFonts w:ascii="Times New Roman" w:hAnsi="Times New Roman"/>
          <w:sz w:val="24"/>
        </w:rPr>
        <w:t xml:space="preserve">”, ko </w:t>
      </w:r>
      <w:r>
        <w:rPr>
          <w:rFonts w:ascii="Times New Roman" w:hAnsi="Times New Roman"/>
          <w:i/>
          <w:sz w:val="24"/>
        </w:rPr>
        <w:t>IEA</w:t>
      </w:r>
      <w:r>
        <w:rPr>
          <w:rFonts w:ascii="Times New Roman" w:hAnsi="Times New Roman"/>
          <w:sz w:val="24"/>
        </w:rPr>
        <w:t xml:space="preserve"> publicē katru gadu</w:t>
      </w:r>
      <w:r>
        <w:rPr>
          <w:rFonts w:ascii="Times New Roman" w:hAnsi="Times New Roman"/>
          <w:sz w:val="24"/>
          <w:vertAlign w:val="superscript"/>
        </w:rPr>
        <w:t>*19</w:t>
      </w:r>
      <w:r>
        <w:rPr>
          <w:rFonts w:ascii="Times New Roman" w:hAnsi="Times New Roman"/>
          <w:sz w:val="24"/>
        </w:rPr>
        <w:t xml:space="preserve">. Konkrētos datu punktus un rādītājus var lejupielādēt no </w:t>
      </w:r>
      <w:r>
        <w:rPr>
          <w:rFonts w:ascii="Times New Roman" w:hAnsi="Times New Roman"/>
          <w:i/>
          <w:sz w:val="24"/>
        </w:rPr>
        <w:t>Excel</w:t>
      </w:r>
      <w:r>
        <w:rPr>
          <w:rFonts w:ascii="Times New Roman" w:hAnsi="Times New Roman"/>
          <w:sz w:val="24"/>
        </w:rPr>
        <w:t xml:space="preserve"> tabulas, kas iekļauta neto nulles līmeņa līdz 2050. gadam scenārijā, kuru izstrādājusi Starptautiskā Enerģētikas aģentūra.</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 xml:space="preserve">Riska darījumu pamatā esošās darbības uzskata par saskaņotām, ja rādītāja līmenis ir zemāks par </w:t>
      </w:r>
      <w:proofErr w:type="spellStart"/>
      <w:r>
        <w:rPr>
          <w:rFonts w:ascii="Times New Roman" w:hAnsi="Times New Roman"/>
          <w:sz w:val="24"/>
        </w:rPr>
        <w:t>etalonrādītāja</w:t>
      </w:r>
      <w:proofErr w:type="spellEnd"/>
      <w:r>
        <w:rPr>
          <w:rFonts w:ascii="Times New Roman" w:hAnsi="Times New Roman"/>
          <w:sz w:val="24"/>
        </w:rPr>
        <w:t xml:space="preserve"> līmeni tiem </w:t>
      </w:r>
      <w:proofErr w:type="spellStart"/>
      <w:r>
        <w:rPr>
          <w:rFonts w:ascii="Times New Roman" w:hAnsi="Times New Roman"/>
          <w:sz w:val="24"/>
        </w:rPr>
        <w:t>etalonrādītājiem</w:t>
      </w:r>
      <w:proofErr w:type="spellEnd"/>
      <w:r>
        <w:rPr>
          <w:rFonts w:ascii="Times New Roman" w:hAnsi="Times New Roman"/>
          <w:sz w:val="24"/>
        </w:rPr>
        <w:t>, kas samazinās (</w:t>
      </w:r>
      <w:proofErr w:type="spellStart"/>
      <w:r>
        <w:rPr>
          <w:rFonts w:ascii="Times New Roman" w:hAnsi="Times New Roman"/>
          <w:sz w:val="24"/>
        </w:rPr>
        <w:t>oglekļietilpīgas</w:t>
      </w:r>
      <w:proofErr w:type="spellEnd"/>
      <w:r>
        <w:rPr>
          <w:rFonts w:ascii="Times New Roman" w:hAnsi="Times New Roman"/>
          <w:sz w:val="24"/>
        </w:rPr>
        <w:t xml:space="preserve"> darbības), vai augstāks – tiem </w:t>
      </w:r>
      <w:proofErr w:type="spellStart"/>
      <w:r>
        <w:rPr>
          <w:rFonts w:ascii="Times New Roman" w:hAnsi="Times New Roman"/>
          <w:sz w:val="24"/>
        </w:rPr>
        <w:t>etalonrādītājiem</w:t>
      </w:r>
      <w:proofErr w:type="spellEnd"/>
      <w:r>
        <w:rPr>
          <w:rFonts w:ascii="Times New Roman" w:hAnsi="Times New Roman"/>
          <w:sz w:val="24"/>
        </w:rPr>
        <w:t>, kas palielinās (zemas oglekļa emisijas darbības);</w:t>
      </w:r>
    </w:p>
    <w:p w14:paraId="7182897D" w14:textId="77777777" w:rsidR="00183989" w:rsidRPr="00F27EAD"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w:lastRenderedPageBreak/>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rPr>
          <w:rFonts w:ascii="Times New Roman" w:hAnsi="Times New Roman"/>
          <w:sz w:val="24"/>
        </w:rPr>
        <w:tab/>
        <w:t xml:space="preserve">g) aile: iestāžu </w:t>
      </w:r>
      <w:proofErr w:type="spellStart"/>
      <w:r>
        <w:rPr>
          <w:rFonts w:ascii="Times New Roman" w:hAnsi="Times New Roman"/>
          <w:sz w:val="24"/>
        </w:rPr>
        <w:t>mērķrādītājs</w:t>
      </w:r>
      <w:proofErr w:type="spellEnd"/>
      <w:r>
        <w:rPr>
          <w:rFonts w:ascii="Times New Roman" w:hAnsi="Times New Roman"/>
          <w:sz w:val="24"/>
        </w:rPr>
        <w:t xml:space="preserve"> trīs gadus pēc e) ailē norādītā atsauces gada un d) ailē norādītā pielāgošanas rādītāja. g) ailē norāda portfeļa pielāgošanas ceļu un </w:t>
      </w:r>
      <w:proofErr w:type="spellStart"/>
      <w:r>
        <w:rPr>
          <w:rFonts w:ascii="Times New Roman" w:hAnsi="Times New Roman"/>
          <w:sz w:val="24"/>
        </w:rPr>
        <w:t>mērķrādītājus</w:t>
      </w:r>
      <w:proofErr w:type="spellEnd"/>
      <w:r>
        <w:rPr>
          <w:rFonts w:ascii="Times New Roman" w:hAnsi="Times New Roman"/>
          <w:sz w:val="24"/>
        </w:rPr>
        <w:t xml:space="preserve">, ko iestādes plāno sasniegt, lai ilgtermiņā turpinātu īstenot </w:t>
      </w:r>
      <w:r>
        <w:rPr>
          <w:rFonts w:ascii="Times New Roman" w:hAnsi="Times New Roman"/>
          <w:i/>
          <w:sz w:val="24"/>
        </w:rPr>
        <w:t>IEA</w:t>
      </w:r>
      <w:r>
        <w:rPr>
          <w:rFonts w:ascii="Times New Roman" w:hAnsi="Times New Roman"/>
          <w:sz w:val="24"/>
        </w:rPr>
        <w:t xml:space="preserve"> scenāriju.</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 xml:space="preserve">4. veidne. Bankas portfelis – iespējamā klimata pārmaiņu pārejas riska rādītāji: riska darījumi ar 20 lielākajiem </w:t>
      </w:r>
      <w:proofErr w:type="spellStart"/>
      <w:r>
        <w:rPr>
          <w:rFonts w:ascii="Times New Roman" w:hAnsi="Times New Roman"/>
          <w:b/>
          <w:sz w:val="24"/>
        </w:rPr>
        <w:t>oglekļietilpīgajiem</w:t>
      </w:r>
      <w:proofErr w:type="spellEnd"/>
      <w:r>
        <w:rPr>
          <w:rFonts w:ascii="Times New Roman" w:hAnsi="Times New Roman"/>
          <w:b/>
          <w:sz w:val="24"/>
        </w:rPr>
        <w:t xml:space="preserve"> uzņēmumiem.</w:t>
      </w:r>
      <w:r>
        <w:rPr>
          <w:rFonts w:ascii="Times New Roman" w:hAnsi="Times New Roman"/>
          <w:sz w:val="24"/>
        </w:rPr>
        <w:t xml:space="preserve"> </w:t>
      </w:r>
      <w:r>
        <w:rPr>
          <w:rFonts w:ascii="Times New Roman" w:hAnsi="Times New Roman"/>
          <w:b/>
          <w:sz w:val="24"/>
        </w:rPr>
        <w:t>Fiksēts formāts</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Iestādes izmanto turpmākos norādījumus, lai atklātu informāciju, kas prasīta 4. veidnē “Bankas portfelis – iespējamā klimata pārmaiņu pārejas riska rādītāji: riska darījumi ar 20 lielākajiem </w:t>
      </w:r>
      <w:proofErr w:type="spellStart"/>
      <w:r>
        <w:rPr>
          <w:rFonts w:ascii="Times New Roman" w:hAnsi="Times New Roman"/>
          <w:sz w:val="24"/>
        </w:rPr>
        <w:t>oglekļietilpīgajiem</w:t>
      </w:r>
      <w:proofErr w:type="spellEnd"/>
      <w:r>
        <w:rPr>
          <w:rFonts w:ascii="Times New Roman" w:hAnsi="Times New Roman"/>
          <w:sz w:val="24"/>
        </w:rPr>
        <w:t xml:space="preserve"> uzņēmumiem”, kā noteikts šīs regulas XXXIX pielikumā.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Iestādes šajā veidnē atklāj apkopotu informāciju par riska darījumiem ar </w:t>
      </w:r>
      <w:proofErr w:type="spellStart"/>
      <w:r>
        <w:rPr>
          <w:rFonts w:ascii="Times New Roman" w:hAnsi="Times New Roman"/>
          <w:sz w:val="24"/>
        </w:rPr>
        <w:t>oglekļietilpīgākajiem</w:t>
      </w:r>
      <w:proofErr w:type="spellEnd"/>
      <w:r>
        <w:rPr>
          <w:rFonts w:ascii="Times New Roman" w:hAnsi="Times New Roman"/>
          <w:sz w:val="24"/>
        </w:rPr>
        <w:t xml:space="preserve"> darījumu partneriem pasaulē. Tās iekļauj apkopotu un </w:t>
      </w:r>
      <w:proofErr w:type="spellStart"/>
      <w:r>
        <w:rPr>
          <w:rFonts w:ascii="Times New Roman" w:hAnsi="Times New Roman"/>
          <w:sz w:val="24"/>
        </w:rPr>
        <w:t>anonimizētu</w:t>
      </w:r>
      <w:proofErr w:type="spellEnd"/>
      <w:r>
        <w:rPr>
          <w:rFonts w:ascii="Times New Roman" w:hAnsi="Times New Roman"/>
          <w:sz w:val="24"/>
        </w:rPr>
        <w:t xml:space="preserve"> informāciju par bruto uzskaites vērtību riska darījumiem ar ne vairāk kā 20 darījuma partneriem, kas ir vieni no 20 lielākajiem </w:t>
      </w:r>
      <w:proofErr w:type="spellStart"/>
      <w:r>
        <w:rPr>
          <w:rFonts w:ascii="Times New Roman" w:hAnsi="Times New Roman"/>
          <w:sz w:val="24"/>
        </w:rPr>
        <w:t>oglekļietilpīgākajiem</w:t>
      </w:r>
      <w:proofErr w:type="spellEnd"/>
      <w:r>
        <w:rPr>
          <w:rFonts w:ascii="Times New Roman" w:hAnsi="Times New Roman"/>
          <w:sz w:val="24"/>
        </w:rPr>
        <w:t xml:space="preserve"> uzņēmumiem pasaulē. Informācijas pamatā ir publiski pieejama, ticama un precīza informācija. Piemēri datu avotiem, kas ļauj identificēt lielākos </w:t>
      </w:r>
      <w:proofErr w:type="spellStart"/>
      <w:r>
        <w:rPr>
          <w:rFonts w:ascii="Times New Roman" w:hAnsi="Times New Roman"/>
          <w:sz w:val="24"/>
        </w:rPr>
        <w:t>oglekļietilpīgos</w:t>
      </w:r>
      <w:proofErr w:type="spellEnd"/>
      <w:r>
        <w:rPr>
          <w:rFonts w:ascii="Times New Roman" w:hAnsi="Times New Roman"/>
          <w:sz w:val="24"/>
        </w:rPr>
        <w:t xml:space="preserve"> uzņēmumus, ir </w:t>
      </w:r>
      <w:proofErr w:type="spellStart"/>
      <w:r>
        <w:rPr>
          <w:rFonts w:ascii="Times New Roman" w:hAnsi="Times New Roman"/>
          <w:i/>
          <w:sz w:val="24"/>
        </w:rPr>
        <w:t>Carbon</w:t>
      </w:r>
      <w:proofErr w:type="spellEnd"/>
      <w:r>
        <w:rPr>
          <w:rFonts w:ascii="Times New Roman" w:hAnsi="Times New Roman"/>
          <w:i/>
          <w:sz w:val="24"/>
        </w:rPr>
        <w:t xml:space="preserve"> Majors </w:t>
      </w:r>
      <w:proofErr w:type="spellStart"/>
      <w:r>
        <w:rPr>
          <w:rFonts w:ascii="Times New Roman" w:hAnsi="Times New Roman"/>
          <w:i/>
          <w:sz w:val="24"/>
        </w:rPr>
        <w:t>Database</w:t>
      </w:r>
      <w:proofErr w:type="spellEnd"/>
      <w:r>
        <w:rPr>
          <w:rFonts w:ascii="Times New Roman" w:hAnsi="Times New Roman"/>
          <w:sz w:val="24"/>
        </w:rPr>
        <w:t xml:space="preserve"> un Oglekļa informācijas atklāšanas projekta un Klimata </w:t>
      </w:r>
      <w:proofErr w:type="spellStart"/>
      <w:r>
        <w:rPr>
          <w:rFonts w:ascii="Times New Roman" w:hAnsi="Times New Roman"/>
          <w:sz w:val="24"/>
        </w:rPr>
        <w:t>pārskatatbildības</w:t>
      </w:r>
      <w:proofErr w:type="spellEnd"/>
      <w:r>
        <w:rPr>
          <w:rFonts w:ascii="Times New Roman" w:hAnsi="Times New Roman"/>
          <w:sz w:val="24"/>
        </w:rPr>
        <w:t xml:space="preserve"> institūta (</w:t>
      </w:r>
      <w:r>
        <w:rPr>
          <w:rFonts w:ascii="Times New Roman" w:hAnsi="Times New Roman"/>
          <w:i/>
          <w:sz w:val="24"/>
        </w:rPr>
        <w:t>CAI</w:t>
      </w:r>
      <w:r>
        <w:rPr>
          <w:rFonts w:ascii="Times New Roman" w:hAnsi="Times New Roman"/>
          <w:sz w:val="24"/>
        </w:rPr>
        <w:t xml:space="preserve">), kā arī </w:t>
      </w:r>
      <w:proofErr w:type="spellStart"/>
      <w:r>
        <w:rPr>
          <w:rFonts w:ascii="Times New Roman" w:hAnsi="Times New Roman"/>
          <w:i/>
          <w:sz w:val="24"/>
        </w:rPr>
        <w:t>Thomson</w:t>
      </w:r>
      <w:proofErr w:type="spellEnd"/>
      <w:r>
        <w:rPr>
          <w:rFonts w:ascii="Times New Roman" w:hAnsi="Times New Roman"/>
          <w:i/>
          <w:sz w:val="24"/>
        </w:rPr>
        <w:t xml:space="preserve"> </w:t>
      </w:r>
      <w:proofErr w:type="spellStart"/>
      <w:r>
        <w:rPr>
          <w:rFonts w:ascii="Times New Roman" w:hAnsi="Times New Roman"/>
          <w:i/>
          <w:sz w:val="24"/>
        </w:rPr>
        <w:t>Reuters</w:t>
      </w:r>
      <w:proofErr w:type="spellEnd"/>
      <w:r>
        <w:rPr>
          <w:rFonts w:ascii="Times New Roman" w:hAnsi="Times New Roman"/>
          <w:sz w:val="24"/>
        </w:rPr>
        <w:t xml:space="preserve"> ziņojumi.</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Iestādes informācijas atklāšanai pievienotajā aprakstā atklāj izmantoto datu avotu. Ja iestādes nespēj identificēt riska darījumus ar 20 lielākajiem </w:t>
      </w:r>
      <w:proofErr w:type="spellStart"/>
      <w:r>
        <w:rPr>
          <w:rFonts w:ascii="Times New Roman" w:hAnsi="Times New Roman"/>
          <w:sz w:val="24"/>
        </w:rPr>
        <w:t>oglekļietilpīgajiem</w:t>
      </w:r>
      <w:proofErr w:type="spellEnd"/>
      <w:r>
        <w:rPr>
          <w:rFonts w:ascii="Times New Roman" w:hAnsi="Times New Roman"/>
          <w:sz w:val="24"/>
        </w:rPr>
        <w:t xml:space="preserve"> uzņēmumiem pasaulē, tās paskaidro, kāpēc tās nav norādījušas šādus riska darījumus, arī gadījumā, kad tām nav riska darījumu ar 20 lielākajiem </w:t>
      </w:r>
      <w:proofErr w:type="spellStart"/>
      <w:r>
        <w:rPr>
          <w:rFonts w:ascii="Times New Roman" w:hAnsi="Times New Roman"/>
          <w:sz w:val="24"/>
        </w:rPr>
        <w:t>oglekļietilpīgajiem</w:t>
      </w:r>
      <w:proofErr w:type="spellEnd"/>
      <w:r>
        <w:rPr>
          <w:rFonts w:ascii="Times New Roman" w:hAnsi="Times New Roman"/>
          <w:sz w:val="24"/>
        </w:rPr>
        <w:t xml:space="preserve"> uzņēmumiem pasaulē. </w:t>
      </w:r>
    </w:p>
    <w:p w14:paraId="5749086F" w14:textId="77777777" w:rsidR="00183989" w:rsidRPr="00F27EAD"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F27EAD"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Aile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Norādījumi</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Bruto uzskaites vērtība (kopā)</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Bruto uzskaites vērtība ir Īstenošanas regulas (ES) 2021/451 V pielikuma 1. daļā minētajā nozīmē. Tā ietver aizdevumus un avansus, parāda vērtspapīrus un pašu kapitāla instrumentus, kas klasificēti uzskaites portfeļos bankas portfelī saskaņā ar minēto īstenošanas regulu, izņemot tirdzniecības nolūkā turētus finanšu aktīvus un pārdošanai turētus aktīvus.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Iestādes iekļauj kopējos riska darījumus ar ne vairāk kā 20 iestādes darījumu partneriem, kas ir starp 20 lielākajiem </w:t>
            </w:r>
            <w:proofErr w:type="spellStart"/>
            <w:r>
              <w:rPr>
                <w:rFonts w:ascii="Times New Roman" w:hAnsi="Times New Roman"/>
                <w:sz w:val="24"/>
              </w:rPr>
              <w:t>oglekļietilpīgākajiem</w:t>
            </w:r>
            <w:proofErr w:type="spellEnd"/>
            <w:r>
              <w:rPr>
                <w:rFonts w:ascii="Times New Roman" w:hAnsi="Times New Roman"/>
                <w:sz w:val="24"/>
              </w:rPr>
              <w:t xml:space="preserve"> uzņēmumiem pasaulē.</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Bruto uzskaites vērtība attiecībā pret uzņēmumu salīdzinājumā ar kopējo bruto uzskaites vērtību (kopā)</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Iestādes atklāj procentuālo daļu, kas iegūta no a) ailē norādītās kopējās bruto uzskaites vērtības, dalītu ar kopējo bruto uzskaites vērtību iestāžu riska darījumiem bankas portfelī, kā minēts Īstenošanas regulas (ES) 2021/451 V pielikuma 1. daļā, tajā skaitā aizdevumiem un avansiem, parāda vērtspapīriem un pašu kapitāla instrumentiem bankas portfelī, kas uzskaites portfeļos klasificēti bankas portfelī saskaņā ar minēto īstenošanas regulu, izņemot tirdzniecības nolūkā turētus finanšu aktīvus un pārdošanai turētus aktīvus.</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T. sk. vides ziņā ilgtspējīgi (</w:t>
            </w:r>
            <w:r>
              <w:rPr>
                <w:rFonts w:ascii="Times New Roman" w:hAnsi="Times New Roman"/>
                <w:i/>
                <w:sz w:val="24"/>
              </w:rPr>
              <w:t>CCM</w:t>
            </w:r>
            <w:r>
              <w:rPr>
                <w:rFonts w:ascii="Times New Roman" w:hAnsi="Times New Roman"/>
                <w:sz w:val="24"/>
              </w:rPr>
              <w:t>)</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atklāj tādu vides ziņā ilgtspējīgu riska darījumu kopējo bruto uzskaites vērtību, kas veicina klimata pārmaiņu mazināšanas mērķa sasniegšanu. Minētās summas pamatā ir finansētās darbības nolūks kreditēšanas īpašam nolūkam gadījumā vai darījumu partnera informācija par to, cik lielā mērā tā saimnieciskās darbības ir saskaņotas ar Regulu (ES) 2020/852, klimata pārmaiņu mazināšanas nolūkā (% no apgrozījuma, kas būtiski veicina klimata pārmaiņu mazināšanu).</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sāk atklāt šo informāciju ar pirmo informācijas atklāšanas atsauces datumu 2023. gada 31. decembrī.</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Vidējais termiņš</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atklāj aprēķinā vērā ņemto riska darījumu vidējo termiņu, kas svērts ar riska darījuma bruto uzskaites vērtību.</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Iekļauto 20 lielāko piesārņojošo uzņēmumu skaits</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norāda to lielāko piesārņojošo uzņēmumu skaitu, kas iekļauti kopējās bruto uzskaites vērtības aprēķinā.</w:t>
            </w:r>
          </w:p>
        </w:tc>
      </w:tr>
    </w:tbl>
    <w:p w14:paraId="09C823B2" w14:textId="77777777" w:rsidR="00183989" w:rsidRPr="00F27EAD"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5. veidne. Bankas portfelis – iespējamā klimata pārmaiņu fiziskā riska rādītāji: riska darījumi, kas pakļauti fiziskam riskam.</w:t>
      </w:r>
      <w:r>
        <w:rPr>
          <w:rFonts w:ascii="Times New Roman" w:hAnsi="Times New Roman"/>
          <w:sz w:val="24"/>
        </w:rPr>
        <w:t xml:space="preserve"> Fiksēts formāts.</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Iestādes izmanto turpmākos norādījumus, lai atklātu informāciju, kas prasīta 5. veidnē “Bankas portfelis – iespējamā klimata pārmaiņu fiziskā riska rādītāji: riska darījumi, kas pakļauti fiziskam riskam”, kā noteikts šīs regulas XXXIX pielikumā.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šajā veidnē iekļauj informāciju par riska darījumiem bankas portfelī, tajā skaitā aizdevumiem un avansiem, parāda vērtspapīriem un pašu kapitāla instrumentiem, kas nav turēti tirdzniecībai un nav turēti pārdošanai, ar </w:t>
      </w:r>
      <w:proofErr w:type="spellStart"/>
      <w:r>
        <w:rPr>
          <w:rFonts w:ascii="Times New Roman" w:hAnsi="Times New Roman"/>
          <w:sz w:val="24"/>
        </w:rPr>
        <w:t>nefinanšu</w:t>
      </w:r>
      <w:proofErr w:type="spellEnd"/>
      <w:r>
        <w:rPr>
          <w:rFonts w:ascii="Times New Roman" w:hAnsi="Times New Roman"/>
          <w:sz w:val="24"/>
        </w:rPr>
        <w:t xml:space="preserve"> sabiedrībām, par aizdevumiem, kas nodrošināti ar nekustamo īpašumu, un par atgūtiem nekustamā īpašuma nodrošinājumiem, kas pakļauti hroniskiem un akūtiem ar klimatu saistītiem apdraudējumiem, iedalot pēc saimnieciskās darbības nozares (</w:t>
      </w:r>
      <w:r>
        <w:rPr>
          <w:rFonts w:ascii="Times New Roman" w:hAnsi="Times New Roman"/>
          <w:i/>
          <w:sz w:val="24"/>
        </w:rPr>
        <w:t>NACE</w:t>
      </w:r>
      <w:r>
        <w:rPr>
          <w:rFonts w:ascii="Times New Roman" w:hAnsi="Times New Roman"/>
          <w:sz w:val="24"/>
        </w:rPr>
        <w:t xml:space="preserve"> klasifikācija) un pēc darījumu partnera darbības vai nodrošinājuma ģeogrāfiskās atrašanās vietas tajās nozarēs un ģeogrāfiskajos apgabalos, kuros notiek klimata pārmaiņu akūti un hroniski notikumi.</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Lai identificētu ģeogrāfiskās vietas, kurās var rasties specifiski ar klimatu saistīti apdraudējumi, iestādes izmanto specializētus portālus un datubāzes. Lai iegūtu informāciju par to atrašanās vietu raksturlielumiem, kuras ir jutīgas pret klimata pārmaiņu notikumiem, iestādes var izmantot datus, ko piedāvā Savienības struktūras un valstu valdības iestādes, tajā skaitā meteoroloģiskās, vides, statistikas aģentūras vai ģeozinātnes organizācijas. Lai identificētu ģeogrāfiskos apgabalus, kas ir pakļauti ar klimata pārmaiņām saistītiem apdraudējumiem, var izmantot, piemēram šādus datu avotus</w:t>
      </w:r>
      <w:r>
        <w:rPr>
          <w:rFonts w:ascii="Times New Roman" w:hAnsi="Times New Roman"/>
          <w:sz w:val="24"/>
          <w:vertAlign w:val="superscript"/>
        </w:rPr>
        <w:t>*20</w:t>
      </w:r>
      <w:r>
        <w:rPr>
          <w:rFonts w:ascii="Times New Roman" w:hAnsi="Times New Roman"/>
          <w:sz w:val="24"/>
        </w:rPr>
        <w:t xml:space="preserve">: </w:t>
      </w:r>
      <w:r>
        <w:rPr>
          <w:rFonts w:ascii="Times New Roman" w:hAnsi="Times New Roman"/>
          <w:i/>
          <w:sz w:val="24"/>
        </w:rPr>
        <w:t xml:space="preserve">GFDRR – </w:t>
      </w:r>
      <w:proofErr w:type="spellStart"/>
      <w:r>
        <w:rPr>
          <w:rFonts w:ascii="Times New Roman" w:hAnsi="Times New Roman"/>
          <w:i/>
          <w:sz w:val="24"/>
        </w:rPr>
        <w:t>ThinkHazard</w:t>
      </w:r>
      <w:proofErr w:type="spellEnd"/>
      <w:r>
        <w:rPr>
          <w:rFonts w:ascii="Times New Roman" w:hAnsi="Times New Roman"/>
          <w:i/>
          <w:sz w:val="24"/>
        </w:rPr>
        <w:t>!</w:t>
      </w:r>
      <w:r>
        <w:rPr>
          <w:rFonts w:ascii="Times New Roman" w:hAnsi="Times New Roman"/>
          <w:sz w:val="24"/>
        </w:rPr>
        <w:t xml:space="preserve"> (aptver karstuma viļņus, ūdens trūkumu un ūdens resursu noslodzi, plūdus, meža ugunsgrēkus, viesuļvētras, zemes nogruvumus); </w:t>
      </w:r>
      <w:r>
        <w:rPr>
          <w:rFonts w:ascii="Times New Roman" w:hAnsi="Times New Roman"/>
          <w:i/>
          <w:sz w:val="24"/>
        </w:rPr>
        <w:t xml:space="preserve">PREP – </w:t>
      </w:r>
      <w:proofErr w:type="spellStart"/>
      <w:r>
        <w:rPr>
          <w:rFonts w:ascii="Times New Roman" w:hAnsi="Times New Roman"/>
          <w:i/>
          <w:sz w:val="24"/>
        </w:rPr>
        <w:t>PREPdata</w:t>
      </w:r>
      <w:proofErr w:type="spellEnd"/>
      <w:r>
        <w:rPr>
          <w:rFonts w:ascii="Times New Roman" w:hAnsi="Times New Roman"/>
          <w:sz w:val="24"/>
        </w:rPr>
        <w:t xml:space="preserve"> (piekrastes plūdi, ārkārtējs karstums, zemes nogruvumi, ūdens trūkums un ūdens resursu noslodze, meža ugunsgrēki); </w:t>
      </w:r>
      <w:r>
        <w:rPr>
          <w:rFonts w:ascii="Times New Roman" w:hAnsi="Times New Roman"/>
          <w:i/>
          <w:sz w:val="24"/>
        </w:rPr>
        <w:t xml:space="preserve">WRI – </w:t>
      </w:r>
      <w:proofErr w:type="spellStart"/>
      <w:r>
        <w:rPr>
          <w:rFonts w:ascii="Times New Roman" w:hAnsi="Times New Roman"/>
          <w:i/>
          <w:sz w:val="24"/>
        </w:rPr>
        <w:t>Aqueduct</w:t>
      </w:r>
      <w:proofErr w:type="spellEnd"/>
      <w:r>
        <w:rPr>
          <w:rFonts w:ascii="Times New Roman" w:hAnsi="Times New Roman"/>
          <w:i/>
          <w:sz w:val="24"/>
        </w:rPr>
        <w:t xml:space="preserve"> </w:t>
      </w:r>
      <w:proofErr w:type="spellStart"/>
      <w:r>
        <w:rPr>
          <w:rFonts w:ascii="Times New Roman" w:hAnsi="Times New Roman"/>
          <w:i/>
          <w:sz w:val="24"/>
        </w:rPr>
        <w:t>Water</w:t>
      </w:r>
      <w:proofErr w:type="spellEnd"/>
      <w:r>
        <w:rPr>
          <w:rFonts w:ascii="Times New Roman" w:hAnsi="Times New Roman"/>
          <w:i/>
          <w:sz w:val="24"/>
        </w:rPr>
        <w:t xml:space="preserve"> Risk </w:t>
      </w:r>
      <w:proofErr w:type="spellStart"/>
      <w:r>
        <w:rPr>
          <w:rFonts w:ascii="Times New Roman" w:hAnsi="Times New Roman"/>
          <w:i/>
          <w:sz w:val="24"/>
        </w:rPr>
        <w:t>Atlas</w:t>
      </w:r>
      <w:proofErr w:type="spellEnd"/>
      <w:r>
        <w:rPr>
          <w:rFonts w:ascii="Times New Roman" w:hAnsi="Times New Roman"/>
          <w:sz w:val="24"/>
        </w:rPr>
        <w:t xml:space="preserve"> (plūdi, piekrastes plūdi, ūdens trūkums un ūdens resursu noslodze), </w:t>
      </w:r>
      <w:proofErr w:type="spellStart"/>
      <w:r>
        <w:rPr>
          <w:rFonts w:ascii="Times New Roman" w:hAnsi="Times New Roman"/>
          <w:i/>
          <w:sz w:val="24"/>
        </w:rPr>
        <w:t>Swiss</w:t>
      </w:r>
      <w:proofErr w:type="spellEnd"/>
      <w:r>
        <w:rPr>
          <w:rFonts w:ascii="Times New Roman" w:hAnsi="Times New Roman"/>
          <w:i/>
          <w:sz w:val="24"/>
        </w:rPr>
        <w:t xml:space="preserve"> Re – </w:t>
      </w:r>
      <w:proofErr w:type="spellStart"/>
      <w:r>
        <w:rPr>
          <w:rFonts w:ascii="Times New Roman" w:hAnsi="Times New Roman"/>
          <w:i/>
          <w:sz w:val="24"/>
        </w:rPr>
        <w:t>CatNet</w:t>
      </w:r>
      <w:proofErr w:type="spellEnd"/>
      <w:r>
        <w:rPr>
          <w:rFonts w:ascii="Times New Roman" w:hAnsi="Times New Roman"/>
          <w:i/>
          <w:sz w:val="24"/>
        </w:rPr>
        <w:t>®</w:t>
      </w:r>
      <w:r>
        <w:rPr>
          <w:rFonts w:ascii="Times New Roman" w:hAnsi="Times New Roman"/>
          <w:sz w:val="24"/>
        </w:rPr>
        <w:t xml:space="preserve"> (plūdi, tropiskais ciklons (viesuļvētra un taifūns), meža ugunsgrēki); Pasaules Banka – </w:t>
      </w:r>
      <w:proofErr w:type="spellStart"/>
      <w:r>
        <w:rPr>
          <w:rFonts w:ascii="Times New Roman" w:hAnsi="Times New Roman"/>
          <w:i/>
          <w:sz w:val="24"/>
        </w:rPr>
        <w:t>Climate</w:t>
      </w:r>
      <w:proofErr w:type="spellEnd"/>
      <w:r>
        <w:rPr>
          <w:rFonts w:ascii="Times New Roman" w:hAnsi="Times New Roman"/>
          <w:i/>
          <w:sz w:val="24"/>
        </w:rPr>
        <w:t xml:space="preserve"> </w:t>
      </w:r>
      <w:proofErr w:type="spellStart"/>
      <w:r>
        <w:rPr>
          <w:rFonts w:ascii="Times New Roman" w:hAnsi="Times New Roman"/>
          <w:i/>
          <w:sz w:val="24"/>
        </w:rPr>
        <w:t>Change</w:t>
      </w:r>
      <w:proofErr w:type="spellEnd"/>
      <w:r>
        <w:rPr>
          <w:rFonts w:ascii="Times New Roman" w:hAnsi="Times New Roman"/>
          <w:i/>
          <w:sz w:val="24"/>
        </w:rPr>
        <w:t xml:space="preserve"> </w:t>
      </w:r>
      <w:proofErr w:type="spellStart"/>
      <w:r>
        <w:rPr>
          <w:rFonts w:ascii="Times New Roman" w:hAnsi="Times New Roman"/>
          <w:i/>
          <w:sz w:val="24"/>
        </w:rPr>
        <w:t>Knowledge</w:t>
      </w:r>
      <w:proofErr w:type="spellEnd"/>
      <w:r>
        <w:rPr>
          <w:rFonts w:ascii="Times New Roman" w:hAnsi="Times New Roman"/>
          <w:i/>
          <w:sz w:val="24"/>
        </w:rPr>
        <w:t xml:space="preserve"> </w:t>
      </w:r>
      <w:proofErr w:type="spellStart"/>
      <w:r>
        <w:rPr>
          <w:rFonts w:ascii="Times New Roman" w:hAnsi="Times New Roman"/>
          <w:i/>
          <w:sz w:val="24"/>
        </w:rPr>
        <w:t>Portal</w:t>
      </w:r>
      <w:proofErr w:type="spellEnd"/>
      <w:r>
        <w:rPr>
          <w:rFonts w:ascii="Times New Roman" w:hAnsi="Times New Roman"/>
          <w:sz w:val="24"/>
        </w:rPr>
        <w:t xml:space="preserve"> (ārkārtējs karstums, ārkārtēji nokrišņi, sausums); </w:t>
      </w:r>
      <w:r>
        <w:rPr>
          <w:rFonts w:ascii="Times New Roman" w:hAnsi="Times New Roman"/>
          <w:i/>
          <w:sz w:val="24"/>
        </w:rPr>
        <w:t xml:space="preserve">PCA – </w:t>
      </w:r>
      <w:proofErr w:type="spellStart"/>
      <w:r>
        <w:rPr>
          <w:rFonts w:ascii="Times New Roman" w:hAnsi="Times New Roman"/>
          <w:i/>
          <w:sz w:val="24"/>
        </w:rPr>
        <w:t>Global</w:t>
      </w:r>
      <w:proofErr w:type="spellEnd"/>
      <w:r>
        <w:rPr>
          <w:rFonts w:ascii="Times New Roman" w:hAnsi="Times New Roman"/>
          <w:i/>
          <w:sz w:val="24"/>
        </w:rPr>
        <w:t xml:space="preserve"> </w:t>
      </w:r>
      <w:proofErr w:type="spellStart"/>
      <w:r>
        <w:rPr>
          <w:rFonts w:ascii="Times New Roman" w:hAnsi="Times New Roman"/>
          <w:i/>
          <w:sz w:val="24"/>
        </w:rPr>
        <w:t>Drought</w:t>
      </w:r>
      <w:proofErr w:type="spellEnd"/>
      <w:r>
        <w:rPr>
          <w:rFonts w:ascii="Times New Roman" w:hAnsi="Times New Roman"/>
          <w:i/>
          <w:sz w:val="24"/>
        </w:rPr>
        <w:t xml:space="preserve"> Risk </w:t>
      </w:r>
      <w:proofErr w:type="spellStart"/>
      <w:r>
        <w:rPr>
          <w:rFonts w:ascii="Times New Roman" w:hAnsi="Times New Roman"/>
          <w:i/>
          <w:sz w:val="24"/>
        </w:rPr>
        <w:t>platform</w:t>
      </w:r>
      <w:proofErr w:type="spellEnd"/>
      <w:r>
        <w:rPr>
          <w:rFonts w:ascii="Times New Roman" w:hAnsi="Times New Roman"/>
          <w:sz w:val="24"/>
        </w:rPr>
        <w:t xml:space="preserve"> (sausums); </w:t>
      </w:r>
      <w:r>
        <w:rPr>
          <w:rFonts w:ascii="Times New Roman" w:hAnsi="Times New Roman"/>
          <w:i/>
          <w:sz w:val="24"/>
        </w:rPr>
        <w:t xml:space="preserve">NOAA – </w:t>
      </w:r>
      <w:proofErr w:type="spellStart"/>
      <w:r>
        <w:rPr>
          <w:rFonts w:ascii="Times New Roman" w:hAnsi="Times New Roman"/>
          <w:i/>
          <w:sz w:val="24"/>
        </w:rPr>
        <w:t>Historical</w:t>
      </w:r>
      <w:proofErr w:type="spellEnd"/>
      <w:r>
        <w:rPr>
          <w:rFonts w:ascii="Times New Roman" w:hAnsi="Times New Roman"/>
          <w:i/>
          <w:sz w:val="24"/>
        </w:rPr>
        <w:t xml:space="preserve"> </w:t>
      </w:r>
      <w:proofErr w:type="spellStart"/>
      <w:r>
        <w:rPr>
          <w:rFonts w:ascii="Times New Roman" w:hAnsi="Times New Roman"/>
          <w:i/>
          <w:sz w:val="24"/>
        </w:rPr>
        <w:t>hurricane</w:t>
      </w:r>
      <w:proofErr w:type="spellEnd"/>
      <w:r>
        <w:rPr>
          <w:rFonts w:ascii="Times New Roman" w:hAnsi="Times New Roman"/>
          <w:i/>
          <w:sz w:val="24"/>
        </w:rPr>
        <w:t xml:space="preserve"> </w:t>
      </w:r>
      <w:proofErr w:type="spellStart"/>
      <w:r>
        <w:rPr>
          <w:rFonts w:ascii="Times New Roman" w:hAnsi="Times New Roman"/>
          <w:i/>
          <w:sz w:val="24"/>
        </w:rPr>
        <w:t>tracks</w:t>
      </w:r>
      <w:proofErr w:type="spellEnd"/>
      <w:r>
        <w:rPr>
          <w:rFonts w:ascii="Times New Roman" w:hAnsi="Times New Roman"/>
          <w:sz w:val="24"/>
        </w:rPr>
        <w:t xml:space="preserve"> (tropu ciklons (viesuļvētra un taifūns).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 xml:space="preserve">Ja darījumu partneris ir </w:t>
      </w:r>
      <w:proofErr w:type="spellStart"/>
      <w:r>
        <w:rPr>
          <w:rFonts w:ascii="Times New Roman" w:hAnsi="Times New Roman"/>
          <w:sz w:val="24"/>
        </w:rPr>
        <w:t>pārvaldītājsabiedrība</w:t>
      </w:r>
      <w:proofErr w:type="spellEnd"/>
      <w:r>
        <w:rPr>
          <w:rFonts w:ascii="Times New Roman" w:hAnsi="Times New Roman"/>
          <w:sz w:val="24"/>
        </w:rPr>
        <w:t xml:space="preserve">, iestādes ņem vērā </w:t>
      </w:r>
      <w:proofErr w:type="spellStart"/>
      <w:r>
        <w:rPr>
          <w:rFonts w:ascii="Times New Roman" w:hAnsi="Times New Roman"/>
          <w:sz w:val="24"/>
        </w:rPr>
        <w:t>pārvaldītājsabiedrības</w:t>
      </w:r>
      <w:proofErr w:type="spellEnd"/>
      <w:r>
        <w:rPr>
          <w:rFonts w:ascii="Times New Roman" w:hAnsi="Times New Roman"/>
          <w:sz w:val="24"/>
        </w:rPr>
        <w:t xml:space="preserve"> kontrolētā konkrētā parādnieka (ja tā nav pati </w:t>
      </w:r>
      <w:proofErr w:type="spellStart"/>
      <w:r>
        <w:rPr>
          <w:rFonts w:ascii="Times New Roman" w:hAnsi="Times New Roman"/>
          <w:sz w:val="24"/>
        </w:rPr>
        <w:t>pārvaldītājsabiedrība</w:t>
      </w:r>
      <w:proofErr w:type="spellEnd"/>
      <w:r>
        <w:rPr>
          <w:rFonts w:ascii="Times New Roman" w:hAnsi="Times New Roman"/>
          <w:sz w:val="24"/>
        </w:rPr>
        <w:t xml:space="preserve">) </w:t>
      </w:r>
      <w:r>
        <w:rPr>
          <w:rFonts w:ascii="Times New Roman" w:hAnsi="Times New Roman"/>
          <w:i/>
          <w:sz w:val="24"/>
        </w:rPr>
        <w:t>NACE</w:t>
      </w:r>
      <w:r>
        <w:rPr>
          <w:rFonts w:ascii="Times New Roman" w:hAnsi="Times New Roman"/>
          <w:sz w:val="24"/>
        </w:rPr>
        <w:t xml:space="preserve"> nozari, kas saņem finansējumu, jo īpaši gadījumos, kad parādnieks ir </w:t>
      </w:r>
      <w:proofErr w:type="spellStart"/>
      <w:r>
        <w:rPr>
          <w:rFonts w:ascii="Times New Roman" w:hAnsi="Times New Roman"/>
          <w:sz w:val="24"/>
        </w:rPr>
        <w:t>nefinanšu</w:t>
      </w:r>
      <w:proofErr w:type="spellEnd"/>
      <w:r>
        <w:rPr>
          <w:rFonts w:ascii="Times New Roman" w:hAnsi="Times New Roman"/>
          <w:sz w:val="24"/>
        </w:rPr>
        <w:t xml:space="preserve"> sabiedrība. Līdzīgi, ja iestādes tiešais darījumu partneris (parādnieks) ir īpašam nolūkam dibināta sabiedrība (</w:t>
      </w:r>
      <w:r>
        <w:rPr>
          <w:rFonts w:ascii="Times New Roman" w:hAnsi="Times New Roman"/>
          <w:i/>
          <w:sz w:val="24"/>
        </w:rPr>
        <w:t>SPV</w:t>
      </w:r>
      <w:r>
        <w:rPr>
          <w:rFonts w:ascii="Times New Roman" w:hAnsi="Times New Roman"/>
          <w:sz w:val="24"/>
        </w:rPr>
        <w:t xml:space="preserve">), iestādes atklāj attiecīgo informāciju par </w:t>
      </w:r>
      <w:r>
        <w:rPr>
          <w:rFonts w:ascii="Times New Roman" w:hAnsi="Times New Roman"/>
          <w:i/>
          <w:sz w:val="24"/>
        </w:rPr>
        <w:t>NACE</w:t>
      </w:r>
      <w:r>
        <w:rPr>
          <w:rFonts w:ascii="Times New Roman" w:hAnsi="Times New Roman"/>
          <w:sz w:val="24"/>
        </w:rPr>
        <w:t xml:space="preserve"> nozari, kas saistīta ar </w:t>
      </w:r>
      <w:r>
        <w:rPr>
          <w:rFonts w:ascii="Times New Roman" w:hAnsi="Times New Roman"/>
          <w:i/>
          <w:sz w:val="24"/>
        </w:rPr>
        <w:t>SPV</w:t>
      </w:r>
      <w:r>
        <w:rPr>
          <w:rFonts w:ascii="Times New Roman" w:hAnsi="Times New Roman"/>
          <w:sz w:val="24"/>
        </w:rPr>
        <w:t xml:space="preserve"> </w:t>
      </w:r>
      <w:proofErr w:type="spellStart"/>
      <w:r>
        <w:rPr>
          <w:rFonts w:ascii="Times New Roman" w:hAnsi="Times New Roman"/>
          <w:sz w:val="24"/>
        </w:rPr>
        <w:t>mātesuzņēmuma</w:t>
      </w:r>
      <w:proofErr w:type="spellEnd"/>
      <w:r>
        <w:rPr>
          <w:rFonts w:ascii="Times New Roman" w:hAnsi="Times New Roman"/>
          <w:sz w:val="24"/>
        </w:rPr>
        <w:t xml:space="preserve"> saimniecisko darbību. Klasificējot kopīgus riska darījumus, kuros ir vairāk nekā viens parādnieks, balstās uz tā parādnieka iezīmēm, kurš iestādei darījuma noslēgšanā bija būtiskākais. Kopīgi radušos riska darījumu sadalījumu pa </w:t>
      </w:r>
      <w:r>
        <w:rPr>
          <w:rFonts w:ascii="Times New Roman" w:hAnsi="Times New Roman"/>
          <w:i/>
          <w:sz w:val="24"/>
        </w:rPr>
        <w:t>NACE</w:t>
      </w:r>
      <w:r>
        <w:rPr>
          <w:rFonts w:ascii="Times New Roman" w:hAnsi="Times New Roman"/>
          <w:sz w:val="24"/>
        </w:rPr>
        <w:t xml:space="preserve"> kodiem nosaka būtiskākā vai noteicošā parādnieka iezīmes.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Iestādes atklāj informāciju šajā veidnē pēc iespējas labāk un veidnei pievienotajā aprakstā paskaidro informācijas avotus un metodes, ko tās ir izmantojušas, lai identificētu riska darījumus, kas pakļauti klimata pārmaiņu fiziskajam riskam.</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Ailes</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Norādījumi</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Ģeogrāfiskais apgabals, kas pakļauts klimata pārmaiņu akūtiem un hroniskiem notikumiem</w:t>
            </w:r>
          </w:p>
          <w:p w14:paraId="1D184C39" w14:textId="77777777" w:rsidR="00183989" w:rsidRPr="00F27EAD"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 xml:space="preserve">Iestādes atklāj informāciju par ģeogrāfiskajiem apgabaliem, kas pakļauti klimata pārmaiņu fizisku notikumu nelabvēlīgai ietekmei. Šie ģeogrāfiskie apgabali ietver valstis vai citus ģeogrāfiskos vai administratīvos reģionus, kuros atrodas darījumu partnera darbības vai nodrošinājums un kuri ir pakļauti hroniskiem vai akūtiem klimata pārmaiņu notikumiem. Riska darījumu ģeogrāfiskajam tvērumam iestādes pēc vajadzības izmanto dalījuma līmeni, kas norādīts Statistiski teritoriālo vienību nomenklatūrā (jeb </w:t>
            </w:r>
            <w:r>
              <w:rPr>
                <w:rFonts w:ascii="Times New Roman" w:hAnsi="Times New Roman"/>
                <w:i/>
                <w:sz w:val="24"/>
              </w:rPr>
              <w:t>NUTS</w:t>
            </w:r>
            <w:r>
              <w:rPr>
                <w:rFonts w:ascii="Times New Roman" w:hAnsi="Times New Roman"/>
                <w:sz w:val="24"/>
              </w:rPr>
              <w:t>).</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uzskaites vērtība</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 xml:space="preserve">Iestādes atklāj Īstenošanas regulas (ES) 2021/451 V pielikuma 1. daļā definēto bruto uzskaites vērtību minētajiem riska darījumiem ar </w:t>
            </w:r>
            <w:proofErr w:type="spellStart"/>
            <w:r>
              <w:rPr>
                <w:rFonts w:ascii="Times New Roman" w:hAnsi="Times New Roman"/>
                <w:sz w:val="24"/>
              </w:rPr>
              <w:t>nefinanšu</w:t>
            </w:r>
            <w:proofErr w:type="spellEnd"/>
            <w:r>
              <w:rPr>
                <w:rFonts w:ascii="Times New Roman" w:hAnsi="Times New Roman"/>
                <w:sz w:val="24"/>
              </w:rPr>
              <w:t xml:space="preserve"> sabiedrībām, tajā skaitā aizdevumiem un avansiem, parāda vērtspapīriem un pašu kapitāla instrumentiem, kas klasificēti uzskaites portfeļos bankas portfelī saskaņā ar minēto īstenošanas regulu, izņemot tirdzniecības nolūkā turētus finanšu aktīvus un pārdošanai turētus aktīvus.</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riska darījumi, kas ir jutīgi pret klimata pārmaiņu fizisko notikumu ietekmi</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Iestādes atklāj to riska darījumu bruto uzskaites vērtību, kurus var ietekmēt klimata pārmaiņu fiziski notikumi. To riska darījumu bruto uzskaites vērtība, kurus var ietekmēt klimata pārmaiņu fiziski notikumi, var būt vienāda ar visu riska darījuma vērtību, kas atklāta šīs veidnes b) ailē, vai var būt daļa no minētās riska darījuma vērtības.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Sadalījums pa termiņu grupām</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Iestādes iedala riska darījumus attiecīgajā grupā atkarībā no finanšu instrumenta atlikušā termiņa, ņemot vērā šādus aspektus:</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ja summa jāatmaksā pa daļām, riska darījumu iekļauj termiņa grupā atbilstīgi pēdējam maksājumam;</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 xml:space="preserve">ja riska darījumam nav noteikta termiņa tādu iemeslu dēļ, kas nav iespēja darījumu partnerim izvēlēties atmaksas datumu, šā riska </w:t>
            </w:r>
            <w:r>
              <w:rPr>
                <w:rFonts w:ascii="Times New Roman" w:hAnsi="Times New Roman"/>
                <w:sz w:val="24"/>
              </w:rPr>
              <w:lastRenderedPageBreak/>
              <w:t>darījuma vērtību atklāj ailē “&gt; 20 gadi”;</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lai aprēķinātu riska darījuma vidējo termiņu, iestādes katra riska darījuma termiņu vērtē pēc riska darījumu bruto uzskaites vērtības.</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riska darījumi, kas ir jutīgi pret hronisku klimata pārmaiņu notikumu ietekmi</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Iestādes atklāj tikai tādu riska darījumu bruto uzskaites vērtību, kas ir jutīgi pret hronisku klimata pārmaiņu notikumu ietekmi, tajā skaitā apdraudējumiem, kuri saistīti ar laikapstākļu un klimata pakāpeniskām pārmaiņām un kuriem ir iespējama ietekme uz ekonomikas izlaidi un ražīgumu.</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riska darījumi, kas ir jutīgi pret akūtu klimata pārmaiņu notikumu ietekmi</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Iestādes atklāj tikai tādu riska darījumu bruto uzskaites vērtību, kas ir jutīgi pret akūtu klimata pārmaiņu notikumu ietekmi, tajā skaitā apdraudējumiem, kuri var izraisīt pēkšņu kaitējumu īpašumiem, piegādes ķēžu traucējumus un aktīvu amortizāciju.</w:t>
            </w:r>
          </w:p>
          <w:p w14:paraId="48D7B200" w14:textId="77777777" w:rsidR="00183989" w:rsidRPr="00F27EAD"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riska darījumi, kas ir jutīgi gan pret hronisku, gan akūtu klimata pārmaiņu notikumu ietekmi</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Iestādes atklāj bruto uzskaites vērtību, kas pakļauta gan hronisku, gan akūtu klimata pārmaiņu notikumu ietekmei, kā minēts h) un i) ailē.</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2. pakāpe</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Iestādes, kas piemēro SFPS, atklāj “2. pakāpē” klasificēto instrumentu bruto uzskaites vērtību, kā definēts 9. SFPS.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Ailes “T. sk. 2. pakāpe” neaizpilda iestādes, kas piemēro valsts vispārpieņemtos grāmatvedības principus, pamatojoties uz Direktīvu 86/635/EEK.</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ienākumus nenesoši riska darījumi</w:t>
            </w:r>
          </w:p>
          <w:p w14:paraId="20F3319C" w14:textId="77777777" w:rsidR="00183989" w:rsidRPr="00E50FA4" w:rsidRDefault="00183989" w:rsidP="00D0691F">
            <w:pPr>
              <w:pStyle w:val="Fait"/>
              <w:spacing w:before="0" w:after="120"/>
              <w:rPr>
                <w:noProof/>
              </w:rPr>
            </w:pPr>
            <w:r>
              <w:t>Iestādes atklāj tādu Regulas (ES) Nr. 575/2013 47.a panta 3. punktā minēto ienākumus nenesošo riska darījumu bruto uzskaites vērtību, kurus var ietekmēt klimata pārmaiņu notikumi.</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Uzkrātais vērtības samazinājums, patiesās vērtības uzkrātās negatīvās izmaiņas kredītriska rezultātā un uzkrājumi</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Iestādes atklāj summas, kas minētas Īstenošanas regulas (ES) 2021/451 V pielikuma 2. daļas 11., 69., 70., 71., 106. un 110. punktā.</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2. pakāpes riska darījumi</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 ailē iekļauj 2. pakāpes riska darījumu uzkrāto vērtības samazinājuma summu.</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kas piemēro SFPS, atklāj “2. pakāpē” klasificēto instrumentu bruto uzskaites vērtību, kā definēts 9. SFPS.</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Ailes “T. sk. 2. pakāpe” neaizpilda iestādes, kas piemēro valsts vispārpieņemtos grāmatvedības principus, pamatojoties uz Direktīvu 86/635/EEK.</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ienākumus nenesoši riska darījumi</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atklāj uzkrātā vērtības samazinājuma summu, patiesās vērtības uzkrātās negatīvās izmaiņas kredītriska rezultātā un uzkrājumus, kas attiecināmi uz ienākumus nenesošiem riska darījumiem, kā minēts Regulas (ES) Nr. 575/2013 47.a panta 3. punktā.</w:t>
            </w:r>
          </w:p>
        </w:tc>
      </w:tr>
    </w:tbl>
    <w:p w14:paraId="3729E508" w14:textId="77777777" w:rsidR="00183989" w:rsidRPr="00F27EAD"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6. veidne. Galveno darbības rādītāju (</w:t>
      </w:r>
      <w:r>
        <w:rPr>
          <w:rFonts w:ascii="Times New Roman" w:hAnsi="Times New Roman"/>
          <w:b/>
          <w:i/>
          <w:sz w:val="24"/>
        </w:rPr>
        <w:t>KPI</w:t>
      </w:r>
      <w:r>
        <w:rPr>
          <w:rFonts w:ascii="Times New Roman" w:hAnsi="Times New Roman"/>
          <w:b/>
          <w:sz w:val="24"/>
        </w:rPr>
        <w:t xml:space="preserve">) kopsavilkums ar </w:t>
      </w:r>
      <w:proofErr w:type="spellStart"/>
      <w:r>
        <w:rPr>
          <w:rFonts w:ascii="Times New Roman" w:hAnsi="Times New Roman"/>
          <w:b/>
          <w:sz w:val="24"/>
        </w:rPr>
        <w:t>taksonomiju</w:t>
      </w:r>
      <w:proofErr w:type="spellEnd"/>
      <w:r>
        <w:rPr>
          <w:rFonts w:ascii="Times New Roman" w:hAnsi="Times New Roman"/>
          <w:b/>
          <w:sz w:val="24"/>
        </w:rPr>
        <w:t xml:space="preserve"> saskaņotiem riska darījumiem. </w:t>
      </w:r>
      <w:r>
        <w:rPr>
          <w:rFonts w:ascii="Times New Roman" w:hAnsi="Times New Roman"/>
          <w:sz w:val="24"/>
        </w:rPr>
        <w:t>Fiksēts formāts.</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6. veidnē sniedz pārskatu par </w:t>
      </w:r>
      <w:r>
        <w:rPr>
          <w:rFonts w:ascii="Times New Roman" w:hAnsi="Times New Roman"/>
          <w:i/>
          <w:sz w:val="24"/>
        </w:rPr>
        <w:t>KPI</w:t>
      </w:r>
      <w:r>
        <w:rPr>
          <w:rFonts w:ascii="Times New Roman" w:hAnsi="Times New Roman"/>
          <w:sz w:val="24"/>
        </w:rPr>
        <w:t>, kas aprēķināti, pamatojoties uz XXXIX pielikuma 7. un 8. veidni, tajā skaitā zaļo aktīvu koeficientu (ZAK), kā minēts Komisijas Deleģētajā regulā (ES) 2021/2178</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Lai gan Deleģētajā regulā (ES) 2021/2178 kredītiestādēm ir noteikts pienākums ZAK aplēst un atklāt divreiz – vienreiz pamatojoties uz darījumu partnera (</w:t>
      </w:r>
      <w:proofErr w:type="spellStart"/>
      <w:r>
        <w:rPr>
          <w:rFonts w:ascii="Times New Roman" w:hAnsi="Times New Roman"/>
          <w:sz w:val="24"/>
        </w:rPr>
        <w:t>nefinanšu</w:t>
      </w:r>
      <w:proofErr w:type="spellEnd"/>
      <w:r>
        <w:rPr>
          <w:rFonts w:ascii="Times New Roman" w:hAnsi="Times New Roman"/>
          <w:sz w:val="24"/>
        </w:rPr>
        <w:t xml:space="preserve"> sabiedrībām) apgrozījuma pielāgojumu </w:t>
      </w:r>
      <w:proofErr w:type="spellStart"/>
      <w:r>
        <w:rPr>
          <w:rFonts w:ascii="Times New Roman" w:hAnsi="Times New Roman"/>
          <w:sz w:val="24"/>
        </w:rPr>
        <w:t>taksonomijai</w:t>
      </w:r>
      <w:proofErr w:type="spellEnd"/>
      <w:r>
        <w:rPr>
          <w:rFonts w:ascii="Times New Roman" w:hAnsi="Times New Roman"/>
          <w:sz w:val="24"/>
        </w:rPr>
        <w:t xml:space="preserve"> attiecībā uz tiem riska darījumiem, kuru mērķis nav finansēt konkrētas identificētās darbības (vispārējā mērķa kreditēšana), un otrreiz pamatojoties uz darījumu partnera kapitālizdevumu (</w:t>
      </w:r>
      <w:proofErr w:type="spellStart"/>
      <w:r>
        <w:rPr>
          <w:rFonts w:ascii="Times New Roman" w:hAnsi="Times New Roman"/>
          <w:i/>
          <w:sz w:val="24"/>
        </w:rPr>
        <w:t>CapEx</w:t>
      </w:r>
      <w:proofErr w:type="spellEnd"/>
      <w:r>
        <w:rPr>
          <w:rFonts w:ascii="Times New Roman" w:hAnsi="Times New Roman"/>
          <w:sz w:val="24"/>
        </w:rPr>
        <w:t xml:space="preserve">) pielāgojumu </w:t>
      </w:r>
      <w:proofErr w:type="spellStart"/>
      <w:r>
        <w:rPr>
          <w:rFonts w:ascii="Times New Roman" w:hAnsi="Times New Roman"/>
          <w:sz w:val="24"/>
        </w:rPr>
        <w:t>taksonomijai</w:t>
      </w:r>
      <w:proofErr w:type="spellEnd"/>
      <w:r>
        <w:rPr>
          <w:rFonts w:ascii="Times New Roman" w:hAnsi="Times New Roman"/>
          <w:sz w:val="24"/>
        </w:rPr>
        <w:t xml:space="preserve"> attiecībā uz tiem pašiem vispārējā mērķa kreditēšanas riska darījumiem, – šajā veidnē iestādes atklāj ZAK tikai vienreiz, pamatojoties uz darījumu partnera apgrozījuma pielāgojumu tikai attiecībā uz vispārējā mērķa kreditēšanas daļu.</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Attiecībā uz krājumu ZAK (klimata pārmaiņu mazināšana), ZAK (pielāgošanās klimata pārmaiņām), ZAK (klimata pārmaiņu mazināšana un pielāgošanās klimata pārmaiņām) atbilst attiecīgi 8. veidnes b), g) un l) ailē iekļautajam </w:t>
      </w:r>
      <w:r>
        <w:rPr>
          <w:rFonts w:ascii="Times New Roman" w:hAnsi="Times New Roman"/>
          <w:i/>
          <w:sz w:val="24"/>
        </w:rPr>
        <w:t>KPI</w:t>
      </w:r>
      <w:r>
        <w:rPr>
          <w:rFonts w:ascii="Times New Roman" w:hAnsi="Times New Roman"/>
          <w:sz w:val="24"/>
        </w:rPr>
        <w:t xml:space="preserve">. Attiecībā uz plūsmu ZAK (klimata pārmaiņu mazināšana), ZAK (pielāgošanās klimata pārmaiņām), ZAK (klimata pārmaiņu mazināšana un pielāgošanās klimata pārmaiņām) atbilst attiecīgi 8. veidnes 1. rindas r), w) un </w:t>
      </w:r>
      <w:proofErr w:type="spellStart"/>
      <w:r>
        <w:rPr>
          <w:rFonts w:ascii="Times New Roman" w:hAnsi="Times New Roman"/>
          <w:sz w:val="24"/>
        </w:rPr>
        <w:t>ab</w:t>
      </w:r>
      <w:proofErr w:type="spellEnd"/>
      <w:r>
        <w:rPr>
          <w:rFonts w:ascii="Times New Roman" w:hAnsi="Times New Roman"/>
          <w:sz w:val="24"/>
        </w:rPr>
        <w:t xml:space="preserve">) ailē iekļautajam </w:t>
      </w:r>
      <w:r>
        <w:rPr>
          <w:rFonts w:ascii="Times New Roman" w:hAnsi="Times New Roman"/>
          <w:i/>
          <w:sz w:val="24"/>
        </w:rPr>
        <w:t>KPI</w:t>
      </w:r>
      <w:r>
        <w:rPr>
          <w:rFonts w:ascii="Times New Roman" w:hAnsi="Times New Roman"/>
          <w:sz w:val="24"/>
        </w:rPr>
        <w:t>.</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Informāciju par tvērumu iekļauj 8. veidnes 1. rindas p) ailē attiecībā uz ZAK krājumu un </w:t>
      </w:r>
      <w:proofErr w:type="spellStart"/>
      <w:r>
        <w:rPr>
          <w:rFonts w:ascii="Times New Roman" w:hAnsi="Times New Roman"/>
          <w:sz w:val="24"/>
        </w:rPr>
        <w:t>af</w:t>
      </w:r>
      <w:proofErr w:type="spellEnd"/>
      <w:r>
        <w:rPr>
          <w:rFonts w:ascii="Times New Roman" w:hAnsi="Times New Roman"/>
          <w:sz w:val="24"/>
        </w:rPr>
        <w:t>) ailē attiecībā uz ZAK plūsmu.</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Iestādes atklāj šo informāciju ar pirmo atsauces datumu 2023. gada 31. decembrī, kas atbilst ZAK pirmajam informācijas atklāšanas atsauces datumam, kas minēts Deleģētajā regulā (ES) 2021/2178.</w:t>
      </w:r>
    </w:p>
    <w:p w14:paraId="0050DFCF" w14:textId="77777777" w:rsidR="00183989" w:rsidRPr="00F27EAD"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7. veidne. Mazināšanas darbības: aktīvi ZAK aprēķinam. </w:t>
      </w:r>
      <w:r>
        <w:rPr>
          <w:rFonts w:ascii="Times New Roman" w:hAnsi="Times New Roman"/>
          <w:sz w:val="24"/>
        </w:rPr>
        <w:t>Fiksēts formāts</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izmanto turpmākos norādījumus, lai atklātu informāciju, kas prasīta 7. veidnē “Mazināšanas darbības: aktīvi ZAK aprēķinam”, kā noteikts šīs regulas XXXIX pielikumā.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šajā veidnē atklāj informāciju par iestāžu aizdevumu un avansu, parāda vērtspapīru un kapitāla instrumentu bruto uzskaites vērtību savā bankas portfelī, iedalot informāciju pa darījuma partneru veidiem, tajā skaitā finanšu sabiedrībām, </w:t>
      </w:r>
      <w:proofErr w:type="spellStart"/>
      <w:r>
        <w:rPr>
          <w:rFonts w:ascii="Times New Roman" w:hAnsi="Times New Roman"/>
          <w:sz w:val="24"/>
        </w:rPr>
        <w:t>nefinanšu</w:t>
      </w:r>
      <w:proofErr w:type="spellEnd"/>
      <w:r>
        <w:rPr>
          <w:rFonts w:ascii="Times New Roman" w:hAnsi="Times New Roman"/>
          <w:sz w:val="24"/>
        </w:rPr>
        <w:t xml:space="preserve"> sabiedrībām, mājsaimniecībām, vietējām pašvaldībām, kā arī nekustamā īpašuma aizdevumiem mājsaimniecībām, un riska darījumu </w:t>
      </w:r>
      <w:proofErr w:type="spellStart"/>
      <w:r>
        <w:rPr>
          <w:rFonts w:ascii="Times New Roman" w:hAnsi="Times New Roman"/>
          <w:sz w:val="24"/>
        </w:rPr>
        <w:t>taksonomijas</w:t>
      </w:r>
      <w:proofErr w:type="spellEnd"/>
      <w:r>
        <w:rPr>
          <w:rFonts w:ascii="Times New Roman" w:hAnsi="Times New Roman"/>
          <w:sz w:val="24"/>
        </w:rPr>
        <w:t xml:space="preserve"> atbilstības un </w:t>
      </w:r>
      <w:proofErr w:type="spellStart"/>
      <w:r>
        <w:rPr>
          <w:rFonts w:ascii="Times New Roman" w:hAnsi="Times New Roman"/>
          <w:sz w:val="24"/>
        </w:rPr>
        <w:t>taksonomijas</w:t>
      </w:r>
      <w:proofErr w:type="spellEnd"/>
      <w:r>
        <w:rPr>
          <w:rFonts w:ascii="Times New Roman" w:hAnsi="Times New Roman"/>
          <w:sz w:val="24"/>
        </w:rPr>
        <w:t xml:space="preserve"> pielāgošanu attiecībā uz vides mērķiem saistībā ar klimata pārmaiņu mazināšanu un pielāgošanos klimata pārmaiņām, kā minēts Regulas (ES) 2020/852 9. panta a) un b) punktā.</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Konkrētāk, iestādes šajā veidnē iekļauj informāciju, kas nepieciešama ZAK aprēķinam saskaņā ar Deleģēto regulu (ES) 2021/2178. Lai gan Deleģētajā regulā (ES) 2021/2178 kredītiestādēm ir noteikts pienākums ZAK aplēst un atklāt divreiz – vienreiz pamatojoties uz darījumu partnera (</w:t>
      </w:r>
      <w:proofErr w:type="spellStart"/>
      <w:r>
        <w:rPr>
          <w:rFonts w:ascii="Times New Roman" w:hAnsi="Times New Roman"/>
          <w:sz w:val="24"/>
        </w:rPr>
        <w:t>nefinanšu</w:t>
      </w:r>
      <w:proofErr w:type="spellEnd"/>
      <w:r>
        <w:rPr>
          <w:rFonts w:ascii="Times New Roman" w:hAnsi="Times New Roman"/>
          <w:sz w:val="24"/>
        </w:rPr>
        <w:t xml:space="preserve"> sabiedrībām) apgrozījuma pielāgojumu </w:t>
      </w:r>
      <w:proofErr w:type="spellStart"/>
      <w:r>
        <w:rPr>
          <w:rFonts w:ascii="Times New Roman" w:hAnsi="Times New Roman"/>
          <w:sz w:val="24"/>
        </w:rPr>
        <w:t>taksonomijai</w:t>
      </w:r>
      <w:proofErr w:type="spellEnd"/>
      <w:r>
        <w:rPr>
          <w:rFonts w:ascii="Times New Roman" w:hAnsi="Times New Roman"/>
          <w:sz w:val="24"/>
        </w:rPr>
        <w:t xml:space="preserve"> attiecībā uz tiem riska darījumiem, kuru mērķis nav finansēt konkrētas identificētās darbības (vispārējā mērķa kreditēšana), un otrreiz pamatojoties uz darījumu partnera kapitālizdevumu (</w:t>
      </w:r>
      <w:proofErr w:type="spellStart"/>
      <w:r>
        <w:rPr>
          <w:rFonts w:ascii="Times New Roman" w:hAnsi="Times New Roman"/>
          <w:i/>
          <w:sz w:val="24"/>
        </w:rPr>
        <w:t>CapEx</w:t>
      </w:r>
      <w:proofErr w:type="spellEnd"/>
      <w:r>
        <w:rPr>
          <w:rFonts w:ascii="Times New Roman" w:hAnsi="Times New Roman"/>
          <w:sz w:val="24"/>
        </w:rPr>
        <w:t xml:space="preserve">) pielāgojumu </w:t>
      </w:r>
      <w:proofErr w:type="spellStart"/>
      <w:r>
        <w:rPr>
          <w:rFonts w:ascii="Times New Roman" w:hAnsi="Times New Roman"/>
          <w:sz w:val="24"/>
        </w:rPr>
        <w:t>taksonomijai</w:t>
      </w:r>
      <w:proofErr w:type="spellEnd"/>
      <w:r>
        <w:rPr>
          <w:rFonts w:ascii="Times New Roman" w:hAnsi="Times New Roman"/>
          <w:sz w:val="24"/>
        </w:rPr>
        <w:t xml:space="preserve"> attiecībā uz tiem pašiem vispārējā mērķa kreditēšanas riska darījumiem, – šajā veidnē iestādes atklāj ZAK tikai </w:t>
      </w:r>
      <w:r>
        <w:rPr>
          <w:rFonts w:ascii="Times New Roman" w:hAnsi="Times New Roman"/>
          <w:sz w:val="24"/>
        </w:rPr>
        <w:lastRenderedPageBreak/>
        <w:t>vienreiz, pamatojoties uz darījumu partnera apgrozījuma pielāgojumu tikai attiecībā uz vispārējā mērķa kreditēšanas daļu.</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Pamatojoties uz minēto informāciju, iestādes aprēķina un atklāj savu ZAK, kā minēts Deleģētajā regulā (ES) 2021/2178. Iekļautā informācija attiecas uz klimata pārmaiņu mazināšanu un pielāgošanos klimata pārmaiņām, kā minēts Regulas (ES) 2020/852 9. panta a) un b) punktā.</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Iestādes atklāj šo informāciju ar pirmo atsauces datumu 2023. gada 31. decembrī, kas ir ZAK pirmais informācijas atklāšanas atsauces datums, kā minēts Deleģētajā regulā (ES)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Ailes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Norādījumi</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uzskaites vērtība</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bruto uzskaites vērtību, kā definēts Īstenošanas regulas (ES) 2021/451 V pielikuma 1. daļā.</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ar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svarīgām nozarēm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bruto uzskaites vērtību, kā definēts Īstenošanas regulas (ES) 2021/451 V pielikuma 1. daļā.</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atbilstīgiem riska darījumiem ar nozarēm (4 līmeņu </w:t>
            </w:r>
            <w:r>
              <w:rPr>
                <w:rFonts w:ascii="Times New Roman" w:hAnsi="Times New Roman"/>
                <w:i/>
                <w:sz w:val="24"/>
              </w:rPr>
              <w:t>NACE</w:t>
            </w:r>
            <w:r>
              <w:rPr>
                <w:rFonts w:ascii="Times New Roman" w:hAnsi="Times New Roman"/>
                <w:sz w:val="24"/>
              </w:rPr>
              <w:t xml:space="preserve"> kodi), kas svarīgas attiecīgajam vides mērķim saskaņā ar </w:t>
            </w:r>
            <w:proofErr w:type="spellStart"/>
            <w:r>
              <w:rPr>
                <w:rFonts w:ascii="Times New Roman" w:hAnsi="Times New Roman"/>
                <w:sz w:val="24"/>
              </w:rPr>
              <w:t>taksonomiju</w:t>
            </w:r>
            <w:proofErr w:type="spellEnd"/>
            <w:r>
              <w:rPr>
                <w:rFonts w:ascii="Times New Roman" w:hAnsi="Times New Roman"/>
                <w:sz w:val="24"/>
              </w:rPr>
              <w:t>, kā norādīts Komisijas Deleģētās regulas (ES) 2021/2139</w:t>
            </w:r>
            <w:r>
              <w:rPr>
                <w:rFonts w:ascii="Times New Roman" w:hAnsi="Times New Roman"/>
                <w:sz w:val="24"/>
                <w:vertAlign w:val="superscript"/>
              </w:rPr>
              <w:t>*22</w:t>
            </w:r>
            <w:r>
              <w:rPr>
                <w:rFonts w:ascii="Times New Roman" w:hAnsi="Times New Roman"/>
                <w:sz w:val="24"/>
              </w:rPr>
              <w:t xml:space="preserve"> I pielikumā.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riska darījumus ar svarīgām nozarēm klimata pārmaiņu mazināšanas nolūkā saskaņā ar Regulas (ES) 2020/852 9. panta a) punktu un 10. pantu.</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kā definēts Īstenošanas regulas (ES) 2021/451 V pielikuma 1. daļā.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tādu atbilstīgo riska darījumu bruto uzskaites vērtību, kas ir vides ziņā ilgtspējīgi, kā noteikts Deleģētās regulas (ES) 2021/2139 I pielikumā.</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Iestādes atklāj vides ziņā ilgtspējīgus riska darījumus klimata pārmaiņu mazināšanas nolūkā saskaņā ar Regulas (ES) 2020/852 9. panta a) punktu un 10. pantu.</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Ja ieņēmumu izlietojums ir zināms (specializētā kreditēšana, tajā skaitā projektu finansēšanas aizdevumi, kā minēts Īstenošanas regulas (ES) 2021/451 V pielikumā), iestādes atklāj to, cik lielā mērā riska darījums ir vides ziņā ilgtspējīgs. Šādas informācijas atklāšanas pamatā ir apmērs, kādā finansētais projekts būtiski veicina klimata pārmaiņu mazināšanu saskaņā ar Regulas (ES) 2020/852 10. pantu vai ir veicinoša darbība saskaņā ar minētās regulas 16. pantu, un atbilst minētās regulas 3. pantā noteiktajiem kritērijiem. Ja ieņēmumu izlietojums nav zināms, iestādes atklāj to, cik lielā mērā riska darījums ir vides ziņā ilgtspējīgs, izmantojot no darījuma partnera saņemto informāciju, saskaņā ar Regulas (ES) 2020/852 8. pantu, par apgrozījuma daļu, kas iegūta no produktiem vai pakalpojumiem, kuri saistīti ar saimnieciskajām </w:t>
            </w:r>
            <w:r>
              <w:rPr>
                <w:rFonts w:ascii="Times New Roman" w:hAnsi="Times New Roman"/>
                <w:sz w:val="24"/>
              </w:rPr>
              <w:lastRenderedPageBreak/>
              <w:t>darbībām, kas saskaņā ar minētās regulas 3. pantu ir uzskatāmas par vides ziņā ilgtspējīgām.</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Katru riska darījumu ņem vērā tikai vienreiz un attiecina tikai uz vienu vides mērķi. Ja riska darījumi attiecas uz vairāk nekā vienu vides mērķi, to iedala visatbilstošākajam mērķim.</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bruto uzskaites vērtību, kā definēts Īstenošanas regulas (ES) 2021/451 V pielikuma 1. daļā.</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Specializētās kreditēšanas riska darījumus saprot tā, kā minēts Regulas (ES) Nr. 575/2013 147. panta 8. punktā. Tā ietver riska darījumus, kas ir vides ziņā ilgtspējīgi klimata pārmaiņu mazināšanas nolūkā saskaņā ar Regulas (ES) 2020/852 9. panta a) punktu un 10. pantu.</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Ja ieņēmumu izlietojums ir zināms, specializētās kreditēšanas gadījumā iestādes atklāj to, cik lielā mērā riska darījums ir vides ziņā ilgtspējīgs, pamatojoties uz apmēru un proporciju, kādā konkrētais finansētais projekts ir kvalificējams kā tāds, kas būtiski veicina klimata pārmaiņu mazināšanu (konkrēta projekta informācija) saskaņā ar Regulas (ES) 2020/852 10. pantu, vai kā veicinoša darbība saskaņā ar 16. pantu, un atbilst minētās regulas 3. pantā noteiktajiem kritērijiem. Iestādes sniedz pārredzamu informāciju par to, kāda veida saimnieciskas darbības tiek finansētas, izmantojot specializēto kreditēšanu. Ja viens un tas pats specializētās kreditēšanas riska darījums attiecas uz diviem vides mērķiem, iestādes to attiecina uz visbūtiskāko mērķi.</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pārejas</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Regulas (ES) 2020/852 10. pants.</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Regulas (ES) 2020/852 16. pants.</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ar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svarīgām nozarēm</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kā definēts Īstenošanas regulas (ES) 2021/451 V pielikuma 1. daļā.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atbilstīgiem riska darījumiem ar nozarēm (4 līmeņu </w:t>
            </w:r>
            <w:r>
              <w:rPr>
                <w:rFonts w:ascii="Times New Roman" w:hAnsi="Times New Roman"/>
                <w:i/>
                <w:sz w:val="24"/>
              </w:rPr>
              <w:t>NACE</w:t>
            </w:r>
            <w:r>
              <w:rPr>
                <w:rFonts w:ascii="Times New Roman" w:hAnsi="Times New Roman"/>
                <w:sz w:val="24"/>
              </w:rPr>
              <w:t xml:space="preserve"> kodi), kas svarīgas attiecīgajam vides mērķim saskaņā ar </w:t>
            </w:r>
            <w:proofErr w:type="spellStart"/>
            <w:r>
              <w:rPr>
                <w:rFonts w:ascii="Times New Roman" w:hAnsi="Times New Roman"/>
                <w:sz w:val="24"/>
              </w:rPr>
              <w:t>taksonomiju</w:t>
            </w:r>
            <w:proofErr w:type="spellEnd"/>
            <w:r>
              <w:rPr>
                <w:rFonts w:ascii="Times New Roman" w:hAnsi="Times New Roman"/>
                <w:sz w:val="24"/>
              </w:rPr>
              <w:t xml:space="preserve">, kā norādīts Deleģētās regulas (ES) 2021/2139 II pielikumā.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riska darījumus ar svarīgām nozarēm pielāgošanās klimata pārmaiņām nolūkā saskaņā ar Regulas (ES) 2020/852 9. panta b) punktu un 11. pantu.</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kā definēts Īstenošanas regulas (ES) 2021/451 V pielikuma 1. daļā.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tādu atbilstīgo riska darījumu bruto uzskaites vērtību, kas ir vides ziņā ilgtspējīgi, kā noteikts Deleģētās regulas (ES) 2021/2139 II pielikumā.</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Iestādes atklāj vides ziņā ilgtspējīgus riska darījumus pielāgošanās klimata pārmaiņām nolūkā saskaņā ar Regulas (ES) 2020/852 9. panta b) punktu un 11. pantu.</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Ja ieņēmumu izlietojums ir zināms, specializētās kreditēšanas gadījumā iestādes atklāj to, cik lielā mērā riska darījums ir vides ziņā ilgtspējīgs, pamatojoties uz apmēru un proporciju, kādā finansētais projekts ir kvalificējams kā tāds, kas būtiski veicina pielāgošanos klimata pārmaiņām saskaņā ar Regulas (ES) 2020/852 11. pantu, vai kā veicinoša darbība saskaņā ar minētās regulas 16. pantu, un atbilst minētās regulas 3. pantā noteiktajiem kritērijiem.</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Ja ieņēmumu izlietojums nav zināms, iestādes atklāj to, cik lielā mērā riska darījums ir vides ziņā ilgtspējīgs, izmantojot darījumu partnera sniegto informāciju, saskaņā ar Regulas (ES) 2020/852 8. pantu, par apgrozījuma daļu, kas iegūta no produktiem vai pakalpojumiem, kuri saistīti ar saimnieciskajām darbībām, kas saskaņā ar minētās regulas 3. pantu ir uzskatāmas par vides ziņā ilgtspējīgām.</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Katru riska darījumu ņem vērā tikai vienreiz un attiecina tikai uz vienu vides mērķi. Ja riska darījumi attiecas uz vairāk nekā vienu vides mērķi, riska darījumus iedala visatbilstošākajam mērķim.</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Iestādēm jāatklāj bruto uzskaites vērtība, kā definēts Īstenošanas regulas (ES) 2021/451 V pielikuma 1. daļā.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Specializētās kreditēšanas riska darījumus saprot tā, kā minēts Regulas (ES) Nr. 575/2013 147. panta 8. punktā.</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Iestādes atklāj specializētās kreditēšanas riska darījumus, kas ir vides ziņā ilgtspējīgi pielāgošanās klimata pārmaiņām nolūkā saskaņā ar Regulas (ES) 2020/852 9. panta b) punktu un 11. pantu.</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Iestādes atklāj to, cik lielā mērā riska darījums ir vides ziņā ilgtspējīgs, izmantojot darījumu partnera sniegto informāciju.</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Ja ieņēmumu izlietojums ir zināms, specializētās kreditēšanas gadījumā iestādes atklāj to, cik lielā mērā riska darījums ir vides ziņā ilgtspējīgs, pamatojoties uz apmēru un proporciju, kādā konkrētais finansētais projekts ir kvalificējams kā tāds, kas būtiski veicina pielāgošanos klimata pārmaiņām (konkrēta projekta informācija) saskaņā ar Regulas (ES) 2020/852 11. pantu, vai kā veicinoša darbība saskaņā ar minētās regulas 16. pantu, un atbilst minētās regulas 3. pantā noteiktajiem kritērijiem. Iestādes sniedz pārredzamu informāciju par to, kāda veida saimnieciskas darbības tiek finansētas, izmantojot specializēto kreditēšanu. Ja viens un tas pats specializētās kreditēšanas riska darījums var attiekties uz diviem vides mērķiem, riska darījumu attiecina uz visbūtiskāko mērķi.</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pielāgošanās</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Regulas (ES) 2020/852 11. pants. Šīs darbības attiecas uz darbībām, kas nav veicinošās darbības.</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Regulas (ES) 2020/852 16. pants.</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ar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svarīgām nozarēm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kā definēts Īstenošanas regulas (ES) 2021/451 V pielikuma 1. daļā.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norāda šīs veidnes b) un g) ailes summu.</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kā definēts Īstenošanas regulas (ES) 2021/451 V pielikuma 1. daļā.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norāda šīs veidnes c) un h) ailes summu.</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bruto uzskaites vērtību, kā definēts Īstenošanas regulas (ES) 2021/451 V pielikuma 1. daļā.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Specializētās kreditēšanas riska darījumus saprot tā, kā minēts Regulas (ES) Nr. 575/2013 147. panta 8. punktā.</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norāda šīs veidnes d) un i) ailes summu.</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pārejas/pielāgošanās</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Nr. 2020/852 10. un 11. pants.</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norāda šīs veidnes e) un j) ailes summu.</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16. pants.</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norāda šīs veidnes f) un k) ailes summu.</w:t>
            </w:r>
          </w:p>
        </w:tc>
      </w:tr>
    </w:tbl>
    <w:p w14:paraId="4B432C06" w14:textId="77777777" w:rsidR="00183989" w:rsidRPr="00F27EAD"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Rindas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Norādījumi</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ZAK – segtie aktīvi gan skaitītājā, gan saucējā</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Atbilstīgie riska darījumi ir tie, kas saistīti ar darījuma partneriem un aktīvu klasēm, uz kurām attiecas informācijas atklāšanas prasības saskaņā ar Regulas (ES) 2020/852 8. pantu.</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Aizdevumi un avansi, parāda vērtspapīri un pašu kapitāla instrumenti, kas nav turēti tirdzniecībai un ir atbilstīgi ZAK</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aizdevumus un avansus, parāda vērtspapīrus un pašu kapitāla instrumentus, kas klasificēti bankas portfelī, nav turēti tirdzniecības nolūkā un nav turēti pārdošanai, kā definēts Īstenošanas regulas (ES) 2021/451 V pielikumā.</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Finanšu sabiedrības</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riska darījumus, kas minēti Īstenošanas regulas (ES) 2021/451 </w:t>
            </w:r>
            <w:r>
              <w:rPr>
                <w:rFonts w:ascii="Times New Roman" w:hAnsi="Times New Roman"/>
                <w:sz w:val="24"/>
              </w:rPr>
              <w:lastRenderedPageBreak/>
              <w:t>V pielikuma 1. daļas 42. punkta c) un d) apakšpunktā.</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Kredītiestādes</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riska darījumus, kas minēti Īstenošanas regulas (ES) 2021/451 V pielikuma 1. daļas 42. punkta c) apakšpunktā.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Aizdevumi un avansi</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aizdevumus un avansus, kas minēti Īstenošanas regulas (ES) 2021/451 V pielikuma 1. daļas 32. punktā.</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Parāda vērtspapīri</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atklāj parāda vērtspapīrus, kā minēts Īstenošanas regulas (ES) 2021/451 V pielikuma 1. daļas 31. punktā.</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Pašu kapitāla instrumenti</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atklāj pašu kapitāla instrumentus, kā minēts Īstenošanas regulas (ES) 2021/451 V pielikumā. Pašu kapitāla instrumenti bankas portfelī ietver ieguldījumus asociētajos uzņēmumos, kopuzņēmumos un meitasuzņēmumos, kas nav pilnībā vai proporcionāli konsolidēti.</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Citas finanšu sabiedrības</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atklāj riska darījumus ar citām finanšu sabiedrībām, kā minēts Īstenošanas regulas (ES) 2021/451 V pielikuma 1. daļas 42. punkta d) apakšpunktā.</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ieguldījumu brokeru sabiedrības</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riska darījumus ar ieguldījumu brokeru sabiedrībām, kas definētas Regulas (ES) Nr. 575/2013 4. panta 1. punkta 2. apakšpunktā.</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pārvaldības sabiedrības</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Iestādes atklāj riska darījumus ar pārvaldības sabiedrībām, kas definētas Regulas (ES) Nr. 575/2013 4. panta 1. punkta 19. apakšpunktā.</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apdrošināšanas sabiedrības</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riska darījumus ar apdrošināšanas sabiedrībām, kas definētas Regulas (ES) Nr. 575/2013 4. panta 1. punkta 5. apakšpunktā.</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Nefinanšu</w:t>
            </w:r>
            <w:proofErr w:type="spellEnd"/>
            <w:r>
              <w:rPr>
                <w:rFonts w:ascii="Times New Roman" w:hAnsi="Times New Roman"/>
                <w:b/>
                <w:sz w:val="24"/>
                <w:u w:val="single"/>
              </w:rPr>
              <w:t xml:space="preserve"> sabiedrības, uz kurām attiecas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informācijas atklāšanas direktīvā (</w:t>
            </w:r>
            <w:r>
              <w:rPr>
                <w:rFonts w:ascii="Times New Roman" w:hAnsi="Times New Roman"/>
                <w:b/>
                <w:i/>
                <w:sz w:val="24"/>
                <w:u w:val="single"/>
              </w:rPr>
              <w:t>NFRD</w:t>
            </w:r>
            <w:r>
              <w:rPr>
                <w:rFonts w:ascii="Times New Roman" w:hAnsi="Times New Roman"/>
                <w:b/>
                <w:sz w:val="24"/>
                <w:u w:val="single"/>
              </w:rPr>
              <w:t xml:space="preserve">) noteiktie informācijas atklāšanas pienākumi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Iestādes atklāj riska darījumus ar </w:t>
            </w:r>
            <w:proofErr w:type="spellStart"/>
            <w:r>
              <w:rPr>
                <w:rFonts w:ascii="Times New Roman" w:hAnsi="Times New Roman"/>
                <w:sz w:val="24"/>
              </w:rPr>
              <w:t>nefinanšu</w:t>
            </w:r>
            <w:proofErr w:type="spellEnd"/>
            <w:r>
              <w:rPr>
                <w:rFonts w:ascii="Times New Roman" w:hAnsi="Times New Roman"/>
                <w:sz w:val="24"/>
              </w:rPr>
              <w:t xml:space="preserve"> sabiedrībām, kā minēts Īstenošanas regulas (ES) 2021/451 V pielikuma 1. daļas 42. punkta e) apakšpunktā, uz kurām attiecas informācijas atklāšanas pienākumi saskaņā ar Direktīvu 2014/95/ES.</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komerciālā nekustamā īpašuma aizdevumi</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riska darījumus, kas minēti Īstenošanas regulas (ES) 2021/451 </w:t>
            </w:r>
            <w:r>
              <w:rPr>
                <w:rFonts w:ascii="Times New Roman" w:hAnsi="Times New Roman"/>
                <w:sz w:val="24"/>
              </w:rPr>
              <w:lastRenderedPageBreak/>
              <w:t>V pielikuma 2. daļas 173. punkta a) apakšpunktā un 239.ix punktā.</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Mājsaimniecības</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aizdevumus un avansus, kā minēts Īstenošanas regulas (ES) 2021/451 V pielikuma 1. daļas 42. punkta f) apakšpunktā.</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Iestādēm ir jāvāc informācija no saviem darījuma partneriem divpusēji, izmantojot aizdevumu iniciēšanas procesu un regulāro kredītu pārskatīšanas un uzraudzības procesu.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kas nodrošināti ar mājokļa nekustamo īpašumu</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ar mājokļa nekustamo īpašumu nodrošinātus aizdevumus un avansus, kā minēts Īstenošanas regulas (ES) 2021/451 V pielikuma 2. daļas 173. punkta a) apakšpunktā.</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Minēto riska darījumu saskaņošanu ar Regulu (ES) 2020/852 novērtē, tikai izmantojot vienkāršotu pieeju klimata pārmaiņu mazināšanas nolūkā saskaņā ar ēku tehniskās pārbaudes kritērijiem, proti, renovāciju un iegādi un īpašumtiesībām saskaņā ar Deleģētās regulas (ES) 2021/2139 I pielikuma attiecīgi 7.2., 7.3., 7.4., 7.5., 7.6. un 7.7. punktu, balstoties uz pamatā esošā nodrošinājuma energoefektivitāti.</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ēku renovācijai</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aizdevumus, kas piešķirti mājsaimniecībām mājas renovācijai.</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Šo riska darījumu saskaņošanu ar Regulu (ES) 2020/852 novērtē, tikai izmantojot vienkāršotu pieeju klimata pārmaiņu mazināšanas nolūkā saskaņā ar ēku tehniskās pārbaudes kritērijiem, proti, renovāciju un iegādi un īpašumtiesībām saskaņā ar Deleģētās regulas (ES) 2021/2139 I pielikuma attiecīgi 7.2., 7.3., 7.4., 7.5., 7.6. un 7.7. punktu, balstoties uz pamatā esošā nodrošinājuma energoefektivitāti.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mehānisko transportlīdzekļu iegādei</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aizdevumus mehānisko transportlīdzekļu iegādei, kā minēts Īstenošanas regulas (ES) 2021/451 V pielikuma 2. daļas 173. punkta b) apakšpunkta ii) punktā, un citus aizdevumus, kas piešķirti mehāniskā transportlīdzekļa iegādei, kuri novērtēti pēc vienkāršotas pieejas klimata pārmaiņu mazināšanas nolūkā saskaņā ar tehniskās pārbaudes kritērijiem attiecībā uz transportlīdzekļu finansēšanu, īri un līzingu saskaņā ar Deleģētās regulas (ES) 2021/2139 I pielikuma 6.5. iedaļu, balstoties uz pamatā esošā transportlīdzekļa energoefektivitāti.</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Vietējās pašvaldības – finansējums</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 un 30. rindas summa.</w:t>
            </w:r>
          </w:p>
          <w:p w14:paraId="2D7809A8" w14:textId="77777777" w:rsidR="00183989" w:rsidRPr="00F27EAD"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Mājokļu finansējums</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aizdevumus, ko iestādes piešķīrušas vietējai pašvaldībai, lai finansētu valsts mājokļu iegādi.</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Vietējās pašvaldības – cits finansējums</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atklāj aizdevumus, ko iestādes piešķīrušas vietējai pašvaldībai, lai finansētu specializētās kreditēšanas riska darījumus, nevis tos, kas izriet no valsts mājokļu iegādes.</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Ar pārņemšanu iegūtais nodrošinājums: mājokļu un komerciālie nekustamie īpašumi</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ar pārņemšanu iegūto nodrošinājumu, kā minēts Īstenošanas regulas (ES) 2021/451 V pielikuma 2. daļas 341. punktā.</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Kopā ZAK aktīvi</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Šī rinda ir vienāda ar šīs veidnes 1. rindu.</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F27EAD"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Aktīvi, kas izslēgti no skaitītāja ZAK aprēķinam (ietverti saucējā)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ES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sabiedrības (uz kurām neattiecas </w:t>
            </w:r>
            <w:r>
              <w:rPr>
                <w:rFonts w:ascii="Times New Roman" w:hAnsi="Times New Roman"/>
                <w:b/>
                <w:i/>
                <w:sz w:val="24"/>
                <w:u w:val="single"/>
              </w:rPr>
              <w:t>NFRD</w:t>
            </w:r>
            <w:r>
              <w:rPr>
                <w:rFonts w:ascii="Times New Roman" w:hAnsi="Times New Roman"/>
                <w:b/>
                <w:sz w:val="24"/>
                <w:u w:val="single"/>
              </w:rPr>
              <w:t xml:space="preserve"> informācijas atklāšanas pienākumi)</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riska darījumus ar </w:t>
            </w:r>
            <w:proofErr w:type="spellStart"/>
            <w:r>
              <w:rPr>
                <w:rFonts w:ascii="Times New Roman" w:hAnsi="Times New Roman"/>
                <w:sz w:val="24"/>
              </w:rPr>
              <w:t>nefinanšu</w:t>
            </w:r>
            <w:proofErr w:type="spellEnd"/>
            <w:r>
              <w:rPr>
                <w:rFonts w:ascii="Times New Roman" w:hAnsi="Times New Roman"/>
                <w:sz w:val="24"/>
              </w:rPr>
              <w:t xml:space="preserve"> sabiedrībām, kā definēts Īstenošanas regulas (ES) 2021/451 V pielikuma 1. daļas 42. punkta e) apakšpunktā, kuras atrodas Savienībā un uz kurām neattiecas informācijas atklāšanas pienākumi saskaņā ar Direktīvu 2014/95/ES.</w:t>
            </w:r>
          </w:p>
          <w:p w14:paraId="4E60C6B4" w14:textId="77777777" w:rsidR="00183989" w:rsidRPr="00F27EAD"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Nefinanšu</w:t>
            </w:r>
            <w:proofErr w:type="spellEnd"/>
            <w:r>
              <w:rPr>
                <w:rFonts w:ascii="Times New Roman" w:hAnsi="Times New Roman"/>
                <w:b/>
                <w:sz w:val="24"/>
                <w:u w:val="single"/>
              </w:rPr>
              <w:t xml:space="preserve"> sabiedrības ārpus ES (uz kurām neattiecas </w:t>
            </w:r>
            <w:r>
              <w:rPr>
                <w:rFonts w:ascii="Times New Roman" w:hAnsi="Times New Roman"/>
                <w:b/>
                <w:i/>
                <w:sz w:val="24"/>
                <w:u w:val="single"/>
              </w:rPr>
              <w:t>NFRD</w:t>
            </w:r>
            <w:r>
              <w:rPr>
                <w:rFonts w:ascii="Times New Roman" w:hAnsi="Times New Roman"/>
                <w:b/>
                <w:sz w:val="24"/>
                <w:u w:val="single"/>
              </w:rPr>
              <w:t xml:space="preserve"> informācijas atklāšanas pienākumi)</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riska darījumus ar </w:t>
            </w:r>
            <w:proofErr w:type="spellStart"/>
            <w:r>
              <w:rPr>
                <w:rFonts w:ascii="Times New Roman" w:hAnsi="Times New Roman"/>
                <w:sz w:val="24"/>
              </w:rPr>
              <w:t>nefinanšu</w:t>
            </w:r>
            <w:proofErr w:type="spellEnd"/>
            <w:r>
              <w:rPr>
                <w:rFonts w:ascii="Times New Roman" w:hAnsi="Times New Roman"/>
                <w:sz w:val="24"/>
              </w:rPr>
              <w:t xml:space="preserve"> sabiedrībām, kā definēts Īstenošanas regulas (ES) 2021/451 V pielikuma 1. daļas 42. punkta e) apakšpunktā, kuras atrodas ārpus Savienības un uz kurām neattiecas informācijas atklāšanas pienākumi saskaņā ar Direktīvu 2014/95/ES.</w:t>
            </w:r>
          </w:p>
          <w:p w14:paraId="7242C1A3" w14:textId="77777777" w:rsidR="00183989" w:rsidRPr="00F27EAD"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F27EAD"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Aktīvi, kas izslēgti no skaitītāja ZAK vajadzībām (ietverti saucējā)</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Atvasinātie instrumenti</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Iestādes atklāj atvasinātos instrumentus, kas nav turēti tirdzniecības nolūkā, kā minēts Īstenošanas regulas (ES) 2021/451 V pielikuma 1. daļas 10. iedaļā.</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Pēc pieprasījuma izsniegtie starpbanku aizdevumi</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Iestādes atklāj informāciju “Citi pieprasījuma noguldījumi”, kā minēts Īstenošanas regulas (ES) 2021/451 V pielikuma 2. daļas 3. punktā.</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Nauda un ar naudu saistītie aktīvi</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Iestādes atklāj informāciju “Skaidra nauda”, kā minēts Īstenošanas regulas (ES) 2021/451 V pielikuma 2. daļas 1. punktā.</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Citi aktīvi (tajā skaitā nemateriālā vērtība, biržas preces utt.)</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Iestādes atklāj citus aktīvus iestādes bilancē, kas nav iekļauti šīs veidnes 41., </w:t>
            </w:r>
            <w:r>
              <w:rPr>
                <w:rFonts w:ascii="Times New Roman" w:hAnsi="Times New Roman"/>
                <w:sz w:val="24"/>
              </w:rPr>
              <w:lastRenderedPageBreak/>
              <w:t>42. un 43. rindā.</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Kopā aktīvi saucējā (ZAK)</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Šī rinda ir šīs veidnes 32., 33., 37. un 41.–44. rindas summa.</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F27EAD"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Citi aktīvi, kas izslēgti gan no skaitītāja, gan saucēja ZAK aprēķinam</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Valstis</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Iestādes atklāj vispārējās valdības, kā minēts Īstenošanas regulas (ES) 2021/451 V pielikuma 1. daļas 42. punktā, izņemot šīs veidnes 29. un 30. rindā iekļautos riska darījumus.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Centrālās bankas riska darījumi</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Iestādes atklāj riska darījumus ar centrālajām bankām.</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Tirdzniecības portfelis</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Iestādes atklāj tirdzniecības nolūkā turētus finanšu aktīvus vai tirdzniecības finanšu aktīvus, kā definēts piemērojamos grāmatvedības principos.</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Kopā aktīvi, kas izslēgti no skaitītāja un saucēja</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Šī rinda ir šīs veidnes 46., 47. un 48. rindas summa.</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Kopā aktīvi</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Šī rinda ir šīs veidnes 45. un 49. rindas summa.</w:t>
            </w:r>
          </w:p>
        </w:tc>
      </w:tr>
    </w:tbl>
    <w:p w14:paraId="7DD51BA0" w14:textId="77777777" w:rsidR="00183989" w:rsidRPr="00F27EAD" w:rsidRDefault="00183989" w:rsidP="00183989">
      <w:pPr>
        <w:jc w:val="both"/>
        <w:rPr>
          <w:rFonts w:ascii="Times New Roman" w:hAnsi="Times New Roman" w:cs="Times New Roman"/>
          <w:b/>
          <w:noProof/>
          <w:sz w:val="24"/>
        </w:rPr>
      </w:pPr>
    </w:p>
    <w:p w14:paraId="7391C4C1" w14:textId="77777777" w:rsidR="00183989" w:rsidRPr="00F27EAD"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8. veidne. </w:t>
      </w:r>
      <w:bookmarkStart w:id="14" w:name="_Hlk86261561"/>
      <w:r>
        <w:rPr>
          <w:rFonts w:ascii="Times New Roman" w:hAnsi="Times New Roman"/>
          <w:b/>
          <w:sz w:val="24"/>
        </w:rPr>
        <w:t>ZAK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izmanto turpmākos norādījumus, lai atklātu informāciju, kas prasīta 8. veidnē “ZAK (%)”, kā noteikts šīs regulas XXXIX pielikumā.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Pamatojoties uz 7. veidnē iekļauto informāciju, iestādes šajā veidnē atklāj ZAK, kā minēts Deleģētajā regulā (ES)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Šīs veidnes mērķis ir parādīt, cik lielā mērā iestāžu darbības ir uzskatāmas par vides ziņā ilgtspējīgām saskaņā ar Regulas (ES) 2020/852 3. un 9. pantu, lai ieinteresētās personas varētu izprast darbības, ko iestādes ieviesušas nolūkā mazināt klimata pārmaiņu pārejas un fiziskos riskus.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Deleģētajā regulā (ES) 2021/2178 ir noteikts, ka iestādēm jāaplēš un jāatklāj ZAK divreiz. Vienreiz informācija tiek atklāta, pamatojoties uz darījumu partnera (</w:t>
      </w:r>
      <w:proofErr w:type="spellStart"/>
      <w:r>
        <w:rPr>
          <w:rFonts w:ascii="Times New Roman" w:hAnsi="Times New Roman"/>
          <w:sz w:val="24"/>
        </w:rPr>
        <w:t>nefinanšu</w:t>
      </w:r>
      <w:proofErr w:type="spellEnd"/>
      <w:r>
        <w:rPr>
          <w:rFonts w:ascii="Times New Roman" w:hAnsi="Times New Roman"/>
          <w:sz w:val="24"/>
        </w:rPr>
        <w:t xml:space="preserve"> sabiedrībām) apgrozījuma pielāgojumu </w:t>
      </w:r>
      <w:proofErr w:type="spellStart"/>
      <w:r>
        <w:rPr>
          <w:rFonts w:ascii="Times New Roman" w:hAnsi="Times New Roman"/>
          <w:sz w:val="24"/>
        </w:rPr>
        <w:t>taksonomijai</w:t>
      </w:r>
      <w:proofErr w:type="spellEnd"/>
      <w:r>
        <w:rPr>
          <w:rFonts w:ascii="Times New Roman" w:hAnsi="Times New Roman"/>
          <w:sz w:val="24"/>
        </w:rPr>
        <w:t xml:space="preserve"> attiecībā uz riska darījumiem, kuru mērķis nav finansēt konkrētas identificētas darbības (vispārējā mērķa kreditēšana). Otrreiz informācija tiek atklāta, pamatojoties uz darījumu partnera </w:t>
      </w:r>
      <w:proofErr w:type="spellStart"/>
      <w:r>
        <w:rPr>
          <w:rFonts w:ascii="Times New Roman" w:hAnsi="Times New Roman"/>
          <w:i/>
          <w:sz w:val="24"/>
        </w:rPr>
        <w:t>CapEx</w:t>
      </w:r>
      <w:proofErr w:type="spellEnd"/>
      <w:r>
        <w:rPr>
          <w:rFonts w:ascii="Times New Roman" w:hAnsi="Times New Roman"/>
          <w:sz w:val="24"/>
        </w:rPr>
        <w:t xml:space="preserve"> pielāgošanu Regulai (ES) 2020/852 attiecībā uz tiem pašiem vispārējā mērķa kreditēšanas riska darījumiem. Šajā veidnē iestādes atklāj ZAK tikai vienreiz, pamatojoties uz darījumu partnera apgrozījuma pielāgojumu tikai attiecībā uz vispārējā mērķa kreditēšanas daļu.</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Iestādes sāk atklāt šo informāciju ar pirmo atsauces datumu 2023. gada 31. decembrī, kas atbilst ZAK pirmajam informācijas atklāšanas atsauces datumam, kas minēts Deleģētajā regulā (ES)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Ailes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Norādījumi</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To aktīvu īpatsvars, no kuriem finansē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svarīgas nozares</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Regulā (ES) 2020/852</w:t>
            </w:r>
            <w:r>
              <w:rPr>
                <w:rFonts w:ascii="Times New Roman" w:hAnsi="Times New Roman"/>
                <w:color w:val="666666"/>
                <w:sz w:val="21"/>
                <w:shd w:val="clear" w:color="auto" w:fill="FFFFFF"/>
              </w:rPr>
              <w:t> </w:t>
            </w:r>
            <w:r>
              <w:rPr>
                <w:rFonts w:ascii="Times New Roman" w:hAnsi="Times New Roman"/>
                <w:sz w:val="24"/>
              </w:rPr>
              <w:t>minēto aktīvu krājuma finansēšanas darbību (t. i., atbilstīgo aktīvu) īpatsvaru segto aktīvu kopējā krājumā. Šo posteni izsaka procentos.</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aktīvu bruto uzskaites vērtība, no kuriem finansē </w:t>
            </w:r>
            <w:proofErr w:type="spellStart"/>
            <w:r>
              <w:rPr>
                <w:rFonts w:ascii="Times New Roman" w:hAnsi="Times New Roman"/>
                <w:sz w:val="24"/>
              </w:rPr>
              <w:t>taksonomijai</w:t>
            </w:r>
            <w:proofErr w:type="spellEnd"/>
            <w:r>
              <w:rPr>
                <w:rFonts w:ascii="Times New Roman" w:hAnsi="Times New Roman"/>
                <w:sz w:val="24"/>
              </w:rPr>
              <w:t xml:space="preserve"> svarīgas nozares, kas minētas Regulā (ES) 2020/852</w:t>
            </w:r>
            <w:r>
              <w:rPr>
                <w:rFonts w:ascii="Times New Roman" w:hAnsi="Times New Roman"/>
                <w:color w:val="666666"/>
                <w:sz w:val="21"/>
                <w:shd w:val="clear" w:color="auto" w:fill="FFFFFF"/>
              </w:rPr>
              <w:t> </w:t>
            </w:r>
            <w:r>
              <w:rPr>
                <w:rFonts w:ascii="Times New Roman" w:hAnsi="Times New Roman"/>
                <w:sz w:val="24"/>
              </w:rPr>
              <w:t>klimata pārmaiņu mazināšanas nolūkā, kā minēts norādījumos attiecībā uz 7. veidnes b) aili.</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definēts norādījumos attiecībā uz 7. veidnes a) aili.</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to aktīvu krājuma īpatsvaru, no kuriem finansē vides ziņā ilgtspējīgas darbības (t. i., saskaņotos aktīvus) atbilstīgo aktīvu krājumā. Posteni izsaka procentos.</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aktīvu bruto uzskaites vērtība, no kuriem finansē vides ziņā ilgtspējīgas darbības klimata pārmaiņu mazināšanas nolūkā, kā minēts norādījumos attiecībā uz 7. veidnes c) aili.</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riska darījumu bruto uzskaites vērtība, kā minēts norādījumos attiecībā uz 7. veidnes a) aili.</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to aktīvu krājuma īpatsvaru, kas klasificēti kā specializētā kreditēšana, kura finansē vides ziņā ilgtspējīgas darbības klimata pārmaiņu mazināšanas nolūkā, to aktīvu krājumā, no kuriem finansē vides ziņā ilgtspējīgas darbības. Posteni izsaka procentos.</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aktīvu bruto uzskaites vērtība, kā minēts norādījumos attiecībā uz 7. veidnes d) aili.</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pārejas</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10. pants.</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ar pārejas darbībām saistīto aktīvu krājuma īpatsvaru klimata pārmaiņu mazināšanas nolūkā to aktīvu krājumā, no kuriem finansē vides ziņā ilgtspējīgas darbības. Posteni izsaka procentos.</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aktīvu bruto uzskaites vērtība, kā minēts norādījumos attiecībā </w:t>
            </w:r>
            <w:r>
              <w:rPr>
                <w:rFonts w:ascii="Times New Roman" w:hAnsi="Times New Roman"/>
                <w:sz w:val="24"/>
              </w:rPr>
              <w:lastRenderedPageBreak/>
              <w:t>uz 8. veidnes e) aili.</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16. pants.</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ar veicinošām darbībām saistīto aktīvu krājuma īpatsvaru klimata pārmaiņu mazināšanas nolūkā to aktīvu krājumā, no kuriem finansē vides ziņā ilgtspējīgas darbības. Posteni izsaka procentos.</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aktīvu bruto uzskaites vērtība, kā minēts norādījumos attiecībā uz 7. veidnes f) aili.</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To aktīvu īpatsvars, no kuriem finansē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svarīgas nozares</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to aktīvu krājuma īpatsvaru, no kuriem finansē </w:t>
            </w:r>
            <w:proofErr w:type="spellStart"/>
            <w:r>
              <w:rPr>
                <w:rFonts w:ascii="Times New Roman" w:hAnsi="Times New Roman"/>
                <w:sz w:val="24"/>
              </w:rPr>
              <w:t>taksonomijai</w:t>
            </w:r>
            <w:proofErr w:type="spellEnd"/>
            <w:r>
              <w:rPr>
                <w:rFonts w:ascii="Times New Roman" w:hAnsi="Times New Roman"/>
                <w:sz w:val="24"/>
              </w:rPr>
              <w:t xml:space="preserve"> svarīgas darbības (t. i., atbilstīgos aktīvus) segto aktīvu kopējā krājumā. Posteni izsaka procentos.</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aktīvu bruto uzskaites vērtība, no kuriem finansē </w:t>
            </w:r>
            <w:proofErr w:type="spellStart"/>
            <w:r>
              <w:rPr>
                <w:rFonts w:ascii="Times New Roman" w:hAnsi="Times New Roman"/>
                <w:sz w:val="24"/>
              </w:rPr>
              <w:t>taksonomijai</w:t>
            </w:r>
            <w:proofErr w:type="spellEnd"/>
            <w:r>
              <w:rPr>
                <w:rFonts w:ascii="Times New Roman" w:hAnsi="Times New Roman"/>
                <w:sz w:val="24"/>
              </w:rPr>
              <w:t xml:space="preserve"> svarīgas nozares pielāgošanās klimata pārmaiņām nolūkā, kā minēts norādījumos attiecībā uz 7. veidnes g) aili.</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to aktīvu krājuma īpatsvaru, no kuriem finansē vides ziņā ilgtspējīgas darbības (t. i., saskaņotos aktīvus) atbilstīgo aktīvu krājumā. Posteni izsaka procentos.</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aktīvu bruto uzskaites vērtība, no kuriem finansē vides ziņā ilgtspējīgas darbības pielāgošanās klimata pārmaiņām nolūkā, kā minēts norādījumos attiecībā uz 7. veidnes h) aili.</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i/>
                <w:sz w:val="24"/>
              </w:rPr>
              <w:t>KPI</w:t>
            </w:r>
            <w:r>
              <w:rPr>
                <w:rFonts w:ascii="Times New Roman" w:hAnsi="Times New Roman"/>
                <w:sz w:val="24"/>
              </w:rPr>
              <w:t xml:space="preserve"> saucējs ir segto riska darījumu bruto uzskaites vērtība, kā minēts norādījumos attiecībā uz 7. veidnes a) aili.</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to aktīvu krājuma īpatsvaru, kas klasificēti kā specializētā kreditēšana, kura finansē vides ziņā ilgtspējīgas darbības pielāgošanās klimata pārmaiņām nolūkā, to aktīvu krājumā, no kuriem finansē vides ziņā ilgtspējīgas darbības. Posteni izsaka procentos.</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aktīvu bruto uzskaites vērtība, kā minēts norādījumos attiecībā uz 7. veidnes i) aili.</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pielāgošanās</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Regulas (ES) 2020/852 11. pants.</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ar pielāgošanās darbībām saistīto aktīvu krājuma īpatsvaru pielāgošanās klimata pārmaiņām nolūkā to aktīvu krājumā, no kuriem finansē vides ziņā ilgtspējīgas darbības. Posteni izsaka procentos.</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aktīvu bruto uzskaites vērtība, kā minēts norādījumos attiecībā uz 7. veidnes j) aili.</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16. pants.</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ar veicināšanas darbībām saistīto aktīvu krājuma īpatsvaru pielāgošanās klimata pārmaiņām nolūkā to aktīvu krājumā, no kuriem finansē vides ziņā ilgtspējīgas darbības. Posteni izsaka procentos.</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aktīvu bruto uzskaites vērtība, kā minēts norādījumos attiecībā uz 7. veidnes k) aili.</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To aktīvu īpatsvars, no kuriem finansē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svarīgas nozares</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to aktīvu krājuma īpatsvaru, no kuriem finansē </w:t>
            </w:r>
            <w:proofErr w:type="spellStart"/>
            <w:r>
              <w:rPr>
                <w:rFonts w:ascii="Times New Roman" w:hAnsi="Times New Roman"/>
                <w:sz w:val="24"/>
              </w:rPr>
              <w:t>taksonomijai</w:t>
            </w:r>
            <w:proofErr w:type="spellEnd"/>
            <w:r>
              <w:rPr>
                <w:rFonts w:ascii="Times New Roman" w:hAnsi="Times New Roman"/>
                <w:sz w:val="24"/>
              </w:rPr>
              <w:t xml:space="preserve"> svarīgas darbības (t. i., atbilstīgos aktīvus) klimata pārmaiņu mazināšanas un pielāgošanās klimata pārmaiņām nolūkos, salīdzinājumā ar segto aktīvu kopējo krājumu. Posteni izsaka procentos.</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aktīvu bruto uzskaites vērtība, no kuriem finansē </w:t>
            </w:r>
            <w:proofErr w:type="spellStart"/>
            <w:r>
              <w:rPr>
                <w:rFonts w:ascii="Times New Roman" w:hAnsi="Times New Roman"/>
                <w:sz w:val="24"/>
              </w:rPr>
              <w:t>taksonomijai</w:t>
            </w:r>
            <w:proofErr w:type="spellEnd"/>
            <w:r>
              <w:rPr>
                <w:rFonts w:ascii="Times New Roman" w:hAnsi="Times New Roman"/>
                <w:sz w:val="24"/>
              </w:rPr>
              <w:t xml:space="preserve"> svarīgas nozares, kā minēts norādījumos attiecībā uz 7. veidnes l) aili.</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to aktīvu krājuma īpatsvaru, no kuriem finansē vides ziņā ilgtspējīgas darbības klimata pārmaiņu mazināšanas un pielāgošanās klimata pārmaiņām nolūkos, atbilstīgo aktīvu krājumā. Posteni izsaka procentos.</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aktīvu bruto uzskaites vērtība, no kuriem finansē vides ziņā ilgtspējīgas darbības, kā minēts norādījumos attiecībā uz 7. veidnes m) aili.</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riska darījumu bruto uzskaites vērtība, kā minēts norādījumos attiecībā uz 7. veidnes a) aili.</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to aktīvu krājuma īpatsvaru, kas klasificēti kā specializētā kreditēšana, kura finansē vides ziņā ilgtspējīgas darbības klimata pārmaiņu mazināšanas un pielāgošanās klimata pārmaiņām nolūkos, to aktīvu krājumā, no kuriem finansē vides ziņā ilgtspējīgas darbības. Posteni izsaka procentos.</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lastRenderedPageBreak/>
              <w:t>KPI</w:t>
            </w:r>
            <w:r>
              <w:rPr>
                <w:rFonts w:ascii="Times New Roman" w:hAnsi="Times New Roman"/>
                <w:sz w:val="24"/>
              </w:rPr>
              <w:t xml:space="preserve"> skaitītājs ir aktīvu bruto uzskaites vērtība, kā minēts norādījumos attiecībā uz 7. veidnes n) aili.</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segto aktīvu bruto uzskaites vērtība, kā minēts norādījumos attiecībā uz 7. veidnes a) aili.</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pārejas/pielāgošanās</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10. un 11. pants.</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Īpatsvars atbilst d) un i) ailei.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16. pants.</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Īpatsvars atbilst e) un j) ailei.</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Kopējo segto aktīvu īpatsvars</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kopējo segto aktīvu īpatsvaru, uz ko attiecas ZAK. Posteni izsaka procentos.</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segto aktīvu krājuma bruto uzskaites vērtība, kā minēts norādījumos attiecībā uz 7. veidnes 1. aili.</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kopējo aktīvu bruto uzskaites vērtība iestāžu bilancē, kā minēts norādījumos attiecībā uz 7. veidnes 50. rindu.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To jauno aktīvu īpatsvars, no kuriem finansē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svarīgas nozares</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jauno aktīvu (t. i., aktīvu, kas iniciēti pašreizējā informācijas atklāšanas periodā), no kuriem finansē </w:t>
            </w:r>
            <w:proofErr w:type="spellStart"/>
            <w:r>
              <w:rPr>
                <w:rFonts w:ascii="Times New Roman" w:hAnsi="Times New Roman"/>
                <w:sz w:val="24"/>
              </w:rPr>
              <w:t>taksonomijai</w:t>
            </w:r>
            <w:proofErr w:type="spellEnd"/>
            <w:r>
              <w:rPr>
                <w:rFonts w:ascii="Times New Roman" w:hAnsi="Times New Roman"/>
                <w:sz w:val="24"/>
              </w:rPr>
              <w:t xml:space="preserve"> svarīgas darbības (t. i., atbilstīgo aktīvu) klimata pārmaiņu mazināšanas nolūkā, īpatsvaru kopējos jaunajos atbilstīgajos aktīvos (t. i., atbilstīgos aktīvos, kas iniciēti pašreizējā informācijas atklāšanas periodā). Jaunus aktīvus aprēķina, atskaitot atmaksājumus un citus samazinājumus.</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jauno aktīvu bruto uzskaites vērtība, no kuriem finansē </w:t>
            </w:r>
            <w:proofErr w:type="spellStart"/>
            <w:r>
              <w:rPr>
                <w:rFonts w:ascii="Times New Roman" w:hAnsi="Times New Roman"/>
                <w:sz w:val="24"/>
              </w:rPr>
              <w:t>taksonomijai</w:t>
            </w:r>
            <w:proofErr w:type="spellEnd"/>
            <w:r>
              <w:rPr>
                <w:rFonts w:ascii="Times New Roman" w:hAnsi="Times New Roman"/>
                <w:sz w:val="24"/>
              </w:rPr>
              <w:t xml:space="preserve"> svarīgas nozares, kā minēts norādījumos attiecībā uz 7. veidnes b) aili.</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no kuriem finansē vides ziņā ilgtspējīgas darbības klimata pārmaiņu mazināšanas nolūkā, īpatsvaru kopējos jaunajos atbilstīgajos aktīvos (t. i., atbilstīgos aktīvos, kas iniciēti pašreizējā informācijas atklāšanas periodā). Jaunus aktīvus aprēķina, atskaitot atmaksājumus un citus samazinājumus.</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Posteni izsaka procentos.</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w:t>
            </w:r>
            <w:r>
              <w:rPr>
                <w:rFonts w:ascii="Times New Roman" w:hAnsi="Times New Roman"/>
                <w:sz w:val="24"/>
              </w:rPr>
              <w:lastRenderedPageBreak/>
              <w:t>norādījumos attiecībā uz 7. veidnes c) aili.</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kas klasificēti kā specializētā kreditēšana, kura finansē vides ziņā ilgtspējīgas darbības klimata pārmaiņu mazināšanas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Posteni izsaka procentos.</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8. veidnes d) aili.</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pārejas</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10. pants.</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kas saistīti ar pārejas darbībām klimata pārmaiņu mazināšanas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Posteni izsaka procentos.</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8. veidnes e) aili.</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to segto jauno aktīvu bruto uzskaites vērtība no tiem aktīviem, kā minēts norādījumos attiecībā uz 7. veidnes a) aili.</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16. pants.</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kas saistīti ar veicinošām darbībām klimata pārmaiņu mazināšanas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Posteni izsaka procentos.</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8. veidnes f) aili.</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to segto jauno aktīvu bruto uzskaites vērtība no tiem aktīviem, </w:t>
            </w:r>
            <w:r>
              <w:rPr>
                <w:rFonts w:ascii="Times New Roman" w:hAnsi="Times New Roman"/>
                <w:sz w:val="24"/>
              </w:rPr>
              <w:lastRenderedPageBreak/>
              <w:t>kā minēts norādījumos attiecībā uz 7. veidnes a) aili.</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To jauno aktīvu īpatsvars, no kuriem finansē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svarīgas nozares</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no kuriem finansē Regulā (ES) 2020/852 iekļautās darbības pielāgošanās klimata pārmaiņām nolūkā, īpatsvaru kopējos jaunajos atbilstīgajos aktīvos (t. i., atbilstīgos aktīvos, kas iniciēti pašreizējā informācijas atklāšanas periodā). Jaunus aktīvus aprēķina, atskaitot atmaksājumus un citus samazinājumus.</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jauno aktīvu bruto uzskaites vērtība, no kuriem finansē </w:t>
            </w:r>
            <w:proofErr w:type="spellStart"/>
            <w:r>
              <w:rPr>
                <w:rFonts w:ascii="Times New Roman" w:hAnsi="Times New Roman"/>
                <w:sz w:val="24"/>
              </w:rPr>
              <w:t>taksonomijai</w:t>
            </w:r>
            <w:proofErr w:type="spellEnd"/>
            <w:r>
              <w:rPr>
                <w:rFonts w:ascii="Times New Roman" w:hAnsi="Times New Roman"/>
                <w:sz w:val="24"/>
              </w:rPr>
              <w:t xml:space="preserve"> svarīgas nozares, kā minēts norādījumos attiecībā uz 7. veidnes g) aili.</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no kuriem finansē vides ziņā ilgtspējīgas darbības pielāgošanās klimata pārmaiņām nolūkā, īpatsvaru kopējos jaunajos atbilstīgajos aktīvos (t. i., atbilstīgos aktīvos, kas iniciēti pašreizējā informācijas atklāšanas periodā). Jaunus aktīvus aprēķina, atskaitot atmaksājumus un citus samazinājumus.</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7. veidnes h) aili.</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kas klasificēti kā specializētā kreditēšana, kura finansē vides ziņā ilgtspējīgas darbības pielāgošanās klimata pārmaiņām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7. veidnes i) aili.</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pielāgošanās</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Regulas (ES) 2020/852 11. pants.</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kas saistīti ar pārejas darbībām pielāgošanās klimata pārmaiņām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7. veidnes j) aili.</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16. pants.</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kas saistīti ar veicinošām darbībām pielāgošanās klimata pārmaiņām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7. veidnes k) aili.</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aa</w:t>
            </w:r>
            <w:proofErr w:type="spellEnd"/>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To aktīvu īpatsvars, no kuriem finansē </w:t>
            </w:r>
            <w:proofErr w:type="spellStart"/>
            <w:r>
              <w:rPr>
                <w:rFonts w:ascii="Times New Roman" w:hAnsi="Times New Roman"/>
                <w:b/>
                <w:sz w:val="24"/>
                <w:u w:val="single"/>
              </w:rPr>
              <w:t>taksonomijai</w:t>
            </w:r>
            <w:proofErr w:type="spellEnd"/>
            <w:r>
              <w:rPr>
                <w:rFonts w:ascii="Times New Roman" w:hAnsi="Times New Roman"/>
                <w:b/>
                <w:sz w:val="24"/>
                <w:u w:val="single"/>
              </w:rPr>
              <w:t xml:space="preserve"> svarīgas nozares</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no kuriem finansē darbības Regulā (ES) 2020/852 noteiktajos klimata pārmaiņu mazināšanas un pielāgošanās klimata pārmaiņām nolūkos, īpatsvaru kopējos jaunajos atbilstīgajos aktīvos (t. i., atbilstīgos aktīvos, kas iniciēti pašreizējā informācijas atklāšanas periodā). Jaunus aktīvus aprēķina, atskaitot atmaksājumus un citus samazinājumus.</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to atbilstīgo jauno aktīvu bruto uzskaites vērtība, no kuriem finansē </w:t>
            </w:r>
            <w:proofErr w:type="spellStart"/>
            <w:r>
              <w:rPr>
                <w:rFonts w:ascii="Times New Roman" w:hAnsi="Times New Roman"/>
                <w:sz w:val="24"/>
              </w:rPr>
              <w:t>taksonomijai</w:t>
            </w:r>
            <w:proofErr w:type="spellEnd"/>
            <w:r>
              <w:rPr>
                <w:rFonts w:ascii="Times New Roman" w:hAnsi="Times New Roman"/>
                <w:sz w:val="24"/>
              </w:rPr>
              <w:t xml:space="preserve"> svarīgas nozares, kā minēts norādījumos attiecībā uz 7. veidnes l) aili.</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ab</w:t>
            </w:r>
            <w:proofErr w:type="spellEnd"/>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 sk.: vides ziņā ilgtspējīgi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jauno aktīvu (t. i., aktīvu, kas iniciēti pašreizējā informācijas atklāšanas periodā), no kuriem finansē vides ziņā ilgtspējīgas darbības klimata pārmaiņu mazināšanas un pielāgošanās klimata pārmaiņām nolūkos, īpatsvaru </w:t>
            </w:r>
            <w:r>
              <w:rPr>
                <w:rFonts w:ascii="Times New Roman" w:hAnsi="Times New Roman"/>
                <w:sz w:val="24"/>
              </w:rPr>
              <w:lastRenderedPageBreak/>
              <w:t>kopējos jaunajos atbilstīgajos aktīvos (t. i., atbilstīgos aktīvos, kas iniciēti pašreizējā informācijas atklāšanas periodā). Jaunus aktīvus aprēķina, atskaitot atmaksājumus un citus samazinājumus.</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7. veidnes m) aili.</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ac</w:t>
            </w:r>
            <w:proofErr w:type="spellEnd"/>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specializētā kreditēšana</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aktīvu (t. i., aktīvu, kas iniciēti pašreizējā informācijas atklāšanas periodā), kas klasificēti kā specializētā kreditēšana, kura finansē vides ziņā ilgtspējīgas darbības klimata pārmaiņu mazināšanas un pielāgošanās klimata pārmaiņām nolūkos, īpatsvaru kopējos jaunajos aktīvos (t. i., aktīvos, kas iniciēti pašreizējā informācijas atklāšanas periodā), no kuriem finansē vides ziņā ilgtspējīgas darbības. Jaunus aktīvus aprēķina, atskaitot atmaksājumus un citus samazinājumus.</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Šo posteni izsaka procentos.</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atbilstīgo jauno aktīvu bruto uzskaites vērtība, kā minēts norādījumos attiecībā uz 7. veidnes n) aili.</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i/>
                <w:sz w:val="24"/>
              </w:rPr>
              <w:t>KPI</w:t>
            </w:r>
            <w:r>
              <w:rPr>
                <w:rFonts w:ascii="Times New Roman" w:hAnsi="Times New Roman"/>
                <w:sz w:val="24"/>
              </w:rPr>
              <w:t xml:space="preserve"> saucējs ir šajos jaunajos aktīvos ietilpstošo segto aktīvu bruto uzskaites vērtība, kā minēts norādījumos attiecībā uz 7. veidnes a) aili.</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ad</w:t>
            </w:r>
            <w:proofErr w:type="spellEnd"/>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pārejas/pielāgošanās</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10. un 11. pants.</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Īpatsvars atbilst t) un y) ailei.</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ae</w:t>
            </w:r>
            <w:proofErr w:type="spellEnd"/>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veicinošas</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Regulas (ES) 2020/852 16. pants.</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Īpatsvars atbilst u) un z) ailei.</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af</w:t>
            </w:r>
            <w:proofErr w:type="spellEnd"/>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Jauno kopējo segto aktīvu īpatsvars</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jauno kopējo segto aktīvu īpatsvaru, uz ko attiecas ZAK. Jaunus aktīvus aprēķina, atskaitot atmaksājumus un citus samazinājumus.</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Posteni izsaka procentos.</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skaitītājs ir segto aktīvu bruto uzskaites vērtības, kā minēts norādījumos attiecībā uz 7. veidnes 1. rindu, starpība starp pašreizējo informācijas atklāšanas periodu (t) un iepriekšējo informācijas atklāšanas periodu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i/>
                <w:sz w:val="24"/>
              </w:rPr>
              <w:t>KPI</w:t>
            </w:r>
            <w:r>
              <w:rPr>
                <w:rFonts w:ascii="Times New Roman" w:hAnsi="Times New Roman"/>
                <w:sz w:val="24"/>
              </w:rPr>
              <w:t xml:space="preserve"> saucējs ir jauno kopējo aktīvu bruto uzskaites vērtības, kā minēts norādījumos attiecībā uz 7. veidnes 53. rindu, starpība starp pašreizējo informācijas atklāšanas periodu (t) un iepriekšējo informācijas atklāšanas periodu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Rindas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Norādījumi</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ZAK</w:t>
            </w:r>
            <w:r>
              <w:rPr>
                <w:rFonts w:ascii="Times New Roman" w:hAnsi="Times New Roman"/>
                <w:sz w:val="24"/>
              </w:rPr>
              <w:t>, kā minēts Deleģētajā regulā (ES)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Aizdevumi un avansi, parāda vērtspapīri un pašu kapitāla instrumenti, kas nav turēti tirdzniecībai un ir atbilstīgi ZAK aprēķinam</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ZAK % riska darījumiem 7. veidnes 1. rindā.</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Finanšu sabiedrības</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2. rindā.</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Kredītiestādes</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3. rindā.</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Citas finanšu sabiedrības</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7. rindā.</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ieguldījumu brokeru sabiedrības</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8. rindā.</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pārvaldības sabiedrības</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12. rindā.</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apdrošināšanas sabiedrības</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16. rindā.</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Nefinanšu</w:t>
            </w:r>
            <w:proofErr w:type="spellEnd"/>
            <w:r>
              <w:rPr>
                <w:rFonts w:ascii="Times New Roman" w:hAnsi="Times New Roman"/>
                <w:b/>
                <w:sz w:val="24"/>
                <w:u w:val="single"/>
              </w:rPr>
              <w:t xml:space="preserve"> sabiedrības, uz kurām attiecas </w:t>
            </w:r>
            <w:r>
              <w:rPr>
                <w:rFonts w:ascii="Times New Roman" w:hAnsi="Times New Roman"/>
                <w:b/>
                <w:i/>
                <w:sz w:val="24"/>
                <w:u w:val="single"/>
              </w:rPr>
              <w:t>NFRD</w:t>
            </w:r>
            <w:r>
              <w:rPr>
                <w:rFonts w:ascii="Times New Roman" w:hAnsi="Times New Roman"/>
                <w:b/>
                <w:sz w:val="24"/>
                <w:u w:val="single"/>
              </w:rPr>
              <w:t xml:space="preserve"> informācijas atklāšanas pienākumi</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ZAK % riska darījumiem 7. veidnes 20. rindā.</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Mājsaimniecības</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24. rindā.</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kas nodrošināti ar mājokļa nekustamo īpašumu</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25. rindā.</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ēku renovācijai</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26. rindā.</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mehānisko transportlīdzekļu iegādei</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27. rindā.</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Vietējās pašvaldības – finansējums</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28. rindā.</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Mājokļu finansējums</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29. rindā.</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Vietējās pašvaldības – cits finansējums</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30. rindā.</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Ar pārņemšanu iegūtais nodrošinājums: mājokļu un komerciālie nekustamie īpašumi</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ZAK % riska darījumiem 7. veidnes 31. rindā.</w:t>
            </w:r>
          </w:p>
        </w:tc>
      </w:tr>
    </w:tbl>
    <w:p w14:paraId="3F596C29" w14:textId="77777777" w:rsidR="00183989" w:rsidRPr="00F27EAD" w:rsidRDefault="00183989" w:rsidP="00183989">
      <w:pPr>
        <w:spacing w:before="120" w:after="120"/>
        <w:jc w:val="both"/>
        <w:rPr>
          <w:rFonts w:ascii="Times New Roman" w:hAnsi="Times New Roman"/>
          <w:noProof/>
          <w:sz w:val="24"/>
          <w:lang w:val="de-DE"/>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9. veidne. Mazināšanas darbības: portfeļa atbilstības </w:t>
      </w:r>
      <w:proofErr w:type="spellStart"/>
      <w:r>
        <w:rPr>
          <w:rFonts w:ascii="Times New Roman" w:hAnsi="Times New Roman"/>
          <w:b/>
          <w:sz w:val="24"/>
        </w:rPr>
        <w:t>taksonomijai</w:t>
      </w:r>
      <w:proofErr w:type="spellEnd"/>
      <w:r>
        <w:rPr>
          <w:rFonts w:ascii="Times New Roman" w:hAnsi="Times New Roman"/>
          <w:b/>
          <w:sz w:val="24"/>
        </w:rPr>
        <w:t xml:space="preserve"> koeficients (</w:t>
      </w:r>
      <w:r>
        <w:rPr>
          <w:rFonts w:ascii="Times New Roman" w:hAnsi="Times New Roman"/>
          <w:b/>
          <w:i/>
          <w:sz w:val="24"/>
        </w:rPr>
        <w:t>BTAR</w:t>
      </w:r>
      <w:r>
        <w:rPr>
          <w:rFonts w:ascii="Times New Roman" w:hAnsi="Times New Roman"/>
          <w:b/>
          <w:sz w:val="24"/>
        </w:rPr>
        <w:t>)</w:t>
      </w:r>
    </w:p>
    <w:p w14:paraId="193F09C4" w14:textId="77777777" w:rsidR="00183989" w:rsidRPr="00F27EAD" w:rsidRDefault="00183989" w:rsidP="00183989">
      <w:pPr>
        <w:jc w:val="both"/>
        <w:rPr>
          <w:rFonts w:ascii="Times New Roman" w:hAnsi="Times New Roman" w:cs="Times New Roman"/>
          <w:b/>
          <w:noProof/>
          <w:sz w:val="24"/>
          <w:lang w:val="de-DE"/>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Īstenošanas regulas (ES) 2021/2178 9. pantā noteikts, ka Komisija pārskata minētās regulas piemērošanu līdz 2024. gada 30. jūnijam. Komisija jo īpaši izvērtē vajadzību veikt turpmākus grozījumus attiecībā uz šādu elementu iekļaušanu:</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rPr>
          <w:rFonts w:ascii="Times New Roman" w:hAnsi="Times New Roman"/>
          <w:sz w:val="24"/>
        </w:rPr>
        <w:tab/>
        <w:t>riska darījumi ar centrālajām valdībām un centrālajām bankām finanšu uzņēmumu galveno darbības rādītāju skaitītājā un saucējā;</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rPr>
          <w:rFonts w:ascii="Times New Roman" w:hAnsi="Times New Roman"/>
          <w:sz w:val="24"/>
        </w:rPr>
        <w:tab/>
        <w:t xml:space="preserve">riska darījumi ar uzņēmumiem, kas nepublicē </w:t>
      </w:r>
      <w:proofErr w:type="spellStart"/>
      <w:r>
        <w:rPr>
          <w:rFonts w:ascii="Times New Roman" w:hAnsi="Times New Roman"/>
          <w:sz w:val="24"/>
        </w:rPr>
        <w:t>nefinanšu</w:t>
      </w:r>
      <w:proofErr w:type="spellEnd"/>
      <w:r>
        <w:rPr>
          <w:rFonts w:ascii="Times New Roman" w:hAnsi="Times New Roman"/>
          <w:sz w:val="24"/>
        </w:rPr>
        <w:t xml:space="preserve"> pārskatu saskaņā ar Direktīvas 2013/34/ES 19.a vai 29.a pantu, finanšu uzņēmumu galveno darbības rādītāju skaitītājā.</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var izvēlēties šajā veidnē iekļaut šādu informāciju. Attiecībā uz tiem darījuma partneriem, kuri ir </w:t>
      </w:r>
      <w:proofErr w:type="spellStart"/>
      <w:r>
        <w:rPr>
          <w:rFonts w:ascii="Times New Roman" w:hAnsi="Times New Roman"/>
          <w:sz w:val="24"/>
        </w:rPr>
        <w:t>nefinanšu</w:t>
      </w:r>
      <w:proofErr w:type="spellEnd"/>
      <w:r>
        <w:rPr>
          <w:rFonts w:ascii="Times New Roman" w:hAnsi="Times New Roman"/>
          <w:sz w:val="24"/>
        </w:rPr>
        <w:t xml:space="preserve"> sabiedrības un kuriem nav informācijas atklāšanas pienākuma, iestādes, pieliekot saprātīgas pūles un pamatojoties uz informāciju, kas jau ir pieejama un brīvprātīgi un divpusēji apkopota no darījuma partneriem vai aprēķināta, izmantojot aplēses, var atklāt paplašinātu informāciju par atbilstību </w:t>
      </w:r>
      <w:proofErr w:type="spellStart"/>
      <w:r>
        <w:rPr>
          <w:rFonts w:ascii="Times New Roman" w:hAnsi="Times New Roman"/>
          <w:sz w:val="24"/>
        </w:rPr>
        <w:t>taksonomijai</w:t>
      </w:r>
      <w:proofErr w:type="spellEnd"/>
      <w:r>
        <w:rPr>
          <w:rFonts w:ascii="Times New Roman" w:hAnsi="Times New Roman"/>
          <w:sz w:val="24"/>
        </w:rPr>
        <w:t xml:space="preserve"> un pielāgojumu </w:t>
      </w:r>
      <w:proofErr w:type="spellStart"/>
      <w:r>
        <w:rPr>
          <w:rFonts w:ascii="Times New Roman" w:hAnsi="Times New Roman"/>
          <w:sz w:val="24"/>
        </w:rPr>
        <w:t>taksonomijai</w:t>
      </w:r>
      <w:proofErr w:type="spellEnd"/>
      <w:r>
        <w:rPr>
          <w:rFonts w:ascii="Times New Roman" w:hAnsi="Times New Roman"/>
          <w:sz w:val="24"/>
        </w:rPr>
        <w:t xml:space="preserve">, kā minēts Regulā (ES) 2020/852 attiecībā uz vides mērķiem klimata pārmaiņu mazināšanas un pielāgošanās jomā, kā minēts Regulas (ES) 2020/852 9. panta a) un b) punktā, – attiecībā uz riska darījumiem ar Eiropas </w:t>
      </w:r>
      <w:proofErr w:type="spellStart"/>
      <w:r>
        <w:rPr>
          <w:rFonts w:ascii="Times New Roman" w:hAnsi="Times New Roman"/>
          <w:sz w:val="24"/>
        </w:rPr>
        <w:t>nefinanšu</w:t>
      </w:r>
      <w:proofErr w:type="spellEnd"/>
      <w:r>
        <w:rPr>
          <w:rFonts w:ascii="Times New Roman" w:hAnsi="Times New Roman"/>
          <w:sz w:val="24"/>
        </w:rPr>
        <w:t xml:space="preserve"> sabiedrībām, uz kurām neattiecas Direktīvā 2013/34/ES noteiktie informācijas atklāšanas pienākumi, un </w:t>
      </w:r>
      <w:proofErr w:type="spellStart"/>
      <w:r>
        <w:rPr>
          <w:rFonts w:ascii="Times New Roman" w:hAnsi="Times New Roman"/>
          <w:sz w:val="24"/>
        </w:rPr>
        <w:t>nefinanšu</w:t>
      </w:r>
      <w:proofErr w:type="spellEnd"/>
      <w:r>
        <w:rPr>
          <w:rFonts w:ascii="Times New Roman" w:hAnsi="Times New Roman"/>
          <w:sz w:val="24"/>
        </w:rPr>
        <w:t xml:space="preserve"> sabiedrībām ārpus Eiropas, uz kurām neattiecas Direktīvā 2013/34/ES noteiktie informācijas atklāšanas pienākumi. Šo informāciju ir atļauts atklāt tikai vienreiz, pamatojoties uz darījumu partneru apgrozījuma saskaņošanu attiecībā uz vispārējā mērķa aizdevumiem, kā tas ir ZAK gadījumā.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Pirmais šīs veidnes informācijas atklāšanas atsauces datums ir 2024. gada 31. decembris. Iestādēm šī informācija nav jāatklāj pirms 2025. gada 1. janvāra.</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 xml:space="preserve">9.1. veidne. Mazināšanas darbības: aktīvi </w:t>
      </w:r>
      <w:r>
        <w:rPr>
          <w:rFonts w:ascii="Times New Roman" w:hAnsi="Times New Roman"/>
          <w:b/>
          <w:i/>
          <w:sz w:val="24"/>
        </w:rPr>
        <w:t>BTAR</w:t>
      </w:r>
      <w:r>
        <w:rPr>
          <w:rFonts w:ascii="Times New Roman" w:hAnsi="Times New Roman"/>
          <w:b/>
          <w:sz w:val="24"/>
        </w:rPr>
        <w:t xml:space="preserve"> aprēķinam</w:t>
      </w:r>
    </w:p>
    <w:p w14:paraId="0B7C6AF5" w14:textId="77777777" w:rsidR="00183989" w:rsidRPr="00F27EAD"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Iestādes šajā veidnē var atklāt to aktīvu bruto uzskaites vērtību, kas ir svarīgi </w:t>
      </w:r>
      <w:r>
        <w:rPr>
          <w:rFonts w:ascii="Times New Roman" w:hAnsi="Times New Roman"/>
          <w:i/>
          <w:sz w:val="24"/>
        </w:rPr>
        <w:t>BTAR</w:t>
      </w:r>
      <w:r>
        <w:rPr>
          <w:rFonts w:ascii="Times New Roman" w:hAnsi="Times New Roman"/>
          <w:sz w:val="24"/>
        </w:rPr>
        <w:t xml:space="preserve"> aprēķinam. Šī veidne attiecas tikai uz darījumu partneriem, uz kuriem neattiecas informācijas atklāšanas pienākumi.</w:t>
      </w:r>
    </w:p>
    <w:p w14:paraId="48AB863E" w14:textId="77777777" w:rsidR="00183989" w:rsidRPr="00F27EAD"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KOPĀ ZAK AKTĪVI</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Kā atklāts 7. veidnes 32. rindā.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ES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sabiedrības (uz kurām neattiecas </w:t>
            </w:r>
            <w:r>
              <w:rPr>
                <w:rFonts w:ascii="Times New Roman" w:hAnsi="Times New Roman"/>
                <w:b/>
                <w:i/>
                <w:sz w:val="24"/>
                <w:u w:val="single"/>
              </w:rPr>
              <w:t>NFRD</w:t>
            </w:r>
            <w:r>
              <w:rPr>
                <w:rFonts w:ascii="Times New Roman" w:hAnsi="Times New Roman"/>
                <w:b/>
                <w:sz w:val="24"/>
                <w:u w:val="single"/>
              </w:rPr>
              <w:t xml:space="preserve"> informācijas atklāšanas pienākumi)</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Iestādes atklāj riska darījumus ar </w:t>
            </w:r>
            <w:proofErr w:type="spellStart"/>
            <w:r>
              <w:rPr>
                <w:rFonts w:ascii="Times New Roman" w:hAnsi="Times New Roman"/>
                <w:sz w:val="24"/>
              </w:rPr>
              <w:t>nefinanšu</w:t>
            </w:r>
            <w:proofErr w:type="spellEnd"/>
            <w:r>
              <w:rPr>
                <w:rFonts w:ascii="Times New Roman" w:hAnsi="Times New Roman"/>
                <w:sz w:val="24"/>
              </w:rPr>
              <w:t xml:space="preserve"> sabiedrībām, kā definēts </w:t>
            </w:r>
            <w:r>
              <w:rPr>
                <w:rFonts w:ascii="Times New Roman" w:hAnsi="Times New Roman"/>
                <w:sz w:val="24"/>
              </w:rPr>
              <w:lastRenderedPageBreak/>
              <w:t>Īstenošanas regulas (ES) 2021/451 V pielikuma 1. daļas 42. punkta e) apakšpunktā, kuras atrodas Savienībā un uz kurām neattiecas informācijas atklāšanas pienākumi saskaņā ar Direktīvu 2013/34/ES.</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Ja uz darījumu partneri neattiecas informācijas atklāšana saskaņā ar Regulas (ES) 2020/852 8. pantu, lai aprēķinātu </w:t>
            </w:r>
            <w:proofErr w:type="spellStart"/>
            <w:r>
              <w:rPr>
                <w:rFonts w:ascii="Times New Roman" w:hAnsi="Times New Roman"/>
                <w:sz w:val="24"/>
              </w:rPr>
              <w:t>taksonomijai</w:t>
            </w:r>
            <w:proofErr w:type="spellEnd"/>
            <w:r>
              <w:rPr>
                <w:rFonts w:ascii="Times New Roman" w:hAnsi="Times New Roman"/>
                <w:sz w:val="24"/>
              </w:rPr>
              <w:t xml:space="preserve"> atbilstīgo riska darījumu īpatsvaru, kā minēts Regulā (ES) 2020/852, iestādes, pieliekot saprātīgas pūles, var brīvprātīgi un divpusēji vākt informāciju no saviem darījumu partneriem aizdevumu iniciēšanas un regulāras kredītu pārskatīšanas un uzraudzības procesā. Tikai tad, ja darījumu partneris nespēj vai nevēlas sniegt attiecīgos datus, kredītiestādes izmanto iekšējās aplēses un </w:t>
            </w:r>
            <w:proofErr w:type="spellStart"/>
            <w:r>
              <w:rPr>
                <w:rFonts w:ascii="Times New Roman" w:hAnsi="Times New Roman"/>
                <w:sz w:val="24"/>
              </w:rPr>
              <w:t>aizstājējvērtības</w:t>
            </w:r>
            <w:proofErr w:type="spellEnd"/>
            <w:r>
              <w:rPr>
                <w:rFonts w:ascii="Times New Roman" w:hAnsi="Times New Roman"/>
                <w:sz w:val="24"/>
              </w:rPr>
              <w:t xml:space="preserve"> un veidnei pievienotajā aprakstā paskaidro šo aplēšu izmantošanas apjomu un piemēroto aplēšu veidu. Ja iestādes nespēj brīvprātīgi un divpusēji vākt vai aplēst attiecīgo informāciju, vai nespēj to izdarīt saprātīgā veidā, kas tām vai to darījuma partneriem nav pārmērīgi apgrūtinošs, tās paskaidro šo faktu veidnei pievienotajā aprakstā, paskaidrojot iemeslus un ietekmētos darījuma partnerus.</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Attiecībā uz informācijas atklāšanu, kurā iesaistītas sabiedrības, uz kurām neattiecas Direktīvā 2013/34/ES noteiktie informācijas atklāšanas pienākumi, tajā skaitā mazie un vidējie uzņēmumi (MVU), novērtējot vispārējā mērķa kreditēšanu / finansēšanu ar nezināmu ieņēmumu izmantojumu, iestādes izmanto vienkāršotu pieeju un savā novērtējumā galveno uzmanību pievērš sabiedrības galvenajai saimnieciskajai darbībai, t. i., galvenajam apgrozījuma avotam, lai noteiktu riska darījumu vispārējo atbilstību Regulai (ES) 2020/852. Specializētās kreditēšanas gadījumā novērtējumu balsta uz to, cik lielā mērā konkrētais finansētais projekts ir uzskatāms par tādu, kas būtiski veicina klimata pārmaiņu mazināšanu vai pielāgošanos tām (konkrētā projekta informācija). </w:t>
            </w:r>
          </w:p>
          <w:p w14:paraId="2FBC7A11" w14:textId="77777777" w:rsidR="00183989" w:rsidRPr="00F27EAD"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kas nodrošināti ar komerciālu nekustamo īpašumu</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Riska darījumi, kas minēti Īstenošanas regulas (ES) 2021/451 V pielikuma 2. daļas 173. punkta a) apakšpunktā un 239.ix punktā.</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Šo riska darījumu atbilstību </w:t>
            </w:r>
            <w:proofErr w:type="spellStart"/>
            <w:r>
              <w:rPr>
                <w:rFonts w:ascii="Times New Roman" w:hAnsi="Times New Roman"/>
                <w:sz w:val="24"/>
              </w:rPr>
              <w:t>taksonomijai</w:t>
            </w:r>
            <w:proofErr w:type="spellEnd"/>
            <w:r>
              <w:rPr>
                <w:rFonts w:ascii="Times New Roman" w:hAnsi="Times New Roman"/>
                <w:sz w:val="24"/>
              </w:rPr>
              <w:t>, kā minēts Regulā (ES) 2020/852, novērtē, tikai piemērojot vienkāršotu pieeju klimata pārmaiņu mazināšanas mērķim atbilstīgi ēku tehniskās pārbaudes kritērijiem, proti, ēku renovācija un iegāde un turēšana īpašumā saskaņā ar Deleģētās regulas (ES) 2021/2139 I pielikuma attiecīgi 7.2., 7.3., 7.4., 7.5., 7.6. un 7.7. punktu, balstoties uz pamatā esošā nodrošinājuma energoefektivitāti.</w:t>
            </w:r>
          </w:p>
          <w:p w14:paraId="3BADEF70" w14:textId="77777777" w:rsidR="00183989" w:rsidRPr="00F27EAD"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 sk.: aizdevumi ēku renovācijai</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Aizdevumi, kas piešķirti MVU un citām </w:t>
            </w:r>
            <w:proofErr w:type="spellStart"/>
            <w:r>
              <w:rPr>
                <w:rFonts w:ascii="Times New Roman" w:hAnsi="Times New Roman"/>
                <w:sz w:val="24"/>
              </w:rPr>
              <w:t>nefinanšu</w:t>
            </w:r>
            <w:proofErr w:type="spellEnd"/>
            <w:r>
              <w:rPr>
                <w:rFonts w:ascii="Times New Roman" w:hAnsi="Times New Roman"/>
                <w:sz w:val="24"/>
              </w:rPr>
              <w:t xml:space="preserve"> sabiedrībām, uz kurām neattiecas Direktīvā 2014/95/ES noteiktie informācijas atklāšanas pienākumi, ēkas renovācijai.</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Šo riska darījumu atbilstību </w:t>
            </w:r>
            <w:proofErr w:type="spellStart"/>
            <w:r>
              <w:rPr>
                <w:rFonts w:ascii="Times New Roman" w:hAnsi="Times New Roman"/>
                <w:sz w:val="24"/>
              </w:rPr>
              <w:t>taksonomijai</w:t>
            </w:r>
            <w:proofErr w:type="spellEnd"/>
            <w:r>
              <w:rPr>
                <w:rFonts w:ascii="Times New Roman" w:hAnsi="Times New Roman"/>
                <w:sz w:val="24"/>
              </w:rPr>
              <w:t xml:space="preserve">, kā minēts Regulā (ES) 2020/852, novērtē, tikai piemērojot vienkāršotu pieeju klimata pārmaiņu mazināšanas mērķim atbilstīgi ēku tehniskās pārbaudes kritērijiem, proti, ēku renovācija un iegāde un turēšana īpašumā saskaņā ar Deleģētās regulas (ES) 2021/2139 I pielikuma attiecīgi 7.2., 7.3., 7.4., 7.5., 7.6. un 7.7. punktu, balstoties uz </w:t>
            </w:r>
            <w:r>
              <w:rPr>
                <w:rFonts w:ascii="Times New Roman" w:hAnsi="Times New Roman"/>
                <w:sz w:val="24"/>
              </w:rPr>
              <w:lastRenderedPageBreak/>
              <w:t>pamatā esošā nodrošinājuma energoefektivitāti.</w:t>
            </w:r>
          </w:p>
          <w:p w14:paraId="0F3F5D7F" w14:textId="77777777" w:rsidR="00183989" w:rsidRPr="00F27EAD"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Nefinanšu</w:t>
            </w:r>
            <w:proofErr w:type="spellEnd"/>
            <w:r>
              <w:rPr>
                <w:rFonts w:ascii="Times New Roman" w:hAnsi="Times New Roman"/>
                <w:b/>
                <w:sz w:val="24"/>
                <w:u w:val="single"/>
              </w:rPr>
              <w:t xml:space="preserve"> sabiedrības ārpus ES (uz kurām neattiecas </w:t>
            </w:r>
            <w:r>
              <w:rPr>
                <w:rFonts w:ascii="Times New Roman" w:hAnsi="Times New Roman"/>
                <w:b/>
                <w:i/>
                <w:sz w:val="24"/>
                <w:u w:val="single"/>
              </w:rPr>
              <w:t>NFRD</w:t>
            </w:r>
            <w:r>
              <w:rPr>
                <w:rFonts w:ascii="Times New Roman" w:hAnsi="Times New Roman"/>
                <w:b/>
                <w:sz w:val="24"/>
                <w:u w:val="single"/>
              </w:rPr>
              <w:t xml:space="preserve"> informācijas atklāšanas pienākumi)</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Riska darījumi ar </w:t>
            </w:r>
            <w:proofErr w:type="spellStart"/>
            <w:r>
              <w:rPr>
                <w:rFonts w:ascii="Times New Roman" w:hAnsi="Times New Roman"/>
                <w:sz w:val="24"/>
              </w:rPr>
              <w:t>nefinanšu</w:t>
            </w:r>
            <w:proofErr w:type="spellEnd"/>
            <w:r>
              <w:rPr>
                <w:rFonts w:ascii="Times New Roman" w:hAnsi="Times New Roman"/>
                <w:sz w:val="24"/>
              </w:rPr>
              <w:t xml:space="preserve"> sabiedrībām, kā minēts Īstenošanas regulas (ES) 2021/451 V pielikuma 1. daļas 42. punkta e) apakšpunktā, kuras atrodas ārpus Savienības un uz kurām neattiecas informācijas atklāšanas pienākumi saskaņā ar Direktīvu 2014/95/ES.</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Ja iestādes sniedz minēto informāciju informācijas atklāšanā atbilstīgi Regulas (ES) 2020/852 8. pantam saskaņā ar Deleģētās regulas (ES) 2021/2178 7. panta 7. punktu, tās šeit atklāj to pašu informāciju. Pretējā gadījumā iestādes divpusēji vāc informāciju no saviem darījuma partneriem aizdevumu iniciēšanas un regulāras kredītu pārskatīšanas un uzraudzības procesā, vai izmanto šādas </w:t>
            </w:r>
            <w:proofErr w:type="spellStart"/>
            <w:r>
              <w:rPr>
                <w:rFonts w:ascii="Times New Roman" w:hAnsi="Times New Roman"/>
                <w:sz w:val="24"/>
              </w:rPr>
              <w:t>aizstājējvērtības</w:t>
            </w:r>
            <w:proofErr w:type="spellEnd"/>
            <w:r>
              <w:rPr>
                <w:rFonts w:ascii="Times New Roman" w:hAnsi="Times New Roman"/>
                <w:sz w:val="24"/>
              </w:rPr>
              <w:t xml:space="preserve"> pēc iespējas labākai informācijas atklāšanai par riska darījumiem ārpus ES:</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rPr>
                <w:rFonts w:ascii="Times New Roman" w:hAnsi="Times New Roman"/>
                <w:sz w:val="24"/>
              </w:rPr>
              <w:tab/>
              <w:t>savus modeļus un riska darījumu klasifikāciju atbilstīgi tiem; šajā gadījumā iestādes paskaidro izmantoto modeļu galvenās iezīmes;</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rPr>
                <w:rFonts w:ascii="Times New Roman" w:hAnsi="Times New Roman"/>
                <w:sz w:val="24"/>
              </w:rPr>
              <w:tab/>
              <w:t xml:space="preserve">darījuma partneru publisko informāciju, ja tāda ir pieejama, pamatojoties uz starptautiskajiem standartiem (tajā skaitā </w:t>
            </w:r>
            <w:r>
              <w:rPr>
                <w:rFonts w:ascii="Times New Roman" w:hAnsi="Times New Roman"/>
                <w:i/>
                <w:sz w:val="24"/>
              </w:rPr>
              <w:t>TCFD</w:t>
            </w:r>
            <w:r>
              <w:rPr>
                <w:rFonts w:ascii="Times New Roman" w:hAnsi="Times New Roman"/>
                <w:sz w:val="24"/>
              </w:rPr>
              <w:t xml:space="preserve">); šādā gadījumā iestādes paskaidro pieejamās informācijas veidu un piemērotos standartus;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rPr>
                <w:rFonts w:ascii="Times New Roman" w:hAnsi="Times New Roman"/>
                <w:sz w:val="24"/>
              </w:rPr>
              <w:tab/>
              <w:t>citus publiski pieejamus datus.</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Veidnei pievienotajā aprakstā iestādēm jāpaskaidro šīs informācijas atklāšanai izmantotie avoti. Ja iestādes nespēj divpusēji vākt vai aplēst attiecīgo informāciju, vai nespēj to izdarīt saprātīgā veidā, kas tām vai to darījuma partneriem nav pārmērīgi apgrūtinošs, tās paskaidro šo faktu veidnei pievienotajā aprakstā, paskaidrojot iemeslus un ietekmētos darījuma partnerus.</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Attiecībā uz šā veida darījumu partneriem, novērtējot vispārējā mērķa kreditēšanu / finansēšanu ar nezināmu ieņēmumu izmantojumu, iestādes izmanto vienkāršotu pieeju un savā novērtējumā galveno uzmanību pievērš sabiedrības galvenajai saimnieciskajai darbībai, t. i., galvenajam apgrozījuma avotam, lai noteiktu riska darījumu vispārējo atbilstību Regulai (ES) 2020/852. Specializētās kreditēšanas gadījumā novērtējumu balsta uz apmēru un proporciju, kādā konkrētais finansētais projekts ir kvalificējams kā tāds, kas būtiski veicina klimata pārmaiņu mazināšanu vai pielāgošanos tām (konkrēta projekta informācija), un nekustamā īpašuma portfelim novērtējumu attiecībā uz klimata pārmaiņu mazināšanas mērķi veic, pamatojoties uz pamatā esošā nodrošinājuma energoefektivitāti un atbilstību kritērijiem, kas attiecīgajām darbībām noteikti Regulā (ES) 2020/852.</w:t>
            </w:r>
          </w:p>
          <w:p w14:paraId="4DEC21F9" w14:textId="77777777" w:rsidR="00183989" w:rsidRPr="00F27EAD"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t>12. rinda</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KOPĀ </w:t>
            </w:r>
            <w:r>
              <w:rPr>
                <w:rFonts w:ascii="Times New Roman" w:hAnsi="Times New Roman"/>
                <w:i/>
                <w:sz w:val="24"/>
              </w:rPr>
              <w:t>BTAR</w:t>
            </w:r>
            <w:r>
              <w:rPr>
                <w:rFonts w:ascii="Times New Roman" w:hAnsi="Times New Roman"/>
                <w:sz w:val="24"/>
              </w:rPr>
              <w:t xml:space="preserve"> AKTĪVI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1., 2. un 8. rindas summa.</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13.–</w:t>
            </w:r>
            <w:r>
              <w:rPr>
                <w:rFonts w:ascii="Times New Roman" w:hAnsi="Times New Roman"/>
                <w:color w:val="000000"/>
                <w:sz w:val="24"/>
              </w:rPr>
              <w:lastRenderedPageBreak/>
              <w:t>19. rinda.</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Sk. definīcijas 7. veidnē (41.–50. rinda).</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 xml:space="preserve">9.2. veidne. </w:t>
      </w:r>
      <w:r>
        <w:rPr>
          <w:rFonts w:ascii="Times New Roman" w:hAnsi="Times New Roman"/>
          <w:b/>
          <w:i/>
          <w:sz w:val="24"/>
          <w:u w:val="single"/>
        </w:rPr>
        <w:t>BTAR</w:t>
      </w:r>
      <w:r>
        <w:rPr>
          <w:rFonts w:ascii="Times New Roman" w:hAnsi="Times New Roman"/>
          <w:b/>
          <w:sz w:val="24"/>
          <w:u w:val="single"/>
        </w:rPr>
        <w:t xml:space="preserve">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 xml:space="preserve">Iestādes šajā veidnē var atklāt </w:t>
      </w:r>
      <w:r>
        <w:rPr>
          <w:rFonts w:ascii="Times New Roman" w:hAnsi="Times New Roman"/>
          <w:i/>
          <w:sz w:val="24"/>
        </w:rPr>
        <w:t>BTAR</w:t>
      </w:r>
      <w:r>
        <w:rPr>
          <w:rFonts w:ascii="Times New Roman" w:hAnsi="Times New Roman"/>
          <w:sz w:val="24"/>
        </w:rPr>
        <w:t xml:space="preserve"> aktīvu īpatsvaru, kas atklāts 1. veidnē, salīdzinājumā ar kopējiem aktīviem </w:t>
      </w:r>
      <w:r>
        <w:rPr>
          <w:rFonts w:ascii="Times New Roman" w:hAnsi="Times New Roman"/>
          <w:i/>
          <w:sz w:val="24"/>
        </w:rPr>
        <w:t>BTAR</w:t>
      </w:r>
      <w:r>
        <w:rPr>
          <w:rFonts w:ascii="Times New Roman" w:hAnsi="Times New Roman"/>
          <w:sz w:val="24"/>
        </w:rPr>
        <w:t xml:space="preserve"> saucējā, kas atklāts 9.1. veidnes 17. rindā.</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 xml:space="preserve">9.3. veidne. </w:t>
      </w:r>
      <w:r>
        <w:rPr>
          <w:rFonts w:ascii="Times New Roman" w:hAnsi="Times New Roman"/>
          <w:b/>
          <w:i/>
          <w:sz w:val="24"/>
          <w:u w:val="single"/>
        </w:rPr>
        <w:t>BTAR</w:t>
      </w:r>
      <w:r>
        <w:rPr>
          <w:rFonts w:ascii="Times New Roman" w:hAnsi="Times New Roman"/>
          <w:b/>
          <w:sz w:val="24"/>
          <w:u w:val="single"/>
        </w:rPr>
        <w:t xml:space="preserve">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 xml:space="preserve">Šajā veidnē ietverts kopsavilkums par </w:t>
      </w:r>
      <w:r>
        <w:rPr>
          <w:rFonts w:ascii="Times New Roman" w:hAnsi="Times New Roman"/>
          <w:i/>
          <w:sz w:val="24"/>
        </w:rPr>
        <w:t>BTAR KPI</w:t>
      </w:r>
      <w:r>
        <w:rPr>
          <w:rFonts w:ascii="Times New Roman" w:hAnsi="Times New Roman"/>
          <w:sz w:val="24"/>
        </w:rPr>
        <w:t>, sadalījums pēc klimata pārmaiņu vides mērķa un kopsummas, kā arī krājumu un plūsmas sadalījums.</w:t>
      </w:r>
    </w:p>
    <w:p w14:paraId="3FE48325" w14:textId="77777777" w:rsidR="00183989" w:rsidRPr="00F27EAD"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10. veidne. Citas klimata pārmaiņu mazināšanas darbības, kas nav ietvertas Regulā (ES) 2020/852</w:t>
      </w:r>
    </w:p>
    <w:p w14:paraId="45960278" w14:textId="77777777" w:rsidR="00183989" w:rsidRPr="00F27EAD"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Šī veidne aptver citas klimata pārmaiņu mazināšanas darbības un ietver iestāžu riska darījumus, kas nav atbilstīgi </w:t>
      </w:r>
      <w:proofErr w:type="spellStart"/>
      <w:r>
        <w:rPr>
          <w:rFonts w:ascii="Times New Roman" w:hAnsi="Times New Roman"/>
          <w:sz w:val="24"/>
        </w:rPr>
        <w:t>taksonomijai</w:t>
      </w:r>
      <w:proofErr w:type="spellEnd"/>
      <w:r>
        <w:rPr>
          <w:rFonts w:ascii="Times New Roman" w:hAnsi="Times New Roman"/>
          <w:sz w:val="24"/>
        </w:rPr>
        <w:t>, kā minēts Regulā (ES) 2020/852, saskaņā ar 7. un 8. veidni, bet kas tomēr atbalsta darījuma partnerus pārkārtošanās un pielāgošanās procesā attiecībā uz klimata pārmaiņu mazināšanas un pielāgošanās klimata pārmaiņām mērķiem. Minētie riska mazināšanas pasākumi un darbības ietver obligācijas un aizdevumus, kas emitēti saskaņā ar standartiem, kuri nav Savienības standarti, tajā skaitā zaļās obligācijas; ilgtspējīgas obligācijas, kas saistītas ar klimata pārmaiņu aspektiem; ar ilgtspēju saistītas obligācijas, kas saistītas ar klimata pārmaiņu aspektiem; zaļie aizdevumi; ar ilgtspēju saistīti aizdevumi, kas saistīti ar klimata pārmaiņu aspektiem. ar ilgtspēju saistīti aizdevumi, kas saistīti ar klimata pārmaiņu aspektiem.</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Šai veidnei pievienotajā aprakstā iestādes iekļauj detalizētus paskaidrojumus par šajā veidnē atspoguļoto mazināšanas darbību būtību un veidu, tajā skaitā informāciju par to risku veidu, kurus tās plāno mazināt, klimata pārmaiņu mērķiem, ko tās atbalsta, un informāciju par saistītajiem darījuma partneriem un darbību grafiku. Tās arī paskaidro, kāpēc minētie riska darījumi nav pilnībā atbilstīgi Regulā (ES) 2020/852 noteiktajiem kritērijiem un nav ilgtspējīgi saskaņā ar Regulu (ES) 2020/852, bet tomēr veicina klimata pārmaiņu pārejas vai fiziskā riska mazināšanu, kā arī jebkādu citu būtisku informāciju, kas var palīdzēt izprast iestādes riska pārvaldības sistēmu.</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Iestādes sāk atklāt veidnēs iekļauto informāciju ar pirmo informācijas atklāšanas atsauces datumu 2022. gada 31. decembrī.</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Ailes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Norādījumi</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Finanšu instrumenta veids</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finanšu instrumenta veidu, kā minēts Īstenošanas regulas (ES) 2021/451 V pielikumā.</w:t>
            </w:r>
          </w:p>
          <w:p w14:paraId="3D74D2CE" w14:textId="77777777" w:rsidR="00183989" w:rsidRPr="00F27EAD"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Darījuma partnera veids</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darījumu partnera veidu, kā minēts Īstenošanas regulas (ES) 2021/451 V pielikuma 1. daļas 42. punktā.</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Bruto uzskaites vērtība (miljonos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Iestādes atklāj bruto uzskaites vērtību, kā minēts Īstenošanas regulas (ES) 2021/451 V pielikuma 1. daļas 34. punktā.</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Mazinātā riska veids (klimata pārmaiņu pārejas risks)</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Iestādes atklāj riska veidu, kas tiek mazināts ar minēto darbību: klimata pārmaiņu pārejas risks.</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Mazinātā riska veids (klimata pārmaiņu fiziskais risks)</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Iestādes atklāj riska veidu, kas tiek mazināts ar minēto darbību: klimata pārmaiņu fiziskais risks.</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Kvalitatīva informācija par mazināšanas darbību būtību</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Iestādes apraksta to mazināšanas darbību būtību, kas veicina Regulas (ES) 2020/852 10. pantā minēto klimata pārmaiņu mazināšanu un regulas 11. pantā minēto pielāgošanos klimata pārmaiņām, un iemeslus, kāpēc netiek uzskatīts, ka riska darījumi ir ar </w:t>
            </w:r>
            <w:proofErr w:type="spellStart"/>
            <w:r>
              <w:rPr>
                <w:rFonts w:ascii="Times New Roman" w:hAnsi="Times New Roman"/>
                <w:sz w:val="24"/>
              </w:rPr>
              <w:t>taksonomiju</w:t>
            </w:r>
            <w:proofErr w:type="spellEnd"/>
            <w:r>
              <w:rPr>
                <w:rFonts w:ascii="Times New Roman" w:hAnsi="Times New Roman"/>
                <w:sz w:val="24"/>
              </w:rPr>
              <w:t xml:space="preserve"> saskaņoti ZAK nolūkā.</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rPr>
          <w:rFonts w:ascii="Times New Roman" w:hAnsi="Times New Roman"/>
          <w:sz w:val="20"/>
          <w:vertAlign w:val="superscript"/>
        </w:rPr>
        <w:tab/>
      </w:r>
      <w:r>
        <w:rPr>
          <w:rFonts w:ascii="Times New Roman" w:hAnsi="Times New Roman"/>
          <w:sz w:val="20"/>
        </w:rPr>
        <w:t>OV L 282, 19.10.2016., 4. lpp.</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rPr>
          <w:rFonts w:ascii="Times New Roman" w:hAnsi="Times New Roman"/>
          <w:sz w:val="20"/>
        </w:rPr>
        <w:tab/>
        <w:t xml:space="preserve">COM/2019/640 </w:t>
      </w:r>
      <w:proofErr w:type="spellStart"/>
      <w:r>
        <w:rPr>
          <w:rFonts w:ascii="Times New Roman" w:hAnsi="Times New Roman"/>
          <w:sz w:val="20"/>
        </w:rPr>
        <w:t>final</w:t>
      </w:r>
      <w:proofErr w:type="spellEnd"/>
      <w:r>
        <w:rPr>
          <w:rFonts w:ascii="Times New Roman" w:hAnsi="Times New Roman"/>
          <w:sz w:val="20"/>
        </w:rPr>
        <w:t>.</w:t>
      </w:r>
    </w:p>
    <w:p w14:paraId="40A0348C" w14:textId="5C80B78A"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r w:rsidR="00F27EAD">
        <w:rPr>
          <w:rFonts w:ascii="Times New Roman" w:hAnsi="Times New Roman"/>
          <w:sz w:val="20"/>
        </w:rPr>
        <w:t>.</w:t>
      </w:r>
      <w:r>
        <w:rPr>
          <w:rFonts w:ascii="Times New Roman" w:hAnsi="Times New Roman"/>
          <w:sz w:val="20"/>
        </w:rPr>
        <w:t>).</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 xml:space="preserve">Eiropas Parlamenta un Padomes Direktīva 2014/95/ES (2014. gada 22. oktobris), ar ko groza Direktīvu 2013/34/ES attiecībā uz noteiktu lielu uzņēmumu un grupu </w:t>
      </w:r>
      <w:proofErr w:type="spellStart"/>
      <w:r>
        <w:rPr>
          <w:rFonts w:ascii="Times New Roman" w:hAnsi="Times New Roman"/>
          <w:sz w:val="20"/>
        </w:rPr>
        <w:t>nefinanšu</w:t>
      </w:r>
      <w:proofErr w:type="spellEnd"/>
      <w:r>
        <w:rPr>
          <w:rFonts w:ascii="Times New Roman" w:hAnsi="Times New Roman"/>
          <w:sz w:val="20"/>
        </w:rPr>
        <w:t xml:space="preserve"> un daudzveidības informācijas atklāšanu (OV L 330, 15.11.2014., 1. lpp.).</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C/2019/4490 (OV C 209, 20.6.2019., 1. lpp.).</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t xml:space="preserve">Klimatiskās finanšu informācijas izpaušanas darba grupas ieteikumi,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Apvienoto Nāciju Organizācijas Vides programmas finanšu iniciatīva (</w:t>
      </w:r>
      <w:r>
        <w:rPr>
          <w:rFonts w:ascii="Times New Roman" w:hAnsi="Times New Roman"/>
          <w:i/>
          <w:sz w:val="20"/>
        </w:rPr>
        <w:t>UNEP FI</w:t>
      </w:r>
      <w:r>
        <w:rPr>
          <w:rFonts w:ascii="Times New Roman" w:hAnsi="Times New Roman"/>
          <w:sz w:val="20"/>
        </w:rPr>
        <w:t xml:space="preserve">),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Globālās ziņošanas iniciatīvas ilgtspējas ziņošanas standarti,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Apvienoto Nāciju Organizācijas atbildīgu investīciju principi (</w:t>
      </w:r>
      <w:r>
        <w:rPr>
          <w:rFonts w:ascii="Times New Roman" w:hAnsi="Times New Roman"/>
          <w:i/>
          <w:sz w:val="20"/>
        </w:rPr>
        <w:t>UNPRI</w:t>
      </w:r>
      <w:r>
        <w:rPr>
          <w:rFonts w:ascii="Times New Roman" w:hAnsi="Times New Roman"/>
          <w:sz w:val="20"/>
        </w:rPr>
        <w:t xml:space="preserve">),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 xml:space="preserve">Eiropas Parlamenta un Padomes Direktīva 2013/36/ES (2013. gada 26. jūnijs) par piekļuvi kredītiestāžu darbībai un kredītiestāžu </w:t>
      </w:r>
      <w:proofErr w:type="spellStart"/>
      <w:r>
        <w:rPr>
          <w:rFonts w:ascii="Times New Roman" w:hAnsi="Times New Roman"/>
          <w:sz w:val="20"/>
        </w:rPr>
        <w:t>prudenciālo</w:t>
      </w:r>
      <w:proofErr w:type="spellEnd"/>
      <w:r>
        <w:rPr>
          <w:rFonts w:ascii="Times New Roman" w:hAnsi="Times New Roman"/>
          <w:sz w:val="20"/>
        </w:rPr>
        <w:t xml:space="preserve"> uzraudzību, ar ko groza Direktīvu 2002/87/EK un atceļ Direktīvas 2006/48/EK un 2006/49/EK (OV L 176, 27.6.2013., 338. lpp.).</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 xml:space="preserve">Eiropas Parlamenta un Padomes Regula (EK) Nr. 1893/2006 (2006. gada 20. decembris), ar ko izveido </w:t>
      </w:r>
      <w:r>
        <w:rPr>
          <w:rFonts w:ascii="Times New Roman" w:hAnsi="Times New Roman"/>
          <w:i/>
          <w:sz w:val="20"/>
        </w:rPr>
        <w:t>NACE</w:t>
      </w:r>
      <w:r>
        <w:rPr>
          <w:rFonts w:ascii="Times New Roman" w:hAnsi="Times New Roman"/>
          <w:sz w:val="20"/>
        </w:rPr>
        <w:t xml:space="preserve"> 2. </w:t>
      </w:r>
      <w:proofErr w:type="spellStart"/>
      <w:r>
        <w:rPr>
          <w:rFonts w:ascii="Times New Roman" w:hAnsi="Times New Roman"/>
          <w:sz w:val="20"/>
        </w:rPr>
        <w:t>red</w:t>
      </w:r>
      <w:proofErr w:type="spellEnd"/>
      <w:r>
        <w:rPr>
          <w:rFonts w:ascii="Times New Roman" w:hAnsi="Times New Roman"/>
          <w:sz w:val="20"/>
        </w:rPr>
        <w:t>. saimniecisko darbību statistisko klasifikāciju, kā arī groza Padomes Regulu (EEK) Nr. 3037/90 un dažas EK regulas par īpašām statistikas jomām (OV L 393, 30.12.2006., 1. lpp.).</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Komisijas Deleģētā regula (ES) 2020/1818 (2020. gada 17. jūlijs), ar ko Eiropas Parlamenta un Padomes Regulu (ES) 2016/1011 papildina attiecībā uz standartu minimumu ES klimata pārejas etaloniem un Parīzes nolīgumam pielāgotiem ES etaloniem (OV L 406, 3.12.2020., 17. lpp.).</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rPr>
          <w:sz w:val="20"/>
        </w:rPr>
        <w:tab/>
      </w:r>
      <w:r>
        <w:rPr>
          <w:rFonts w:ascii="Times New Roman" w:hAnsi="Times New Roman"/>
          <w:sz w:val="20"/>
        </w:rPr>
        <w:t>Padomes Direktīva 86/635/EEK (1986. gada 8. decembris) par banku un citu finanšu iestāžu gada pārskatiem un konsolidētajiem pārskatiem (OV L 372, 31.12.1986., 1. lpp.).</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Eiropas Parlamenta un Padomes Direktīva 2010/31/ES (2010. gada 19. maijs) par ēku energoefektivitāti (OV L 153, 18.6.2010., 13. lpp.).</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Eiropas Parlamenta un Padomes Direktīva 2012/27/ES (2012. gada 25. oktobris) par energoefektivitāti, ar ko groza Direktīvas 2009/125/EK un 2010/30/ES un atceļ Direktīvas 2004/8/EK un 2006/32/EK (OV L 315, 14.11.2012., 1. lpp.).</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*18</w:t>
      </w:r>
      <w:r>
        <w:rPr>
          <w:rFonts w:ascii="Times New Roman" w:hAnsi="Times New Roman"/>
          <w:sz w:val="20"/>
        </w:rPr>
        <w:tab/>
        <w:t>Neto nulles emisijas līdz 2050. gadam scenārijs (</w:t>
      </w:r>
      <w:r>
        <w:rPr>
          <w:rFonts w:ascii="Times New Roman" w:hAnsi="Times New Roman"/>
          <w:i/>
          <w:sz w:val="20"/>
        </w:rPr>
        <w:t>NZE</w:t>
      </w:r>
      <w:r>
        <w:rPr>
          <w:rFonts w:ascii="Times New Roman" w:hAnsi="Times New Roman"/>
          <w:sz w:val="20"/>
        </w:rPr>
        <w:t xml:space="preserve">) – </w:t>
      </w:r>
      <w:r>
        <w:rPr>
          <w:rFonts w:ascii="Times New Roman" w:hAnsi="Times New Roman"/>
          <w:i/>
          <w:sz w:val="20"/>
        </w:rPr>
        <w:t>IEA</w:t>
      </w:r>
      <w:r>
        <w:rPr>
          <w:rFonts w:ascii="Times New Roman" w:hAnsi="Times New Roman"/>
          <w:sz w:val="20"/>
        </w:rPr>
        <w:t xml:space="preserve"> (2021), Pasaules enerģētikas modelis, </w:t>
      </w:r>
      <w:r>
        <w:rPr>
          <w:rFonts w:ascii="Times New Roman" w:hAnsi="Times New Roman"/>
          <w:i/>
          <w:sz w:val="20"/>
        </w:rPr>
        <w:t>IEA</w:t>
      </w:r>
      <w:r>
        <w:rPr>
          <w:rFonts w:ascii="Times New Roman" w:hAnsi="Times New Roman"/>
          <w:sz w:val="20"/>
        </w:rPr>
        <w:t xml:space="preserve">, Parīze </w:t>
      </w:r>
      <w:hyperlink r:id="rId12" w:history="1">
        <w:r>
          <w:rPr>
            <w:rStyle w:val="Hyperlink"/>
            <w:rFonts w:ascii="Times New Roman" w:hAnsi="Times New Roman"/>
            <w:sz w:val="20"/>
          </w:rPr>
          <w:t>https://www.iea.org/reports/world-energy-model</w:t>
        </w:r>
      </w:hyperlink>
      <w:r>
        <w:rPr>
          <w:rFonts w:ascii="Times New Roman" w:hAnsi="Times New Roman"/>
          <w:sz w:val="20"/>
        </w:rP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2021. gada ziņojums ir atrodams šajā </w:t>
      </w:r>
      <w:hyperlink r:id="rId13" w:history="1">
        <w:r>
          <w:rPr>
            <w:rStyle w:val="Hyperlink"/>
            <w:rFonts w:ascii="Times New Roman" w:hAnsi="Times New Roman"/>
            <w:sz w:val="20"/>
          </w:rPr>
          <w:t>saitē</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 xml:space="preserve">Sīkākus piemērus sk. </w:t>
      </w:r>
      <w:r>
        <w:rPr>
          <w:rFonts w:ascii="Times New Roman" w:hAnsi="Times New Roman"/>
          <w:i/>
          <w:sz w:val="20"/>
        </w:rPr>
        <w:t>UNEP FI</w:t>
      </w:r>
      <w:r>
        <w:rPr>
          <w:rFonts w:ascii="Times New Roman" w:hAnsi="Times New Roman"/>
          <w:sz w:val="20"/>
        </w:rPr>
        <w:t xml:space="preserve"> un aklimatizācijas ziņojumā: “</w:t>
      </w:r>
      <w:proofErr w:type="spellStart"/>
      <w:r>
        <w:rPr>
          <w:rFonts w:ascii="Times New Roman" w:hAnsi="Times New Roman"/>
          <w:sz w:val="20"/>
        </w:rPr>
        <w:t>Chartering</w:t>
      </w:r>
      <w:proofErr w:type="spellEnd"/>
      <w:r>
        <w:rPr>
          <w:rFonts w:ascii="Times New Roman" w:hAnsi="Times New Roman"/>
          <w:sz w:val="20"/>
        </w:rPr>
        <w:t xml:space="preserve"> </w:t>
      </w:r>
      <w:proofErr w:type="spellStart"/>
      <w:r>
        <w:rPr>
          <w:rFonts w:ascii="Times New Roman" w:hAnsi="Times New Roman"/>
          <w:sz w:val="20"/>
        </w:rPr>
        <w:t>New</w:t>
      </w:r>
      <w:proofErr w:type="spellEnd"/>
      <w:r>
        <w:rPr>
          <w:rFonts w:ascii="Times New Roman" w:hAnsi="Times New Roman"/>
          <w:sz w:val="20"/>
        </w:rPr>
        <w:t xml:space="preserve">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State</w:t>
      </w:r>
      <w:proofErr w:type="spellEnd"/>
      <w:r>
        <w:rPr>
          <w:rFonts w:ascii="Times New Roman" w:hAnsi="Times New Roman"/>
          <w:sz w:val="20"/>
        </w:rPr>
        <w:t>-</w:t>
      </w:r>
      <w:proofErr w:type="spellStart"/>
      <w:r>
        <w:rPr>
          <w:rFonts w:ascii="Times New Roman" w:hAnsi="Times New Roman"/>
          <w:sz w:val="20"/>
        </w:rPr>
        <w:t>of</w:t>
      </w:r>
      <w:proofErr w:type="spellEnd"/>
      <w:r>
        <w:rPr>
          <w:rFonts w:ascii="Times New Roman" w:hAnsi="Times New Roman"/>
          <w:sz w:val="20"/>
        </w:rPr>
        <w:t>-</w:t>
      </w:r>
      <w:proofErr w:type="spellStart"/>
      <w:r>
        <w:rPr>
          <w:rFonts w:ascii="Times New Roman" w:hAnsi="Times New Roman"/>
          <w:sz w:val="20"/>
        </w:rPr>
        <w:t>the</w:t>
      </w:r>
      <w:proofErr w:type="spellEnd"/>
      <w:r>
        <w:rPr>
          <w:rFonts w:ascii="Times New Roman" w:hAnsi="Times New Roman"/>
          <w:sz w:val="20"/>
        </w:rPr>
        <w:t xml:space="preserve">-art </w:t>
      </w:r>
      <w:proofErr w:type="spellStart"/>
      <w:r>
        <w:rPr>
          <w:rFonts w:ascii="Times New Roman" w:hAnsi="Times New Roman"/>
          <w:sz w:val="20"/>
        </w:rPr>
        <w:t>tools</w:t>
      </w:r>
      <w:proofErr w:type="spellEnd"/>
      <w:r>
        <w:rPr>
          <w:rFonts w:ascii="Times New Roman" w:hAnsi="Times New Roman"/>
          <w:sz w:val="20"/>
        </w:rPr>
        <w:t xml:space="preserve"> </w:t>
      </w:r>
      <w:proofErr w:type="spellStart"/>
      <w:r>
        <w:rPr>
          <w:rFonts w:ascii="Times New Roman" w:hAnsi="Times New Roman"/>
          <w:sz w:val="20"/>
        </w:rPr>
        <w:t>and</w:t>
      </w:r>
      <w:proofErr w:type="spellEnd"/>
      <w:r>
        <w:rPr>
          <w:rFonts w:ascii="Times New Roman" w:hAnsi="Times New Roman"/>
          <w:sz w:val="20"/>
        </w:rPr>
        <w:t xml:space="preserve"> </w:t>
      </w:r>
      <w:proofErr w:type="spellStart"/>
      <w:r>
        <w:rPr>
          <w:rFonts w:ascii="Times New Roman" w:hAnsi="Times New Roman"/>
          <w:sz w:val="20"/>
        </w:rPr>
        <w:t>data</w:t>
      </w:r>
      <w:proofErr w:type="spellEnd"/>
      <w:r>
        <w:rPr>
          <w:rFonts w:ascii="Times New Roman" w:hAnsi="Times New Roman"/>
          <w:sz w:val="20"/>
        </w:rPr>
        <w:t xml:space="preserve"> </w:t>
      </w:r>
      <w:proofErr w:type="spellStart"/>
      <w:r>
        <w:rPr>
          <w:rFonts w:ascii="Times New Roman" w:hAnsi="Times New Roman"/>
          <w:sz w:val="20"/>
        </w:rPr>
        <w:t>for</w:t>
      </w:r>
      <w:proofErr w:type="spellEnd"/>
      <w:r>
        <w:rPr>
          <w:rFonts w:ascii="Times New Roman" w:hAnsi="Times New Roman"/>
          <w:sz w:val="20"/>
        </w:rPr>
        <w:t xml:space="preserve"> </w:t>
      </w:r>
      <w:proofErr w:type="spellStart"/>
      <w:r>
        <w:rPr>
          <w:rFonts w:ascii="Times New Roman" w:hAnsi="Times New Roman"/>
          <w:sz w:val="20"/>
        </w:rPr>
        <w:t>banks</w:t>
      </w:r>
      <w:proofErr w:type="spellEnd"/>
      <w:r>
        <w:rPr>
          <w:rFonts w:ascii="Times New Roman" w:hAnsi="Times New Roman"/>
          <w:sz w:val="20"/>
        </w:rPr>
        <w:t xml:space="preserve"> to </w:t>
      </w:r>
      <w:proofErr w:type="spellStart"/>
      <w:r>
        <w:rPr>
          <w:rFonts w:ascii="Times New Roman" w:hAnsi="Times New Roman"/>
          <w:sz w:val="20"/>
        </w:rPr>
        <w:t>assess</w:t>
      </w:r>
      <w:proofErr w:type="spellEnd"/>
      <w:r>
        <w:rPr>
          <w:rFonts w:ascii="Times New Roman" w:hAnsi="Times New Roman"/>
          <w:sz w:val="20"/>
        </w:rPr>
        <w:t xml:space="preserve"> </w:t>
      </w:r>
      <w:proofErr w:type="spellStart"/>
      <w:r>
        <w:rPr>
          <w:rFonts w:ascii="Times New Roman" w:hAnsi="Times New Roman"/>
          <w:sz w:val="20"/>
        </w:rPr>
        <w:t>credit</w:t>
      </w:r>
      <w:proofErr w:type="spellEnd"/>
      <w:r>
        <w:rPr>
          <w:rFonts w:ascii="Times New Roman" w:hAnsi="Times New Roman"/>
          <w:sz w:val="20"/>
        </w:rPr>
        <w:t xml:space="preserve"> risks </w:t>
      </w:r>
      <w:proofErr w:type="spellStart"/>
      <w:r>
        <w:rPr>
          <w:rFonts w:ascii="Times New Roman" w:hAnsi="Times New Roman"/>
          <w:sz w:val="20"/>
        </w:rPr>
        <w:t>and</w:t>
      </w:r>
      <w:proofErr w:type="spellEnd"/>
      <w:r>
        <w:rPr>
          <w:rFonts w:ascii="Times New Roman" w:hAnsi="Times New Roman"/>
          <w:sz w:val="20"/>
        </w:rPr>
        <w:t xml:space="preserve"> </w:t>
      </w:r>
      <w:proofErr w:type="spellStart"/>
      <w:r>
        <w:rPr>
          <w:rFonts w:ascii="Times New Roman" w:hAnsi="Times New Roman"/>
          <w:sz w:val="20"/>
        </w:rPr>
        <w:t>opportunities</w:t>
      </w:r>
      <w:proofErr w:type="spellEnd"/>
      <w:r>
        <w:rPr>
          <w:rFonts w:ascii="Times New Roman" w:hAnsi="Times New Roman"/>
          <w:sz w:val="20"/>
        </w:rPr>
        <w:t xml:space="preserve"> </w:t>
      </w:r>
      <w:proofErr w:type="spellStart"/>
      <w:r>
        <w:rPr>
          <w:rFonts w:ascii="Times New Roman" w:hAnsi="Times New Roman"/>
          <w:sz w:val="20"/>
        </w:rPr>
        <w:t>from</w:t>
      </w:r>
      <w:proofErr w:type="spellEnd"/>
      <w:r>
        <w:rPr>
          <w:rFonts w:ascii="Times New Roman" w:hAnsi="Times New Roman"/>
          <w:sz w:val="20"/>
        </w:rPr>
        <w:t xml:space="preserve"> </w:t>
      </w:r>
      <w:proofErr w:type="spellStart"/>
      <w:r>
        <w:rPr>
          <w:rFonts w:ascii="Times New Roman" w:hAnsi="Times New Roman"/>
          <w:sz w:val="20"/>
        </w:rPr>
        <w:t>physical</w:t>
      </w:r>
      <w:proofErr w:type="spellEnd"/>
      <w:r>
        <w:rPr>
          <w:rFonts w:ascii="Times New Roman" w:hAnsi="Times New Roman"/>
          <w:sz w:val="20"/>
        </w:rPr>
        <w:t xml:space="preserve">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change</w:t>
      </w:r>
      <w:proofErr w:type="spellEnd"/>
      <w:r>
        <w:rPr>
          <w:rFonts w:ascii="Times New Roman" w:hAnsi="Times New Roman"/>
          <w:sz w:val="20"/>
        </w:rPr>
        <w:t xml:space="preserve"> </w:t>
      </w:r>
      <w:proofErr w:type="spellStart"/>
      <w:r>
        <w:rPr>
          <w:rFonts w:ascii="Times New Roman" w:hAnsi="Times New Roman"/>
          <w:sz w:val="20"/>
        </w:rPr>
        <w:t>impacts</w:t>
      </w:r>
      <w:proofErr w:type="spellEnd"/>
      <w:r>
        <w:rPr>
          <w:rFonts w:ascii="Times New Roman" w:hAnsi="Times New Roman"/>
          <w:sz w:val="20"/>
        </w:rPr>
        <w:t xml:space="preserve">”, 2020. gada septembris,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Ziņojumā sniegta sīka informācija par aptvertajiem laikposmiem, nākotnes scenāriju izmantošanu, telpisko izšķirtspēju un segumu, formātu un </w:t>
      </w:r>
      <w:proofErr w:type="spellStart"/>
      <w:r>
        <w:rPr>
          <w:rFonts w:ascii="Times New Roman" w:hAnsi="Times New Roman"/>
          <w:sz w:val="20"/>
        </w:rPr>
        <w:t>izvaddatiem</w:t>
      </w:r>
      <w:proofErr w:type="spellEnd"/>
      <w:r>
        <w:rPr>
          <w:rFonts w:ascii="Times New Roman" w:hAnsi="Times New Roman"/>
          <w:sz w:val="20"/>
        </w:rPr>
        <w:t xml:space="preserve">, kas saņemami no konkrētām datu kopām, kā arī licencēšanu un izmaksām (lielākā daļa portālu un </w:t>
      </w:r>
      <w:proofErr w:type="spellStart"/>
      <w:r>
        <w:rPr>
          <w:rFonts w:ascii="Times New Roman" w:hAnsi="Times New Roman"/>
          <w:sz w:val="20"/>
        </w:rPr>
        <w:t>datubāzu</w:t>
      </w:r>
      <w:proofErr w:type="spellEnd"/>
      <w:r>
        <w:rPr>
          <w:rFonts w:ascii="Times New Roman" w:hAnsi="Times New Roman"/>
          <w:sz w:val="20"/>
        </w:rPr>
        <w:t xml:space="preserve"> piedāvā bezmaksas lietošanas piekļuvi). Turklāt ziņojumā aprakstītas dažādas fiziskā riska novērtēšanas un mērīšanas metodes, piemēram, siltuma kartēšana, korelācijas analīze, īpaši instrumenti un analītika.</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Komisijas Deleģētā regula (ES) 2021/2178 (2021. gada 6. jūlijs), ar ko papildina Eiropas Parlamenta un Padomes Regulu (ES) 2020/852, precizējot tās informācijas saturu un noformējumu, kas uzņēmumiem, uz kuriem attiecas Direktīvas 2013/34/ES 19.a vai 29.a pants, jāatklāj par vides ziņā ilgtspējīgām saimnieciskajām darbībām, un precizējot metodoloģiju minētā informācijas atklāšanas pienākuma izpildei (OV L 443, 10.12.2021., 9. lpp.).</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t xml:space="preserve">Komisijas Deleģētā regula (ES) 2021/2139 (2021. gada 4. jūnijs), ar ko Eiropas Parlamenta un Padomes Regulu (ES) 2020/852 papildina, ieviešot tehniskās pārbaudes kritērijus, pēc kuriem nosaka, ar kādiem nosacījumiem konkrēta saimnieciskā darbība ir uzskatāma par tādu, kas būtiski sekmē klimata pārmaiņu mazināšanu vai pielāgošanos klimata pārmaiņām, un pēc kuriem nosaka, vai konkrētā saimnieciskā darbība nenodara būtisku kaitējumu kādiem citiem </w:t>
      </w:r>
      <w:proofErr w:type="spellStart"/>
      <w:r>
        <w:rPr>
          <w:rFonts w:ascii="Times New Roman" w:hAnsi="Times New Roman"/>
          <w:sz w:val="20"/>
        </w:rPr>
        <w:t>vidiskajiem</w:t>
      </w:r>
      <w:proofErr w:type="spellEnd"/>
      <w:r>
        <w:rPr>
          <w:rFonts w:ascii="Times New Roman" w:hAnsi="Times New Roman"/>
          <w:sz w:val="20"/>
        </w:rPr>
        <w:t xml:space="preserve"> mērķiem (OV L 442, 9.12.2021., 1. lpp.).</w:t>
      </w:r>
      <w:r>
        <w:rPr>
          <w:rFonts w:ascii="Times New Roman" w:hAnsi="Times New Roman"/>
          <w:sz w:val="24"/>
        </w:rPr>
        <w:t>”</w:t>
      </w:r>
    </w:p>
    <w:p w14:paraId="6FD0C4F3" w14:textId="77777777" w:rsidR="00E240EE" w:rsidRPr="00F27EAD" w:rsidRDefault="00E240EE"/>
    <w:sectPr w:rsidR="00E240EE" w:rsidRPr="00F27EAD"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F27EAD">
    <w:pPr>
      <w:pStyle w:val="Header"/>
    </w:pPr>
    <w:r>
      <w:pict w14:anchorId="47C7C94C">
        <v:shapetype id="_x0000_t202" coordsize="21600,21600" o:spt="202" path="m,l,21600r21600,l21600,xe">
          <v:stroke joinstyle="miter"/>
          <v:path gradientshapeok="t" o:connecttype="rect"/>
        </v:shapetype>
        <v:shape id="Text Box 5" o:spid="_x0000_s1026" type="#_x0000_t202" alt="EBI oficiālai lietošanai"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F27EAD">
    <w:pPr>
      <w:pStyle w:val="Header"/>
    </w:pPr>
    <w:r>
      <w:pict w14:anchorId="260D80EA">
        <v:shapetype id="_x0000_t202" coordsize="21600,21600" o:spt="202" path="m,l,21600r21600,l21600,xe">
          <v:stroke joinstyle="miter"/>
          <v:path gradientshapeok="t" o:connecttype="rect"/>
        </v:shapetype>
        <v:shape id="Text Box 4" o:spid="_x0000_s1025" type="#_x0000_t202" alt="EBI oficiālai lietošanai"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27EAD"/>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lv-LV"/>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lv-LV"/>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lv-LV"/>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lv-LV"/>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lv-LV"/>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lv-LV"/>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lv-LV"/>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lv-LV"/>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lv-LV"/>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lv-LV"/>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lv-LV"/>
    </w:rPr>
  </w:style>
  <w:style w:type="table" w:styleId="TableGrid">
    <w:name w:val="Table Grid"/>
    <w:basedOn w:val="TableProfessional"/>
    <w:uiPriority w:val="59"/>
    <w:rsid w:val="00183989"/>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lv-LV"/>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lv-LV"/>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lv-LV"/>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lv-LV"/>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lv-LV"/>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lv-LV"/>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lv-LV"/>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lv-LV"/>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lv-LV"/>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lv-LV"/>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B115E3-EB58-4485-9830-77318920800B}"/>
</file>

<file path=customXml/itemProps2.xml><?xml version="1.0" encoding="utf-8"?>
<ds:datastoreItem xmlns:ds="http://schemas.openxmlformats.org/officeDocument/2006/customXml" ds:itemID="{ADB92040-4DBB-4FFA-BBC5-D8CB5F8BCFD6}"/>
</file>

<file path=customXml/itemProps3.xml><?xml version="1.0" encoding="utf-8"?>
<ds:datastoreItem xmlns:ds="http://schemas.openxmlformats.org/officeDocument/2006/customXml" ds:itemID="{BAAF43CF-E4F3-4F2A-AF0C-9992A9A85C16}"/>
</file>

<file path=docProps/app.xml><?xml version="1.0" encoding="utf-8"?>
<Properties xmlns="http://schemas.openxmlformats.org/officeDocument/2006/extended-properties" xmlns:vt="http://schemas.openxmlformats.org/officeDocument/2006/docPropsVTypes">
  <Template>Normal</Template>
  <TotalTime>13</TotalTime>
  <Pages>46</Pages>
  <Words>15710</Words>
  <Characters>101020</Characters>
  <Application>Microsoft Office Word</Application>
  <DocSecurity>0</DocSecurity>
  <Lines>2104</Lines>
  <Paragraphs>964</Paragraphs>
  <ScaleCrop>false</ScaleCrop>
  <Company>XXXXXXX</Company>
  <LinksUpToDate>false</LinksUpToDate>
  <CharactersWithSpaces>115766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KALLUDRA Ilir (LUX-S2FRC)</cp:lastModifiedBy>
  <cp:revision>4</cp:revision>
  <dcterms:created xsi:type="dcterms:W3CDTF">2024-06-28T09:37:00Z</dcterms:created>
  <dcterms:modified xsi:type="dcterms:W3CDTF">2024-10-18T12:19:00Z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