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X PRIEDAS. Informacijos apie anticiklinius kapitalo rezervus atskleidimo nurodymai</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EU CCyB1 forma. Kredito pozicijų, svarbių apskaičiuojant anticiklinį kapitalo rezervą, geografinis pasiskirstymas. </w:t>
      </w:r>
      <w:r>
        <w:rPr>
          <w:rFonts w:ascii="Times New Roman" w:hAnsi="Times New Roman"/>
          <w:sz w:val="24"/>
        </w:rPr>
        <w:t xml:space="preserve">Nustatytojo formato skiltys, lanksčiojo formato eilutės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Pildydamos EBI IT sprendimų IX priede pateiktą EU CCyB1 formą įstaigos atskleidžia Reglamento (ES) Nr. 575/2013</w:t>
      </w:r>
      <w:r>
        <w:rPr>
          <w:rStyle w:val="FootnoteReference"/>
        </w:rPr>
        <w:footnoteReference w:id="1"/>
      </w:r>
      <w:r>
        <w:rPr>
          <w:rFonts w:ascii="Times New Roman" w:hAnsi="Times New Roman"/>
          <w:sz w:val="24"/>
        </w:rPr>
        <w:t xml:space="preserve"> (toliau – KRR) 440 straipsnio a punkte nurodytą informaciją, vadovaudamosi toliau šiame priede pateiktais nurodymais.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EU CCyB1 forma skirta tik kredito pozicijoms, svarbioms apskaičiuojant anticiklinį kapitalo rezervą pagal Direktyvos (ES) 2013/36</w:t>
      </w:r>
      <w:r>
        <w:rPr>
          <w:rStyle w:val="FootnoteReference"/>
          <w:rFonts w:eastAsia="Times New Roman"/>
        </w:rPr>
        <w:footnoteReference w:id="2"/>
      </w:r>
      <w:r>
        <w:rPr>
          <w:rFonts w:ascii="Times New Roman" w:hAnsi="Times New Roman"/>
          <w:sz w:val="24"/>
        </w:rPr>
        <w:t xml:space="preserve"> (toliau – KRD) 140 straipsnio 4 dalį.</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Nuorodos į teisės aktus ir nurodymai</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Suskirstymas pagal šalį</w:t>
            </w:r>
          </w:p>
          <w:p w14:paraId="2DDAA49A" w14:textId="0DF7EBE8" w:rsidR="00455D0D" w:rsidRPr="007F4CC8" w:rsidRDefault="00455D0D" w:rsidP="00D819DE">
            <w:pPr>
              <w:pStyle w:val="Applicationdirecte"/>
              <w:spacing w:before="120"/>
            </w:pPr>
            <w:r>
              <w:t>Šalių, kuriose įstaiga turi kredito pozicijų, svarbių apskaičiuojant įstaigos specialų anticiklinį rezervą pagal Komisijos deleguotąjį reglamentą (ES) Nr. 1152/2014</w:t>
            </w:r>
            <w:r>
              <w:rPr>
                <w:rStyle w:val="FootnoteReference"/>
              </w:rPr>
              <w:footnoteReference w:id="3"/>
            </w:r>
            <w:r>
              <w:t>, sąrašas</w:t>
            </w:r>
            <w:r w:rsidR="007A56A2">
              <w:t>.</w:t>
            </w:r>
          </w:p>
          <w:p w14:paraId="37E96D2E" w14:textId="77777777" w:rsidR="00455D0D" w:rsidRPr="007F4CC8" w:rsidRDefault="00455D0D" w:rsidP="00D819DE">
            <w:pPr>
              <w:pStyle w:val="Fait"/>
              <w:spacing w:after="120"/>
            </w:pPr>
            <w:r>
              <w:t>Eilučių skaičius gali skirtis priklausomai nuo šalių, kuriose įstaiga turi savo kredito pozicijų, svarbių apskaičiuojant anticiklinį rezervą, skaičiaus. Įstaigos nuosekliai sunumeruoja atskiroms šalims skirtas eilutes pradėdamos nuo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Remiantis Komisijos deleguotuoju reglamentu (ES) Nr. 1152/2014, jeigu įstaigos prekybos knygos pozicijos arba užsienio kredito pozicijos neviršija 2 % tos įstaigos bendros pagal riziką įvertintų pozicijų sumos, įstaiga gali pasirinkti šių pozicijų vieta laikyti įstaigos vietą (t. y. įstaigos buveinės valstybę narę). Jeigu įstaigos vietai priskiriamos pozicijos apima kitų šalių pozicijas, tai aiškiai nurodoma lentelės, kurioje atskleidžiama informacija, išnašoje.</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Iš viso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Vertė, kaip aprašyta pagal šios formos a–m skiltims skirtus paaiškinimus.</w:t>
            </w:r>
          </w:p>
        </w:tc>
      </w:tr>
    </w:tbl>
    <w:p w14:paraId="761A683E" w14:textId="77777777" w:rsidR="00455D0D" w:rsidRDefault="00455D0D" w:rsidP="00455D0D">
      <w:pPr>
        <w:rPr>
          <w:rFonts w:ascii="Times New Roman" w:hAnsi="Times New Roman" w:cs="Times New Roman"/>
          <w:sz w:val="24"/>
        </w:rPr>
      </w:pPr>
    </w:p>
    <w:p w14:paraId="5E4C6A39" w14:textId="77777777" w:rsidR="007A56A2" w:rsidRDefault="007A56A2" w:rsidP="00455D0D">
      <w:pPr>
        <w:rPr>
          <w:rFonts w:ascii="Times New Roman" w:hAnsi="Times New Roman" w:cs="Times New Roman"/>
          <w:sz w:val="24"/>
        </w:rPr>
      </w:pPr>
    </w:p>
    <w:p w14:paraId="29ACD2C6" w14:textId="77777777" w:rsidR="007A56A2" w:rsidRDefault="007A56A2" w:rsidP="00455D0D">
      <w:pPr>
        <w:rPr>
          <w:rFonts w:ascii="Times New Roman" w:hAnsi="Times New Roman" w:cs="Times New Roman"/>
          <w:sz w:val="24"/>
        </w:rPr>
      </w:pPr>
    </w:p>
    <w:p w14:paraId="4474E880" w14:textId="77777777" w:rsidR="007A56A2" w:rsidRDefault="007A56A2" w:rsidP="00455D0D">
      <w:pPr>
        <w:rPr>
          <w:rFonts w:ascii="Times New Roman" w:hAnsi="Times New Roman" w:cs="Times New Roman"/>
          <w:sz w:val="24"/>
        </w:rPr>
      </w:pPr>
    </w:p>
    <w:p w14:paraId="5EB6E300" w14:textId="77777777" w:rsidR="007A56A2" w:rsidRDefault="007A56A2" w:rsidP="00455D0D">
      <w:pPr>
        <w:rPr>
          <w:rFonts w:ascii="Times New Roman" w:hAnsi="Times New Roman" w:cs="Times New Roman"/>
          <w:sz w:val="24"/>
        </w:rPr>
      </w:pPr>
    </w:p>
    <w:p w14:paraId="17E3D247" w14:textId="77777777" w:rsidR="007A56A2" w:rsidRPr="007F4CC8" w:rsidRDefault="007A56A2"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lastRenderedPageBreak/>
              <w:t>Nuorodos į teisės aktus ir nurodymai</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Paaiškinimas</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Bendrųjų kredito pozicijų, kurioms taikomas standartizuotas metodas, vertė</w:t>
            </w:r>
          </w:p>
          <w:p w14:paraId="217A6855" w14:textId="1A06BE58" w:rsidR="00455D0D" w:rsidRPr="007F4CC8" w:rsidRDefault="00455D0D" w:rsidP="00D819DE">
            <w:pPr>
              <w:pStyle w:val="Fait"/>
              <w:spacing w:after="120"/>
            </w:pPr>
            <w:r>
              <w:t>Atitinkamų kredito pozicijų pozicijos vertė, nustatyta pagal KRD 140 straipsnio 4 dalies a punktą ir KRR 111 straipsnį</w:t>
            </w:r>
            <w:r w:rsidR="007A56A2">
              <w:t>.</w:t>
            </w:r>
          </w:p>
          <w:p w14:paraId="7001526D" w14:textId="77777777" w:rsidR="00455D0D" w:rsidRPr="007F4CC8" w:rsidRDefault="00455D0D" w:rsidP="00D819DE">
            <w:pPr>
              <w:pStyle w:val="Fait"/>
              <w:spacing w:after="120"/>
            </w:pPr>
            <w:r>
              <w:t>Atitinkamų kredito pozicijų pozicijos vertė, nustatyta pagal KRD 140 straipsnio 4 dalies c punktą kartu su KRR 248 straipsnio a ir c punktais, įtraukiama ne čia, bet į šios formos e skiltį.</w:t>
            </w:r>
          </w:p>
          <w:p w14:paraId="7DC41FB9" w14:textId="77777777" w:rsidR="00455D0D" w:rsidRPr="007F4CC8" w:rsidRDefault="00455D0D" w:rsidP="00D819DE">
            <w:pPr>
              <w:pStyle w:val="Fait"/>
              <w:spacing w:after="120"/>
            </w:pPr>
            <w:r>
              <w:t xml:space="preserve">Geografinis suskirstymas atliekamas pagal Komisijos deleguotąjį reglamentą (ES) Nr. 1152/2014. </w:t>
            </w:r>
          </w:p>
          <w:p w14:paraId="6801ED6C" w14:textId="55DB9394" w:rsidR="00455D0D" w:rsidRPr="007F4CC8" w:rsidRDefault="00455D0D" w:rsidP="00D819DE">
            <w:pPr>
              <w:pStyle w:val="Fait"/>
              <w:spacing w:after="120"/>
            </w:pPr>
            <w:r>
              <w:t xml:space="preserve">020 eilutė (iš viso): </w:t>
            </w:r>
            <w:r w:rsidR="007A56A2">
              <w:t>v</w:t>
            </w:r>
            <w:r>
              <w:t>isų atitinkamų kredito pozicijų suma apskaičiuojama pagal KRD 140 straipsnio 4 dalies a punktą ir KRR 111 straipsnį.</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Bendrųjų kredito pozicijų, kurioms taikomas IRB metodas, pozicijos vertė</w:t>
            </w:r>
          </w:p>
          <w:p w14:paraId="45C5ADD3" w14:textId="0FC0F390"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Atitinkamų kredito pozicijų pozicijos vertė, nustatyta pagal KRD 140 straipsnio 4 dalies a punktą ir KRR 166, 167 ir 168 straipsnius</w:t>
            </w:r>
            <w:r w:rsidR="007A56A2">
              <w:rPr>
                <w:rFonts w:ascii="Times New Roman" w:hAnsi="Times New Roman"/>
                <w:sz w:val="24"/>
              </w:rPr>
              <w:t>.</w:t>
            </w:r>
          </w:p>
          <w:p w14:paraId="4BAA504B" w14:textId="77777777" w:rsidR="00455D0D" w:rsidRPr="007F4CC8" w:rsidRDefault="00455D0D" w:rsidP="00D819DE">
            <w:pPr>
              <w:pStyle w:val="Fait"/>
              <w:spacing w:after="120"/>
            </w:pPr>
            <w:r>
              <w:t>Atitinkamų kredito pozicijų pozicijos vertė, nustatyta pagal KRD 140 straipsnio 4 dalies c punktą, KRR 248 straipsnio a ir c punktus, įtraukiama ne čia, bet į šios formos e skiltį.</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5B53F08D" w14:textId="5D814EB6"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020 eilutė (iš viso): </w:t>
            </w:r>
            <w:r w:rsidR="007A56A2">
              <w:rPr>
                <w:rFonts w:ascii="Times New Roman" w:hAnsi="Times New Roman"/>
                <w:sz w:val="24"/>
              </w:rPr>
              <w:t>v</w:t>
            </w:r>
            <w:r>
              <w:rPr>
                <w:rFonts w:ascii="Times New Roman" w:hAnsi="Times New Roman"/>
                <w:sz w:val="24"/>
              </w:rPr>
              <w:t>isų atitinkamų kredito pozicijų suma apskaičiuojama pagal KRD 140 straipsnio 4 dalies a punktą ir KRR 166, 167 ir 168 straipsnius.</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Prekybos knygos ilgųjų ir trumpųjų pozicijų suma standartizuotam metodui</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ilgųjų ir trumpųjų pozicijų suma, nustatyta pagal KRD 140 straipsnio 4 dalies b punktą, apskaičiuojama kaip ilgųjų ir trumpųjų pozicijų suma, nustatyta pagal KRR 327 straipsnį.</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49E9F7E7" w14:textId="00612AD8"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a</w:t>
            </w:r>
            <w:r>
              <w:rPr>
                <w:rFonts w:ascii="Times New Roman" w:hAnsi="Times New Roman"/>
                <w:sz w:val="24"/>
              </w:rPr>
              <w:t>titinkamų kredito pozicijų visų ilgųjų ir trumpųjų pozicijų suma nustatoma pagal KRD 140 straipsnio 4 dalies b punktą ir apskaičiuojama kaip ilgųjų ir trumpųjų pozicijų suma, nustatyta pagal KRR 327 straipsnį.</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Prekybos knygos pozicijų vertė vidaus modeliams</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Šių elementų suma:</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pinigų pozicijų, kurios yra atitinkamos kredito pozicijos, tikrosios vertės, nustatytos pagal KRD 140 straipsnio 4 dalies b punktą ir KRR 104 straipsnį;</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lastRenderedPageBreak/>
              <w:t>išvestinių finansinių priemonių, kurios yra atitinkamos kredito pozicijos, tariamosios vertės, nustatytos pagal KRD 140 straipsnio 4 dalies b punktą.</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4482DFFB" w14:textId="09201F91"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v</w:t>
            </w:r>
            <w:r>
              <w:rPr>
                <w:rFonts w:ascii="Times New Roman" w:hAnsi="Times New Roman"/>
                <w:sz w:val="24"/>
              </w:rPr>
              <w:t>isų pinigų pozicijų, kurios yra atitinkamos kredito pozicijos, tikrosios vertės, nustatomos pagal KRD 140 straipsnio 4 dalies b punktą ir KRR 104 straipsnį, ir visų išvestinių finansinių priemonių, kurios yra atitinkamos kredito pozicijos, tariamosios vertės, nustatomos pagal KRD 140 straipsnio 4 dalies b punktą, suma.</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Pakeitimo vertybiniais popieriais pozicijos. Ne prekybos knygos pozicijų vertė</w:t>
            </w:r>
          </w:p>
          <w:p w14:paraId="475647C8" w14:textId="784C9AA0"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pozicijos vertė, nustatyta pagal KRD 140 straipsnio 4 dalies c punktą ir KRR 248 straipsnio a ir c punktus</w:t>
            </w:r>
            <w:r w:rsidR="007A56A2">
              <w:rPr>
                <w:rFonts w:ascii="Times New Roman" w:hAnsi="Times New Roman"/>
                <w:sz w:val="24"/>
              </w:rPr>
              <w:t>.</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Geografinis suskirstymas atliekamas pagal Komisijos deleguotąjį reglamentą (ES) Nr. 1152/2014.</w:t>
            </w:r>
          </w:p>
          <w:p w14:paraId="02F1A397" w14:textId="6AF4F3E6"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v</w:t>
            </w:r>
            <w:r>
              <w:rPr>
                <w:rFonts w:ascii="Times New Roman" w:hAnsi="Times New Roman"/>
                <w:sz w:val="24"/>
              </w:rPr>
              <w:t>isų atitinkamų kredito pozicijų suma apskaičiuojama pagal KRD 140 straipsnio 4 dalies c punktą ir KRR 248 straipsnio a ir c punktus.</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Bendra pozicijos vertė</w:t>
            </w:r>
          </w:p>
          <w:p w14:paraId="0D119275" w14:textId="2DD4D89F"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Šios formos a, b, c, d ir e skilčių verčių suma</w:t>
            </w:r>
            <w:r w:rsidR="007A56A2">
              <w:rPr>
                <w:rFonts w:ascii="Times New Roman" w:hAnsi="Times New Roman"/>
                <w:sz w:val="24"/>
              </w:rPr>
              <w:t>.</w:t>
            </w:r>
          </w:p>
          <w:p w14:paraId="762C47EB" w14:textId="30D15595"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v</w:t>
            </w:r>
            <w:r>
              <w:rPr>
                <w:rFonts w:ascii="Times New Roman" w:hAnsi="Times New Roman"/>
                <w:sz w:val="24"/>
              </w:rPr>
              <w:t>isų atitinkamų kredito pozicijų suma apskaičiuojama pagal KRD 140 straipsnio 4 dalį.</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Nuosavų lėšų reikalavimai. Atitinkamos kredito rizikos pozicijos. Kredito rizika</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konkrečioje šalyje nuosavų lėšų reikalavimai, nustatyti pagal KRD 140 straipsnio 4 dalies a punktą ir KRR trečios dalies II antraštinę dalį, atsižvelgiant į nuosavų lėšų reikalavimus, susijusius su bet kuriais konkrečiai šaliai taikomais rizikos koeficientų, nustatytų pagal KRR 458 straipsnį, koregavimais.</w:t>
            </w:r>
          </w:p>
          <w:p w14:paraId="537A3B0D" w14:textId="7B81C93A"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a</w:t>
            </w:r>
            <w:r>
              <w:rPr>
                <w:rFonts w:ascii="Times New Roman" w:hAnsi="Times New Roman"/>
                <w:sz w:val="24"/>
              </w:rPr>
              <w:t>titinkamų kredito pozicijų visų nuosavų lėšų reikalavimų suma apskaičiuojama pagal KRD 140 straipsnio 4 dalies a punktą ir KRR trečios dalies II antraštinę dalį.</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Nuosavų lėšų reikalavimai. Atitinkamos kredito rizikos pozicijos. Rinkos rizika </w:t>
            </w:r>
          </w:p>
          <w:p w14:paraId="01D71615" w14:textId="77777777" w:rsidR="00455D0D" w:rsidRPr="007F4CC8" w:rsidRDefault="00455D0D" w:rsidP="00D819DE">
            <w:pPr>
              <w:pStyle w:val="Fait"/>
              <w:spacing w:after="120"/>
            </w:pPr>
            <w:r>
              <w:t>Atitinkamų kredito pozicijų konkrečioje šalyje nuosavų lėšų reikalavimai, nustatyti pagal KRD 140 straipsnio 4 dalies b punktą ir KRR trečios dalies IV antraštinės dalies 2 skyrių specifinei rizikai padengti arba pagal KRR trečios dalies IV antraštinės dalies 5 skyrių papildomai įsipareigojimų neįvykdymo ir pokyčių rizikai padengti.</w:t>
            </w:r>
          </w:p>
          <w:p w14:paraId="3376CF2A" w14:textId="24649A77" w:rsidR="00455D0D" w:rsidRPr="007F4CC8" w:rsidRDefault="00455D0D" w:rsidP="00D819DE">
            <w:pPr>
              <w:pStyle w:val="Fait"/>
              <w:spacing w:after="120"/>
            </w:pPr>
            <w:r>
              <w:t xml:space="preserve">020 eilutė (iš viso): </w:t>
            </w:r>
            <w:r w:rsidR="007A56A2">
              <w:t>a</w:t>
            </w:r>
            <w:r>
              <w:t xml:space="preserve">titinkamų kredito pozicijų visų nuosavų lėšų reikalavimų suma apskaičiuojama pagal KRD 140 straipsnio 4 dalies b punktą ir KRR </w:t>
            </w:r>
            <w:r>
              <w:lastRenderedPageBreak/>
              <w:t>trečios dalies IV antraštinės dalies 2 skyrių specifinei rizikai padengti arba pagal KRR trečios dalies IV antraštinės dalies 5 skyrių papildomai įsipareigojimų neįvykdymo ir pokyčių rizikai padengti.</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Nuosavų lėšų reikalavimai. Atitinkamos kredito pozicijos. Pakeitimo vertybiniais popieriais pozicijos ne prekybos knygoje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kredito pozicijų konkrečioje šalyje nuosavų lėšų reikalavimai, nustatyti pagal KRD 140 straipsnio 4 dalies c punktą ir KRR trečios dalies II antraštinės dalies 5 skyrių.</w:t>
            </w:r>
          </w:p>
          <w:p w14:paraId="2E6C3AF3" w14:textId="40992FD3"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a</w:t>
            </w:r>
            <w:r>
              <w:rPr>
                <w:rFonts w:ascii="Times New Roman" w:hAnsi="Times New Roman"/>
                <w:sz w:val="24"/>
              </w:rPr>
              <w:t>titinkamų kredito pozicijų visų nuosavų lėšų reikalavimų suma apskaičiuojama pagal KRD 140 straipsnio 4 dalies c punktą ir KRR trečios dalies II antraštinės dalies 5 skyrių.</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Nuosavų lėšų reikalavimai. Iš viso</w:t>
            </w:r>
          </w:p>
          <w:p w14:paraId="1885EA73" w14:textId="094CFBB3"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Šios formos g, h ir i skilčių verčių suma</w:t>
            </w:r>
            <w:r w:rsidR="007A56A2">
              <w:rPr>
                <w:rFonts w:ascii="Times New Roman" w:hAnsi="Times New Roman"/>
                <w:sz w:val="24"/>
              </w:rPr>
              <w:t>.</w:t>
            </w:r>
          </w:p>
          <w:p w14:paraId="647FF047" w14:textId="75CB0A09"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 xml:space="preserve">020 eilutė (iš viso): </w:t>
            </w:r>
            <w:r w:rsidR="007A56A2">
              <w:rPr>
                <w:rFonts w:ascii="Times New Roman" w:hAnsi="Times New Roman"/>
                <w:sz w:val="24"/>
              </w:rPr>
              <w:t>a</w:t>
            </w:r>
            <w:r>
              <w:rPr>
                <w:rFonts w:ascii="Times New Roman" w:hAnsi="Times New Roman"/>
                <w:sz w:val="24"/>
              </w:rPr>
              <w:t>titinkamų kredito pozicijų visų nuosavų lėšų reikalavimų suma apskaičiuojama pagal KRD 140 straipsnio 4 dalį.</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Pagal riziką įvertintų pozicijų sumos</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Atitinkamų pagal kredito riziką įvertintų pozicijų sumos, nustatytos pagal KRD 140 straipsnio 4 dalį, suskirstytos pagal šalį, atsižvelgus į visus konkrečiai šaliai taikomus rizikos koeficientų , nustatytų pagal KRR 458 straipsnį, koregavimus.</w:t>
            </w:r>
          </w:p>
          <w:p w14:paraId="2AF6A48C" w14:textId="400E514B"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020 eilutė (iš viso): </w:t>
            </w:r>
            <w:r w:rsidR="007A56A2">
              <w:rPr>
                <w:rFonts w:ascii="Times New Roman" w:hAnsi="Times New Roman"/>
                <w:sz w:val="24"/>
              </w:rPr>
              <w:t>a</w:t>
            </w:r>
            <w:r>
              <w:rPr>
                <w:rFonts w:ascii="Times New Roman" w:hAnsi="Times New Roman"/>
                <w:sz w:val="24"/>
              </w:rPr>
              <w:t>titinkamų kredito pozicijų visų pagal riziką įvertintų pozicijų suma apskaičiuojama pagal KRD 140 straipsnio 4 dalį.</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Nuosavų lėšų reikalavimams taikomi koeficientai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Kiekvienoje šalyje anticiklinio kapitalo rezervo normai taikomas koeficientas, apskaičiuotas kaip bendra nuosavų lėšų reikalavimų, susijusių su atitinkamomis kredito pozicijomis konkrečioje šalyje (šios formos 01X eilutė, j skiltis), suma, padalyta iš bendros nuosavų lėšų reikalavimų, susijusių su visomis kredito pozicijomis, svarbiomis apskaičiuojant anticiklinio kapitalo rezervą pagal KRD 140 straipsnio 4 dalį (šios formos 020 eilutė, j skiltis), sumos.</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Ši vertė atskleidžiama kaip procentinė dalis, nurodant du skaičius po kablelio.</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Anticiklinio kapitalo rezervo norma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Konkrečioje šalyje taikoma anticiklinio kapitalo rezervo norma, nustatyta pagal KRD 136, 137, 138 ir 139 straipsnius.</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 šią skiltį neįtraukiamos anticiklinio kapitalo rezervo normos, kurios buvo nustatytos, bet dar netaikytos, kai buvo apskaičiuojamas įstaigos specialus anticiklinis kapitalo rezervas, su kuriuo susijusi atskleidžiama informacija.</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Ši vertė atskleidžiama kaip procentinė dalis, nurodant tiek pat skaičių po kablelio, kaip nustatyta pagal KRD 136, 137, 138 ir 139 straipsnius.</w:t>
            </w:r>
          </w:p>
        </w:tc>
      </w:tr>
    </w:tbl>
    <w:p w14:paraId="29C77942" w14:textId="77777777" w:rsidR="00455D0D" w:rsidRPr="007F4CC8" w:rsidRDefault="00455D0D" w:rsidP="00455D0D">
      <w:pPr>
        <w:jc w:val="both"/>
        <w:rPr>
          <w:rFonts w:ascii="Times New Roman" w:hAnsi="Times New Roman" w:cs="Times New Roman"/>
          <w:sz w:val="24"/>
        </w:rPr>
      </w:pPr>
    </w:p>
    <w:p w14:paraId="4F7671FF" w14:textId="77777777" w:rsidR="007A56A2" w:rsidRDefault="007A56A2" w:rsidP="00455D0D">
      <w:pPr>
        <w:autoSpaceDE w:val="0"/>
        <w:autoSpaceDN w:val="0"/>
        <w:adjustRightInd w:val="0"/>
        <w:jc w:val="both"/>
        <w:rPr>
          <w:rFonts w:ascii="Times New Roman" w:hAnsi="Times New Roman"/>
          <w:b/>
          <w:sz w:val="24"/>
        </w:rPr>
      </w:pPr>
    </w:p>
    <w:p w14:paraId="64839D89" w14:textId="0051715B"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lastRenderedPageBreak/>
        <w:t>EU CCyB2 forma. Įstaigos specialaus anticiklinio kapitalo rezervo suma</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Pildydamos šio įgyvendinimo reglamento IX priede pateiktą EU CCyB2 formą įstaigos atskleidžia KRR 440 straipsnio b punkte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Nuorodos į teisės aktus ir nurodymai</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Paaiškinimas</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Bendra rizikos pozicijos suma</w:t>
            </w:r>
          </w:p>
          <w:p w14:paraId="6FC34F99" w14:textId="0E00177C"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Bendra rizikos pozicijos suma, apskaičiuota pagal KRR 92 straipsnio 3 dalį</w:t>
            </w:r>
            <w:r w:rsidR="007A56A2">
              <w:rPr>
                <w:rFonts w:ascii="Times New Roman" w:hAnsi="Times New Roman"/>
                <w:sz w:val="24"/>
              </w:rPr>
              <w:t>.</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Įstaigos specialaus anticiklinio kapitalo rezervo norma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Įstaigos specialaus anticiklinio kapitalo rezervo norma, nustatyta pagal KRD 140 straipsnio 1 dalį.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specialaus anticiklinio kapitalo rezervo norma apskaičiuojama kaip anticiklinio rezervo normų, taikomų šalyse, kuriose įstaiga turi atitinkamų kredito pozicijų, ir nurodomų EU CCyB1 formos m skilties 010.1–010.X eilutėse, svertinis vidurkis.</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Kiekvienoje šalyje anticiklinio kapitalo rezervo normai taikomas koeficientas yra nuosavų lėšų reikalavimų dalis bendroje nuosavų lėšų reikalavimų sumoje ir yra nurodomas EU CCyB1 formos l skiltyje.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Ši vertė atskleidžiama kaip procentinė dalis, nurodant du skaičius po kablelio.</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Įstaigos specialaus anticiklinio kapitalo rezervo reikalavimas</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Įstaigos specialaus anticiklinio kapitalo rezervo reikalavimas, apskaičiuotas kaip įstaigos specialaus anticiklinio rezervo norma, atskleista šios formos 2 eilutėje, taikomas bendrai rizikos pozicijos sumai, atskleistai šios formos 1 eilutėje.</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Nuorodos į teisės aktus ir nurodymai</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Paaiškinimas</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Vertė, kaip aprašyta pagal šios formos 1–3 eilutėms skirtus paaiškinimus.</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4E04" w14:textId="77777777" w:rsidR="007022E0" w:rsidRDefault="007022E0" w:rsidP="00455D0D">
      <w:r>
        <w:separator/>
      </w:r>
    </w:p>
  </w:endnote>
  <w:endnote w:type="continuationSeparator" w:id="0">
    <w:p w14:paraId="2EF65FA0" w14:textId="77777777" w:rsidR="007022E0" w:rsidRDefault="007022E0"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E6B50" w14:textId="77777777" w:rsidR="007022E0" w:rsidRDefault="007022E0" w:rsidP="00455D0D">
      <w:r>
        <w:separator/>
      </w:r>
    </w:p>
  </w:footnote>
  <w:footnote w:type="continuationSeparator" w:id="0">
    <w:p w14:paraId="00D5D12F" w14:textId="77777777" w:rsidR="007022E0" w:rsidRDefault="007022E0"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r>
      <w: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r>
      <w:r>
        <w:t>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(OL L 309, 2014 10 30,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022E0"/>
    <w:rsid w:val="0079468D"/>
    <w:rsid w:val="007A56A2"/>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573E32-0035-4AFF-A5D3-48E89FC771ED}"/>
</file>

<file path=customXml/itemProps2.xml><?xml version="1.0" encoding="utf-8"?>
<ds:datastoreItem xmlns:ds="http://schemas.openxmlformats.org/officeDocument/2006/customXml" ds:itemID="{A0ADEB89-224C-42C0-BD58-A7FE5098E133}"/>
</file>

<file path=customXml/itemProps3.xml><?xml version="1.0" encoding="utf-8"?>
<ds:datastoreItem xmlns:ds="http://schemas.openxmlformats.org/officeDocument/2006/customXml" ds:itemID="{3A76C4DF-796B-4518-8409-D2EE66ADA52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5</Pages>
  <Words>1413</Words>
  <Characters>8978</Characters>
  <Application>Microsoft Office Word</Application>
  <DocSecurity>0</DocSecurity>
  <Lines>208</Lines>
  <Paragraphs>118</Paragraphs>
  <ScaleCrop>false</ScaleCrop>
  <Company>European Banking Authority</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5</cp:revision>
  <dcterms:created xsi:type="dcterms:W3CDTF">2021-03-11T11:56:00Z</dcterms:created>
  <dcterms:modified xsi:type="dcterms:W3CDTF">2024-10-18T07:39:00Z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