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ADA6" w14:textId="77777777" w:rsidR="00166FFE" w:rsidRPr="0031221C" w:rsidRDefault="00A1733E" w:rsidP="006A78BA">
      <w:pPr>
        <w:pStyle w:val="Annexetitre"/>
        <w:rPr>
          <w:sz w:val="28"/>
          <w:szCs w:val="28"/>
          <w:u w:val="none"/>
        </w:rPr>
      </w:pPr>
      <w:r>
        <w:rPr>
          <w:sz w:val="28"/>
          <w:u w:val="none"/>
        </w:rPr>
        <w:t>ПРИЛОЖЕНИЕ II</w:t>
      </w:r>
    </w:p>
    <w:p w14:paraId="3EED48F6" w14:textId="77777777" w:rsidR="00A1733E" w:rsidRPr="0031221C" w:rsidRDefault="00A1733E" w:rsidP="006A78BA">
      <w:pPr>
        <w:pStyle w:val="Annexetitre"/>
        <w:rPr>
          <w:u w:val="none"/>
        </w:rPr>
      </w:pPr>
      <w:r>
        <w:rPr>
          <w:u w:val="none"/>
        </w:rPr>
        <w:t>„ПРИЛОЖЕНИЕ XXXVIII</w:t>
      </w:r>
    </w:p>
    <w:p w14:paraId="77F10DF1" w14:textId="10384F48" w:rsidR="006A78BA" w:rsidRPr="0031221C" w:rsidRDefault="0078309E" w:rsidP="006A78BA">
      <w:pPr>
        <w:pStyle w:val="Annexetitre"/>
        <w:rPr>
          <w:u w:val="none"/>
        </w:rPr>
      </w:pPr>
      <w:r>
        <w:rPr>
          <w:u w:val="none"/>
        </w:rPr>
        <w:t>Указания за образците за оповестяване на информация за лихвения риск по позициите, които не се държат в търговския портфейл</w:t>
      </w:r>
    </w:p>
    <w:p w14:paraId="09721089" w14:textId="77777777" w:rsidR="006A78BA" w:rsidRPr="0031221C" w:rsidRDefault="006A78BA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A0C8EE" w14:textId="01383A2B" w:rsidR="00CD3692" w:rsidRPr="0031221C" w:rsidRDefault="00166FFE" w:rsidP="00CD3692">
      <w:p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Указания за оповестяване за образец EU IRRBBA </w:t>
      </w:r>
    </w:p>
    <w:p w14:paraId="7E4925DA" w14:textId="77777777" w:rsidR="00CD3692" w:rsidRPr="0031221C" w:rsidRDefault="00CD3692" w:rsidP="00CD3692">
      <w:pPr>
        <w:rPr>
          <w:rFonts w:ascii="Times New Roman" w:hAnsi="Times New Roman"/>
          <w:bCs/>
          <w:sz w:val="24"/>
        </w:rPr>
      </w:pPr>
    </w:p>
    <w:p w14:paraId="31D9779B" w14:textId="7383F91C" w:rsidR="00580D58" w:rsidRPr="0031221C" w:rsidRDefault="00580D58" w:rsidP="00470043">
      <w:pPr>
        <w:spacing w:after="120"/>
        <w:jc w:val="both"/>
        <w:rPr>
          <w:rFonts w:ascii="Calibri" w:eastAsia="Times New Roman" w:hAnsi="Calibri" w:cs="Times New Roman"/>
          <w:color w:val="000000"/>
          <w:szCs w:val="22"/>
        </w:rPr>
      </w:pPr>
      <w:r>
        <w:rPr>
          <w:rFonts w:ascii="Times New Roman" w:hAnsi="Times New Roman"/>
          <w:sz w:val="24"/>
        </w:rPr>
        <w:t>Институциите оповестяват посочената по-долу качествена информация въз основа на своята вътрешна методология за измерване на риска, на стандартизираната методология или на опростената стандартизирана методология, когато е приложимо, в съответствие с член 84 от Директива 2013/36/ЕС.</w:t>
      </w:r>
    </w:p>
    <w:p w14:paraId="3D633743" w14:textId="14CE6FC2" w:rsidR="00C07A00" w:rsidRDefault="0017255F" w:rsidP="000D6C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Настоящите указания са разработени въз основа на изискванията по член 448 от Регламент (ЕС) № 575/2013 и в съответствие с базелския стандарт за оповестяване по стълб 3. </w:t>
      </w:r>
    </w:p>
    <w:p w14:paraId="4EA230EE" w14:textId="77777777" w:rsidR="000D6C4D" w:rsidRPr="0031221C" w:rsidRDefault="000D6C4D" w:rsidP="000D6C4D">
      <w:pPr>
        <w:jc w:val="both"/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555"/>
        <w:gridCol w:w="7371"/>
      </w:tblGrid>
      <w:tr w:rsidR="00CD3692" w:rsidRPr="0031221C" w14:paraId="5A9E0A69" w14:textId="77777777" w:rsidTr="00F930E4">
        <w:trPr>
          <w:trHeight w:val="330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FC1AD4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Препратки към нормативни актове и указания</w:t>
            </w:r>
          </w:p>
        </w:tc>
      </w:tr>
      <w:tr w:rsidR="00CD3692" w:rsidRPr="0031221C" w14:paraId="254CB684" w14:textId="77777777" w:rsidTr="00F930E4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23E5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Ред №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1EE539" w14:textId="77777777" w:rsidR="00CD3692" w:rsidRPr="0031221C" w:rsidRDefault="00CD3692" w:rsidP="00F930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Обяснение</w:t>
            </w:r>
          </w:p>
        </w:tc>
      </w:tr>
      <w:tr w:rsidR="00FC2089" w:rsidRPr="0031221C" w14:paraId="5BBA757F" w14:textId="77777777" w:rsidTr="00C143B2">
        <w:trPr>
          <w:trHeight w:val="244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657E" w14:textId="73DDAA01" w:rsidR="00FC2089" w:rsidRPr="0031221C" w:rsidRDefault="00FC208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а)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7E25" w14:textId="66C09E90" w:rsidR="00FC2089" w:rsidRPr="0031221C" w:rsidRDefault="00465DF4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Описание на начина, по който институцията определя ЛРБП за целите на контрола и измерването на риска</w:t>
            </w:r>
          </w:p>
          <w:p w14:paraId="3FB34713" w14:textId="03A80E6F" w:rsidR="00FC2089" w:rsidRPr="0031221C" w:rsidRDefault="00133E44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1, буква д) от Регламент (ЕС) № 575/2013 институциите предоставят общо описание на начина, по който институциите определят, измерват, редуцират и контролират лихвения риск за дейностите в своите банкови портфейли за целите на прегледа от компетентните органи в съответствие с член 84 от Директива 2013/36/ЕС.</w:t>
            </w:r>
          </w:p>
        </w:tc>
      </w:tr>
      <w:tr w:rsidR="00465DF4" w:rsidRPr="0031221C" w14:paraId="68082CB2" w14:textId="77777777" w:rsidTr="00F930E4">
        <w:trPr>
          <w:trHeight w:val="30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95CC" w14:textId="1C705731" w:rsidR="00465DF4" w:rsidRPr="0031221C" w:rsidRDefault="00465DF4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б)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FF4A" w14:textId="20E6E488" w:rsidR="00465DF4" w:rsidRPr="0031221C" w:rsidRDefault="00EA2452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Описание на цялостните стратегии на институцията за управление и редуциране на ЛРБП</w:t>
            </w:r>
          </w:p>
          <w:p w14:paraId="204A9378" w14:textId="5470BAC2" w:rsidR="005F58E6" w:rsidRPr="0031221C" w:rsidRDefault="005F58E6" w:rsidP="007012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1, буква е) от Регламент (ЕС) № 575/2013 институциите предоставят общо описание на цялостните стратегии за управление и редуциране на ЛРБП, включително: наблюдението на икономическата стойност на капитала и нетните приходи от лихви във връзка с установените лимити, практиките на хеджиране, провеждането на стрес тестове, анализа на резултатите, ролята на независимия одит, ролята и практиките на комитета по управление на активите и пасивите, практиките на институцията за осигуряване на подходящо утвърждаване на модела и навременното актуализиране на моделите в отговор на променящите се пазарни условия.</w:t>
            </w:r>
          </w:p>
        </w:tc>
      </w:tr>
      <w:tr w:rsidR="00EA2452" w:rsidRPr="0031221C" w14:paraId="00B80900" w14:textId="77777777" w:rsidTr="00C41D59">
        <w:trPr>
          <w:trHeight w:val="84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63AB" w14:textId="4C8DCD01" w:rsidR="00EA2452" w:rsidRPr="0031221C" w:rsidRDefault="00EA2452" w:rsidP="00EA245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C5C7" w14:textId="77777777" w:rsidR="008F617B" w:rsidRPr="0031221C" w:rsidRDefault="008F617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074838C9" w14:textId="79671406" w:rsidR="00716636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Честота на изчисленията за измерване на ЛРБП от институцията и описание на специфичните измерители, които тя използва за оценка на чувствителността си към ЛРБП</w:t>
            </w:r>
          </w:p>
          <w:p w14:paraId="6FC20A2F" w14:textId="7F1E505C" w:rsidR="00EA2452" w:rsidRPr="0031221C" w:rsidRDefault="00716636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В съответствие с член 448, параграф 1, буква д), подточки i) и v) от Регламент (ЕС) № 575/2013 институциите предоставят общо описание на измерването на специфичния риск, което използват за оценка на промените </w:t>
            </w:r>
            <w:r>
              <w:rPr>
                <w:rFonts w:ascii="Times New Roman" w:hAnsi="Times New Roman"/>
                <w:color w:val="000000"/>
              </w:rPr>
              <w:lastRenderedPageBreak/>
              <w:t>в икономическата стойност на капитала си и в нетния си доход от лихви, и посочват честотата, с която се извършва оценката на лихвения риск.</w:t>
            </w:r>
          </w:p>
          <w:p w14:paraId="3C576B31" w14:textId="6E0F133A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2 от Регламент (ЕС) № 575/2013 описанието на измерването на специфичния риск, използвано за оценка на чувствителността към ЛРБП, не се изисква от институции, които прилагат стандартизираната методология или опростената стандартизирана методология, посочена в член 84, параграф 1 от Директива 2013/36/ЕС.</w:t>
            </w:r>
          </w:p>
        </w:tc>
      </w:tr>
      <w:tr w:rsidR="00716636" w:rsidRPr="0031221C" w14:paraId="3452DFD3" w14:textId="77777777" w:rsidTr="00C143B2">
        <w:trPr>
          <w:trHeight w:val="19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A998" w14:textId="3472E13E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г)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C818" w14:textId="713F89A4" w:rsidR="00716636" w:rsidRPr="0031221C" w:rsidRDefault="00716636" w:rsidP="007166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Описание на стрес сценариите за лихвените проценти, които институцията използва, за да оцени промените в икономическата стойност и в нетните приходи от лихви (ако е приложимо)</w:t>
            </w:r>
          </w:p>
          <w:p w14:paraId="24AB856B" w14:textId="5DBA799D" w:rsidR="00716636" w:rsidRPr="0031221C" w:rsidRDefault="00716636" w:rsidP="0022665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1, буква д), подточка iii) от Регламент (ЕС) № 575/2013 институциите предоставят общо описание на стрес сценариите за лихвените проценти, използвани за оценка на лихвения риск.</w:t>
            </w:r>
          </w:p>
          <w:p w14:paraId="05DE1832" w14:textId="3AF43FAB" w:rsidR="0013410F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2 от Регламент (ЕС) № 575/2013 тези изисквания за оповестяване не се прилагат за институциите, които използват стандартизираната методология или опростената стандартизирана методология, посочена в член 84, параграф 1 от Директива 2013/36/ЕС.</w:t>
            </w:r>
          </w:p>
        </w:tc>
      </w:tr>
      <w:tr w:rsidR="00716636" w:rsidRPr="0031221C" w14:paraId="7F74CA5A" w14:textId="77777777" w:rsidTr="00005B93">
        <w:trPr>
          <w:trHeight w:val="29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0618" w14:textId="7713D88E" w:rsidR="00716636" w:rsidRPr="0031221C" w:rsidRDefault="00716636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д)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C839" w14:textId="00FE41FE" w:rsidR="0094340A" w:rsidRPr="0031221C" w:rsidRDefault="0094340A" w:rsidP="00F930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Описание на основните допускания за моделирането и параметрите, различни от използваните за оповестяването съгласно образец EU IRRBB1 (ако е приложимо)</w:t>
            </w:r>
          </w:p>
          <w:p w14:paraId="15A00557" w14:textId="4EC63038" w:rsidR="00716636" w:rsidRPr="0031221C" w:rsidRDefault="0094340A" w:rsidP="009434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1, буква д), подточка ii) от Регламент (ЕС) № 575/2013, когато основните допускания за моделирането и параметрите, използвани във вътрешните системи за измерване, които институцията прилага, се различават от посочените в член 98, параграф 5а от Директива 2013/36/ЕС, използвани за оповестяването съгласно образец EU IRRBB1, институцията предоставя общо описание на тези допускания, включително обосновката за тези различия (напр. данни за минали периоди, публикувани проучвания, преценка и анализ на ръководството и др.).</w:t>
            </w:r>
          </w:p>
          <w:p w14:paraId="3FF39A57" w14:textId="5F109832" w:rsidR="003B1160" w:rsidRPr="0031221C" w:rsidRDefault="0013410F" w:rsidP="00721AD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2 от Регламент (ЕС) № 575/2013 тези изисквания за оповестяване не се прилагат за институциите, които използват стандартизираната методология или опростената стандартизирана методология, посочена в член 84, параграф 1 от Директива 2013/36/ЕС.</w:t>
            </w:r>
          </w:p>
        </w:tc>
      </w:tr>
      <w:tr w:rsidR="0094340A" w:rsidRPr="0031221C" w14:paraId="766E1A7E" w14:textId="77777777" w:rsidTr="00005B93">
        <w:trPr>
          <w:trHeight w:val="230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BE99" w14:textId="6073D3B2" w:rsidR="0094340A" w:rsidRPr="0031221C" w:rsidRDefault="0094340A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е)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639B" w14:textId="05CA8B66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Общо описание на начина, по който институцията хеджира своя ЛРБП, както и свързаното с него счетоводно третиране (ако е приложимо)</w:t>
            </w:r>
          </w:p>
          <w:p w14:paraId="70B99ACF" w14:textId="007FE981" w:rsidR="0094340A" w:rsidRPr="0031221C" w:rsidRDefault="001A6E70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По-специално, в съответствие с член 448, параграф 1, буква д), подточка iv) от Регламент (ЕС) № 575/2013 институциите идентифицират ефектите на хеджирането срещу лихвения риск, включително вътрешното хеджиране, което отговаря на изискванията по член 106, параграф 3 от Регламент (ЕС) № 575/2013.</w:t>
            </w:r>
          </w:p>
          <w:p w14:paraId="4C51BA8A" w14:textId="2771AF79" w:rsidR="0013410F" w:rsidRPr="0031221C" w:rsidRDefault="0013410F" w:rsidP="00721A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2 от Регламент (ЕС) № 575/2013 тези изисквания за оповестяване не се прилагат за институциите, които използват стандартизираната методология или опростената стандартизирана методология, посочена в член 84, параграф 1 от Директива 2013/36/ЕС.</w:t>
            </w:r>
          </w:p>
        </w:tc>
      </w:tr>
      <w:tr w:rsidR="00CD3692" w:rsidRPr="0031221C" w14:paraId="6344348E" w14:textId="77777777" w:rsidTr="0064412E">
        <w:trPr>
          <w:trHeight w:val="140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4B5" w14:textId="349E9B67" w:rsidR="00CD3692" w:rsidRPr="0031221C" w:rsidRDefault="00CF6849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ж)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390" w14:textId="6E2E0F9E" w:rsidR="00CD3692" w:rsidRPr="0031221C" w:rsidRDefault="00EA1CF8" w:rsidP="00B650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Описание на основните допускания за моделирането и параметрите, използвани за измерването на ЛРБП в образец EU IRRBB1 (ако е приложимо)</w:t>
            </w:r>
          </w:p>
          <w:p w14:paraId="083A4172" w14:textId="093A90CF" w:rsidR="00CD3692" w:rsidRPr="0031221C" w:rsidRDefault="00133E44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1, буква в) от Регламент (ЕС) № 575/2013 институциите предоставят общо описание на основните допускания за моделирането и параметрите, различни от посочените в член 98, параграф 5а, букви б) и в) от Директива 2013/36/ЕС, използвани за изчисляване на промените в икономическата стойност на капитала и в нетния доход от лихви в образец EU IRRBB1. Това общо описание трябва да включва най-малко следното:</w:t>
            </w:r>
          </w:p>
          <w:p w14:paraId="26388E97" w14:textId="6114187E" w:rsidR="00843F8C" w:rsidRPr="0031221C" w:rsidRDefault="0016128F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как е определен средният срок до нова рискова оценка за безсрочните депозити, включително всички уникални характеристики на продукта, които оказват влияние върху предполагаемата дата на новата оценка във връзка с поведенческия риск;</w:t>
            </w:r>
          </w:p>
          <w:p w14:paraId="01CB0AA3" w14:textId="2D904141" w:rsidR="00843F8C" w:rsidRPr="0031221C" w:rsidRDefault="00843F8C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методологията, използвана за оценка на процента на предсрочно погасяване на кредита и/или процента на предсрочно теглене за срочни депозити, както и други значими допускания;</w:t>
            </w:r>
          </w:p>
          <w:p w14:paraId="1BD4D78B" w14:textId="273602CC" w:rsidR="00AE69B7" w:rsidRPr="0031221C" w:rsidRDefault="00745B25" w:rsidP="00B650A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всякакви други допускания, включително за опционни инструменти, податливи на поведенчески риск, които оказват съществено въздействие върху измерването на ЛРБП, оповестено в образец EU IRRBB1, включително обяснение на това защо те са съществени.</w:t>
            </w:r>
          </w:p>
          <w:p w14:paraId="2195D942" w14:textId="77777777" w:rsidR="005E2B3A" w:rsidRPr="0031221C" w:rsidRDefault="005E2B3A" w:rsidP="00B650A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  <w:lang w:eastAsia="en-GB"/>
              </w:rPr>
            </w:pPr>
          </w:p>
          <w:p w14:paraId="5155CA71" w14:textId="23D5624A" w:rsidR="005E2B3A" w:rsidRPr="0031221C" w:rsidRDefault="005E2B3A" w:rsidP="00721ADE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2 от Регламент (ЕС) № 575/2013 тези изисквания за оповестяване не се прилагат за институциите, които използват стандартизираната методология или опростената стандартизирана методология, посочена в член 84, параграф 1 от Директива 2013/36/ЕС.</w:t>
            </w:r>
          </w:p>
        </w:tc>
      </w:tr>
      <w:tr w:rsidR="00CD3692" w:rsidRPr="0031221C" w14:paraId="124DC3B1" w14:textId="77777777" w:rsidTr="00F930E4">
        <w:trPr>
          <w:trHeight w:val="189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24D2" w14:textId="3A2AB43A" w:rsidR="00CD3692" w:rsidRPr="0031221C" w:rsidRDefault="00C143B2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з)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4F6D" w14:textId="6C923999" w:rsidR="003C310D" w:rsidRPr="0031221C" w:rsidRDefault="003C310D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Обяснение на значимостта на измерването на ЛРБП и на значителните промени в неговото измерване, настъпили след предишни оповестявания</w:t>
            </w:r>
          </w:p>
          <w:p w14:paraId="79D598A4" w14:textId="45AA4311" w:rsidR="00CD3692" w:rsidRPr="0031221C" w:rsidRDefault="00133E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1, буква г) от Регламент (ЕС) № 575/2013 институциите предоставят общо обяснение на значимостта на измерването на с ЛРБП, оповестено в образец EU IRRBB1, както и за всички значителни промени в това измерване на ЛРБП, настъпили след предходната референтна дата на оповестяване.</w:t>
            </w:r>
          </w:p>
        </w:tc>
      </w:tr>
      <w:tr w:rsidR="007573CB" w:rsidRPr="0031221C" w14:paraId="7AE95BD0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E7D5" w14:textId="3CB7C340" w:rsidR="007573CB" w:rsidRPr="0031221C" w:rsidRDefault="00912FEC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и)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BD64" w14:textId="782047AF" w:rsidR="007573CB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Всякаква друга относима информация относно измерването на ЛРБП, оповестено в образец EU IRRBB1 (незадължително)</w:t>
            </w:r>
          </w:p>
          <w:p w14:paraId="4A261DD1" w14:textId="6EDF41BA" w:rsidR="007F15BF" w:rsidRPr="0031221C" w:rsidRDefault="007573CB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Всякаква друга относима информация, която институциите желаят да оповестят по отношение на измерването на ЛРБП, включено в образец EU IRRBB1. </w:t>
            </w:r>
          </w:p>
          <w:p w14:paraId="10A0910D" w14:textId="43AEBA65" w:rsidR="007573CB" w:rsidRPr="0031221C" w:rsidRDefault="002B630E" w:rsidP="002B630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Докато не започнат да се прилагат критериите, съдържащи се в насоките по член 84, параграф 6 от Директива 2013/36/ЕС, и допълнителните елементи, изброени в член 98, параграф 5а от Директива 2013/36/ЕС, институциите оповестяват параметрите, използвани за надзорните стрес сценарии, определението за нетен доход от лихви, което използват, и всяка друга информация, която улеснява разбирането на това как промените в нетния доход от лихви са изчислени в образец EU IRRBB1. </w:t>
            </w:r>
          </w:p>
        </w:tc>
      </w:tr>
      <w:tr w:rsidR="004F5466" w:rsidRPr="0031221C" w14:paraId="3C02208B" w14:textId="77777777" w:rsidTr="004F5466">
        <w:trPr>
          <w:trHeight w:val="15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EA22" w14:textId="416D163F" w:rsidR="004F5466" w:rsidRPr="0031221C" w:rsidRDefault="00EA1CF8" w:rsidP="00F930E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(1), (2)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AF10" w14:textId="2D31C73F" w:rsidR="00065C44" w:rsidRPr="0031221C" w:rsidRDefault="00EA1CF8" w:rsidP="00B650A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Оповестяване на средния и най-дългия срок до нова рискова оценка, определен за безсрочните депозити</w:t>
            </w:r>
          </w:p>
          <w:p w14:paraId="48FA0E44" w14:textId="035E5E4B" w:rsidR="004F5466" w:rsidRPr="0031221C" w:rsidRDefault="00065C44" w:rsidP="00942E61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В съответствие с член 448, параграф 1, буква ж) от Регламент (ЕС) № 575/2013 институциите оповестяват средния и най-дългия срок до нова рискова оценка, определен за безсрочните депозити от контрагенти на дребно и нефинансови контрагенти на едро. Оповестяването се отнася поотделно за основната част и за пълния размер на безсрочните депозити от контрагенти на дребно и нефинансови контрагенти на едро.</w:t>
            </w:r>
          </w:p>
        </w:tc>
      </w:tr>
    </w:tbl>
    <w:p w14:paraId="7CCC608C" w14:textId="665437C9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7ECF7AE" w14:textId="68E6A9FF" w:rsidR="00CD3692" w:rsidRPr="0031221C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CCE4A80" w14:textId="7996A576" w:rsidR="00CD3692" w:rsidRDefault="00CD3692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3569941" w14:textId="4C420FFB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D6BE0F5" w14:textId="4EA1E980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487ACD1" w14:textId="53FD952F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250FBF3" w14:textId="37DE64E1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9D0F024" w14:textId="0F997E3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0E8B64AA" w14:textId="14A18415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1354E78F" w14:textId="3B4408D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3C13897A" w14:textId="548DECB4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63BE97FF" w14:textId="21D9ECFA" w:rsidR="000D6C4D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4064F668" w14:textId="77777777" w:rsidR="000D6C4D" w:rsidRPr="0031221C" w:rsidRDefault="000D6C4D" w:rsidP="0054744B">
      <w:pPr>
        <w:jc w:val="both"/>
        <w:rPr>
          <w:rFonts w:ascii="Times New Roman" w:hAnsi="Times New Roman"/>
          <w:b/>
          <w:bCs/>
          <w:sz w:val="24"/>
        </w:rPr>
      </w:pPr>
    </w:p>
    <w:p w14:paraId="287F28AF" w14:textId="08831685" w:rsidR="0054744B" w:rsidRPr="0031221C" w:rsidRDefault="00906CCA" w:rsidP="0054744B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Указания за оповестяване за образец EU IRRBB1 </w:t>
      </w:r>
    </w:p>
    <w:p w14:paraId="31489412" w14:textId="77777777" w:rsidR="0054744B" w:rsidRPr="0031221C" w:rsidRDefault="0054744B" w:rsidP="0054744B">
      <w:pPr>
        <w:ind w:left="360"/>
        <w:jc w:val="both"/>
        <w:rPr>
          <w:rFonts w:ascii="Times New Roman" w:hAnsi="Times New Roman"/>
          <w:bCs/>
          <w:sz w:val="24"/>
        </w:rPr>
      </w:pPr>
    </w:p>
    <w:p w14:paraId="341C6BAB" w14:textId="32CD6F45" w:rsidR="00580D58" w:rsidRPr="0031221C" w:rsidRDefault="00580D58" w:rsidP="000D6C4D">
      <w:pPr>
        <w:ind w:left="360"/>
        <w:jc w:val="both"/>
        <w:rPr>
          <w:bCs/>
        </w:rPr>
      </w:pPr>
    </w:p>
    <w:p w14:paraId="59C5AC78" w14:textId="3F3BF0EE" w:rsidR="00AC7CEB" w:rsidRPr="0031221C" w:rsidRDefault="00580D58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</w:rPr>
        <w:t>Институциите оценяват лихвения риск при дейностите в банковия портфейл въз основа на своята вътрешна методология за измерване, стандартизираната методология или опростената стандартизирана методология, когато е приложимо, както е определено в член 84 от Директива 2013/36/ЕС, като отчитат надзорните стрес сценарии и общите допускания за моделирането и параметрите, определени в член 98, параграф 5а от Директива 2013/36/ЕС.</w:t>
      </w:r>
    </w:p>
    <w:p w14:paraId="18595772" w14:textId="50D032F2" w:rsidR="00580D58" w:rsidRPr="0031221C" w:rsidRDefault="00580D58" w:rsidP="000D6C4D">
      <w:pPr>
        <w:ind w:left="360"/>
        <w:jc w:val="both"/>
        <w:rPr>
          <w:rFonts w:ascii="Times New Roman" w:hAnsi="Times New Roman"/>
          <w:bCs/>
          <w:sz w:val="24"/>
        </w:rPr>
      </w:pPr>
    </w:p>
    <w:p w14:paraId="5E3F5B28" w14:textId="0B4D03FC" w:rsidR="00AC7CEB" w:rsidRPr="0031221C" w:rsidRDefault="00AC7CEB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Настоящите указания са разработени въз основа на изискванията по член 448 от Регламент (ЕС) № 575/2013 и в съответствие с базелския стандарт за оповестяване по стълб 3. </w:t>
      </w:r>
    </w:p>
    <w:p w14:paraId="71B54BD0" w14:textId="77777777" w:rsidR="00227FDC" w:rsidRPr="0031221C" w:rsidRDefault="00227FDC" w:rsidP="00A81E4E">
      <w:pPr>
        <w:jc w:val="both"/>
        <w:rPr>
          <w:rFonts w:ascii="Times New Roman" w:hAnsi="Times New Roman"/>
          <w:bCs/>
          <w:sz w:val="24"/>
        </w:rPr>
      </w:pPr>
    </w:p>
    <w:p w14:paraId="532A60CC" w14:textId="38E17551" w:rsidR="0054744B" w:rsidRPr="0031221C" w:rsidRDefault="005B5611" w:rsidP="0064406C">
      <w:pPr>
        <w:numPr>
          <w:ilvl w:val="0"/>
          <w:numId w:val="9"/>
        </w:num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Когато оповестяват информацията за първи път, институциите не са задължени да предоставят информацията за предходния период.</w:t>
      </w:r>
    </w:p>
    <w:p w14:paraId="4329A1AB" w14:textId="77777777" w:rsidR="00CE0D17" w:rsidRPr="0031221C" w:rsidRDefault="00CE0D17" w:rsidP="00CE0D17">
      <w:pPr>
        <w:pStyle w:val="ListParagraph"/>
        <w:rPr>
          <w:rFonts w:ascii="Times New Roman" w:hAnsi="Times New Roman"/>
          <w:bCs/>
          <w:sz w:val="24"/>
        </w:rPr>
      </w:pPr>
    </w:p>
    <w:p w14:paraId="6EDD9A3D" w14:textId="77777777" w:rsidR="0060489A" w:rsidRPr="0031221C" w:rsidRDefault="0060489A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768"/>
      </w:tblGrid>
      <w:tr w:rsidR="0054744B" w:rsidRPr="0031221C" w14:paraId="4761A8A4" w14:textId="77777777" w:rsidTr="0095024C">
        <w:trPr>
          <w:trHeight w:val="3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73110B" w14:textId="04B554CD" w:rsidR="0054744B" w:rsidRPr="0031221C" w:rsidRDefault="0054744B" w:rsidP="0054744B">
            <w:pPr>
              <w:pStyle w:val="TableTitle"/>
              <w:jc w:val="left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</w:rPr>
              <w:t>Указания за попълването на образец за оповестяване EU IRRBB1</w:t>
            </w:r>
          </w:p>
        </w:tc>
      </w:tr>
      <w:tr w:rsidR="0054744B" w:rsidRPr="0031221C" w14:paraId="4DCD406D" w14:textId="77777777" w:rsidTr="007C351F">
        <w:trPr>
          <w:trHeight w:val="238"/>
        </w:trPr>
        <w:tc>
          <w:tcPr>
            <w:tcW w:w="1271" w:type="dxa"/>
            <w:tcBorders>
              <w:bottom w:val="nil"/>
            </w:tcBorders>
            <w:shd w:val="clear" w:color="auto" w:fill="D9D9D9" w:themeFill="background1" w:themeFillShade="D9"/>
          </w:tcPr>
          <w:p w14:paraId="088F66A9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Колона</w:t>
            </w:r>
          </w:p>
        </w:tc>
        <w:tc>
          <w:tcPr>
            <w:tcW w:w="7768" w:type="dxa"/>
            <w:tcBorders>
              <w:bottom w:val="nil"/>
            </w:tcBorders>
            <w:shd w:val="clear" w:color="auto" w:fill="D9D9D9" w:themeFill="background1" w:themeFillShade="D9"/>
          </w:tcPr>
          <w:p w14:paraId="00621506" w14:textId="77777777" w:rsidR="0054744B" w:rsidRPr="0031221C" w:rsidRDefault="0054744B" w:rsidP="006048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</w:rPr>
              <w:t>Обяснение</w:t>
            </w:r>
          </w:p>
        </w:tc>
      </w:tr>
      <w:tr w:rsidR="0054744B" w:rsidRPr="0031221C" w14:paraId="53AAFC46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562D66BF" w14:textId="1E0A8346" w:rsidR="0054744B" w:rsidRPr="0031221C" w:rsidRDefault="00316B9A" w:rsidP="00F55DB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а, б</w:t>
            </w:r>
          </w:p>
        </w:tc>
        <w:tc>
          <w:tcPr>
            <w:tcW w:w="7768" w:type="dxa"/>
            <w:shd w:val="clear" w:color="auto" w:fill="FFFFFF" w:themeFill="background1"/>
          </w:tcPr>
          <w:p w14:paraId="26CB8AC0" w14:textId="3A3B49B8" w:rsidR="00793890" w:rsidRPr="0031221C" w:rsidRDefault="004E6BD5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Промени в икономическата стойност на капитала</w:t>
            </w:r>
          </w:p>
          <w:p w14:paraId="7E84F9AE" w14:textId="3C5E67A3" w:rsidR="002F2E04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Член 448, параграф 1, буква а) от Регламент (ЕС) № 575/2013. </w:t>
            </w:r>
          </w:p>
          <w:p w14:paraId="4C9FBFE2" w14:textId="0CBAAF6F" w:rsidR="009C2377" w:rsidRPr="0031221C" w:rsidRDefault="009C3247" w:rsidP="009C3247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Институциите докладват промените в икономическата стойност на капитала при всеки надзорен стрес сценарий за лихвения процент за текущия и предходния период в съответствие с изискванията по член 84 и член 98, параграф 5 от Директива 2013/36/ЕС.</w:t>
            </w:r>
          </w:p>
          <w:p w14:paraId="6996A7A9" w14:textId="72F54AA8" w:rsidR="009D7A7D" w:rsidRPr="0031221C" w:rsidRDefault="009D7A7D" w:rsidP="009D7A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744B" w:rsidRPr="0031221C" w14:paraId="6583A42B" w14:textId="77777777" w:rsidTr="007C351F">
        <w:trPr>
          <w:trHeight w:val="238"/>
        </w:trPr>
        <w:tc>
          <w:tcPr>
            <w:tcW w:w="1271" w:type="dxa"/>
            <w:shd w:val="clear" w:color="auto" w:fill="FFFFFF" w:themeFill="background1"/>
          </w:tcPr>
          <w:p w14:paraId="619CE943" w14:textId="5F0011ED" w:rsidR="0054744B" w:rsidRPr="0031221C" w:rsidRDefault="00316B9A" w:rsidP="0060489A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>в, г</w:t>
            </w:r>
          </w:p>
        </w:tc>
        <w:tc>
          <w:tcPr>
            <w:tcW w:w="7768" w:type="dxa"/>
            <w:shd w:val="clear" w:color="auto" w:fill="FFFFFF" w:themeFill="background1"/>
          </w:tcPr>
          <w:p w14:paraId="5BAD9564" w14:textId="213A9B28" w:rsidR="00305C67" w:rsidRPr="0031221C" w:rsidRDefault="00316B9A" w:rsidP="00305C6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Промени в нетния доход от лихви</w:t>
            </w:r>
          </w:p>
          <w:p w14:paraId="0ED8B6C6" w14:textId="70E8F948" w:rsidR="002F2E04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Член 448, параграф 1, буква б) от Регламент (ЕС) № 575/2013. </w:t>
            </w:r>
          </w:p>
          <w:p w14:paraId="629DC825" w14:textId="34B035B2" w:rsidR="008E005A" w:rsidRPr="0031221C" w:rsidRDefault="00CE0D17" w:rsidP="00B81100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Институциите докладват промените в нетния доход от лихви при двата надзорни стрес сценария за лихвения процент, предвидени в образеца за текущия и предходния период, в съответствие с изискванията по член 84 и член 98, параграф 5 от Директива 2013/36/ЕС. </w:t>
            </w:r>
          </w:p>
          <w:p w14:paraId="2D49064E" w14:textId="1AFABC17" w:rsidR="00C41D59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Докато не започнат да се прилагат критериите, съдържащи се в насоките по член 84, параграф 6 от Директива 2013/36/ЕС, и допълнителните елементи, изброени в член 98, параграф 5а от Директива 2013/36/ЕС, институциите описват определението и основните характеристики (сценарии, допускания и хоризонти) на нетния доход от лихви, които използват в таблица EU IRRBBA, подточка i), или, ако оставят тези колони празни, обясняват причините за това в подточка i) от таблица EU IRRBBA. </w:t>
            </w:r>
          </w:p>
        </w:tc>
      </w:tr>
      <w:tr w:rsidR="00227FDC" w:rsidRPr="0031221C" w14:paraId="55BAD1A1" w14:textId="77777777" w:rsidTr="00A81E4E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CBAA6" w14:textId="77777777" w:rsidR="00227FDC" w:rsidRPr="0031221C" w:rsidRDefault="00227FDC" w:rsidP="00A81E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 xml:space="preserve">Ред 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12B66" w14:textId="77777777" w:rsidR="00227FDC" w:rsidRPr="0031221C" w:rsidRDefault="00227FDC" w:rsidP="00A81E4E">
            <w:pPr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Обяснение</w:t>
            </w:r>
          </w:p>
        </w:tc>
      </w:tr>
      <w:tr w:rsidR="00227FDC" w:rsidRPr="0031221C" w14:paraId="58E34903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8E4B4" w14:textId="7F6176AD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AB7B7" w14:textId="385B87B7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Паралелен шок на повишение</w:t>
            </w:r>
          </w:p>
          <w:p w14:paraId="460792B5" w14:textId="200E6EE9" w:rsidR="0080384B" w:rsidRPr="0031221C" w:rsidRDefault="00615DB8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Институциите оповестяват промените в икономическата стойност на капитала и промените в нетния доход от лихви при постоянен паралелен шок по кривата на доходността във възходяща посока. </w:t>
            </w:r>
          </w:p>
          <w:p w14:paraId="2AA6B7BB" w14:textId="14575B1E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Докато не започнат да се прилагат критериите, съдържащи се в насоките по член 84, параграф 6 от Директива 2013/36/ЕС, и допълнителните елементи, изброени в член 98, параграф 5а от Директива 2013/36/ЕС, параметрите, използвани за този сценарий, се описват в подточка i) от таблица EU IRRBBA.</w:t>
            </w:r>
          </w:p>
        </w:tc>
      </w:tr>
      <w:tr w:rsidR="00227FDC" w:rsidRPr="0031221C" w14:paraId="544FB1F8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4EE41" w14:textId="424C34BA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4F83F" w14:textId="3625939B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Паралелен шок на понижение</w:t>
            </w:r>
          </w:p>
          <w:p w14:paraId="1C16CAC1" w14:textId="764F4FC2" w:rsidR="0080384B" w:rsidRPr="0031221C" w:rsidRDefault="0084271D" w:rsidP="00B9107D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Институциите оповестяват промените в икономическата стойност на капитала и промените в нетния доход от лихви при постоянен паралелен шок по кривата на доходността в низходяща посока. </w:t>
            </w:r>
          </w:p>
          <w:p w14:paraId="3D14716A" w14:textId="5D1C74C8" w:rsidR="0084271D" w:rsidRPr="0031221C" w:rsidRDefault="00C24484" w:rsidP="00C24484">
            <w:pPr>
              <w:spacing w:before="60" w:after="12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Докато не започнат да се прилагат критериите, съдържащи се в насоките по член 84, параграф 6 от Директива 2013/36/ЕС, и допълнителните елементи, изброени в член 98, параграф 5а от Директива 2013/36/ЕС, параметрите, използвани за този сценарий, се описват в подточка i) от таблица EU IRRBBA. </w:t>
            </w:r>
          </w:p>
        </w:tc>
      </w:tr>
      <w:tr w:rsidR="00227FDC" w:rsidRPr="0031221C" w14:paraId="39F33934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555B" w14:textId="0BCBC17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64ADF" w14:textId="1E50F67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Стръмен шок</w:t>
            </w:r>
          </w:p>
          <w:p w14:paraId="1FAE89D5" w14:textId="27B90C73" w:rsidR="0080384B" w:rsidRPr="0031221C" w:rsidRDefault="003F5907" w:rsidP="00B9107D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Институциите оповестяват промените в икономическата стойност на капитала при сценарий на понижаване на краткосрочните лихвени проценти и повишаване на дългосрочните лихвени проценти по кривата на доходността. </w:t>
            </w:r>
          </w:p>
          <w:p w14:paraId="2B14043C" w14:textId="013A1877" w:rsidR="0084271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 Докато не започнат да се прилагат критериите, съдържащи се в насоките по член 84, параграф 6 от Директива 2013/36/ЕС, и допълнителните елементи, изброени в член 98, параграф 5а от Директива 2013/36/ЕС, параметрите, използвани за този сценарий, се описват в подточка i) от таблица EU IRRBBA. </w:t>
            </w:r>
          </w:p>
        </w:tc>
      </w:tr>
      <w:tr w:rsidR="00227FDC" w:rsidRPr="0031221C" w14:paraId="6BC8352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DB3" w14:textId="300BBE37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585C1" w14:textId="65969A28" w:rsidR="00227FDC" w:rsidRPr="0031221C" w:rsidRDefault="003E3A89" w:rsidP="00227FDC">
            <w:pPr>
              <w:spacing w:before="60" w:after="120"/>
              <w:jc w:val="both"/>
              <w:rPr>
                <w:rStyle w:val="InstructionsTabelleberschrift"/>
                <w:rFonts w:ascii="Times New Roman" w:eastAsia="Times New Roman" w:hAnsi="Times New Roman"/>
                <w:bCs w:val="0"/>
                <w:sz w:val="22"/>
                <w:szCs w:val="22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2"/>
                <w:u w:val="none"/>
              </w:rPr>
              <w:t>Плосък шок</w:t>
            </w:r>
          </w:p>
          <w:p w14:paraId="3D4F63A7" w14:textId="2CC94F2B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Институциите оповестяват промените в икономическата стойност на капитала при сценарий на повишаване на краткосрочните лихвени проценти и понижаване на дългосрочните лихвени проценти по кривата на доходността. </w:t>
            </w:r>
          </w:p>
          <w:p w14:paraId="68AA63EC" w14:textId="159AECB7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Докато не започнат да се прилагат критериите, съдържащи се в насоките по член 84, параграф 6 от Директива 2013/36/ЕС, и допълнителните елементи, изброени в член 98, параграф 5а от Директива 2013/36/ЕС, параметрите, използвани за този сценарий, се описват в подточка i) от таблица EU IRRBBA. </w:t>
            </w:r>
          </w:p>
        </w:tc>
      </w:tr>
      <w:tr w:rsidR="00227FDC" w:rsidRPr="0031221C" w14:paraId="5A47760B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C9AB1" w14:textId="59E27251" w:rsidR="00227FDC" w:rsidRPr="0031221C" w:rsidRDefault="00F55DB0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7840B" w14:textId="0C1AAD14" w:rsidR="00227FDC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Шок на повишение на краткосрочните лихвени проценти</w:t>
            </w:r>
          </w:p>
          <w:p w14:paraId="68A86533" w14:textId="7377DB6E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Институциите оповестяват промените в икономическата стойност на капитала при сценарий на повишаване на краткосрочните лихвени проценти по кривата на доходността. </w:t>
            </w:r>
          </w:p>
          <w:p w14:paraId="6A69073C" w14:textId="59D58E63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</w:rPr>
              <w:t xml:space="preserve">Докато не започнат да се прилагат критериите, съдържащи се в насоките по член 84, параграф 6 от Директива 2013/36/ЕС, и допълнителните елементи, изброени в член 98, параграф 5а от Директива 2013/36/ЕС, параметрите, използвани за този сценарий, се описват в подточка i) от таблица EU IRRBBA. </w:t>
            </w:r>
          </w:p>
        </w:tc>
      </w:tr>
      <w:tr w:rsidR="00CE0D17" w:rsidRPr="0031221C" w14:paraId="54BF60AA" w14:textId="77777777" w:rsidTr="00227FDC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A67F" w14:textId="4CEC3E89" w:rsidR="00CE0D17" w:rsidRPr="0031221C" w:rsidRDefault="00CE0D17" w:rsidP="00227FDC">
            <w:pPr>
              <w:autoSpaceDE w:val="0"/>
              <w:autoSpaceDN w:val="0"/>
              <w:adjustRightInd w:val="0"/>
              <w:spacing w:before="60" w:after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8A263" w14:textId="77777777" w:rsidR="00CE0D17" w:rsidRPr="0031221C" w:rsidRDefault="003E3A89" w:rsidP="0060489A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Шок на понижение на краткосрочните лихвени проценти</w:t>
            </w:r>
          </w:p>
          <w:p w14:paraId="52648BA1" w14:textId="70C444CA" w:rsidR="0080384B" w:rsidRPr="0031221C" w:rsidRDefault="003F5907" w:rsidP="003F5907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 xml:space="preserve">Институциите оповестяват промените в икономическата стойност на капитала при сценарий на понижаване на краткосрочните лихвени проценти по кривата на доходността. </w:t>
            </w:r>
          </w:p>
          <w:p w14:paraId="45792CFB" w14:textId="3D985205" w:rsidR="003C7BCD" w:rsidRPr="0031221C" w:rsidRDefault="00C24484" w:rsidP="00C2448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</w:rPr>
              <w:t xml:space="preserve">Докато не започнат да се прилагат критериите, съдържащи се в насоките по член 84, параграф 6 от Директива 2013/36/ЕС, и допълнителните елементи, изброени в член 98, параграф 5а от Директива 2013/36/ЕС, параметрите, използвани за този сценарий, се описват в подточка i) от таблица EU IRRBBA. </w:t>
            </w:r>
          </w:p>
        </w:tc>
      </w:tr>
    </w:tbl>
    <w:p w14:paraId="3452EC82" w14:textId="7F3D1507" w:rsidR="00FE2CB5" w:rsidRPr="0031221C" w:rsidRDefault="00FE2CB5" w:rsidP="00FE2CB5">
      <w:pPr>
        <w:jc w:val="both"/>
        <w:rPr>
          <w:rFonts w:ascii="Calibri" w:eastAsia="Times New Roman" w:hAnsi="Calibri" w:cs="Times New Roman"/>
          <w:color w:val="000000"/>
          <w:szCs w:val="22"/>
          <w:lang w:eastAsia="en-GB"/>
        </w:rPr>
      </w:pPr>
    </w:p>
    <w:p w14:paraId="7DD927F3" w14:textId="7DB8FF08" w:rsidR="00FE2CB5" w:rsidRPr="00482070" w:rsidRDefault="005B5611" w:rsidP="00A81E4E">
      <w:r>
        <w:t>“</w:t>
      </w:r>
    </w:p>
    <w:sectPr w:rsidR="00FE2CB5" w:rsidRPr="00482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82AC" w14:textId="77777777" w:rsidR="00B86ED4" w:rsidRDefault="00B86ED4" w:rsidP="003B5C57">
      <w:r>
        <w:separator/>
      </w:r>
    </w:p>
  </w:endnote>
  <w:endnote w:type="continuationSeparator" w:id="0">
    <w:p w14:paraId="76F692C0" w14:textId="77777777" w:rsidR="00B86ED4" w:rsidRDefault="00B86ED4" w:rsidP="003B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C445" w14:textId="77777777" w:rsidR="004B327C" w:rsidRDefault="004B3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5D18" w14:textId="77777777" w:rsidR="004B327C" w:rsidRDefault="004B32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B9CC" w14:textId="77777777" w:rsidR="004B327C" w:rsidRDefault="004B3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AD1B" w14:textId="77777777" w:rsidR="00B86ED4" w:rsidRDefault="00B86ED4" w:rsidP="003B5C57">
      <w:r>
        <w:separator/>
      </w:r>
    </w:p>
  </w:footnote>
  <w:footnote w:type="continuationSeparator" w:id="0">
    <w:p w14:paraId="14714B02" w14:textId="77777777" w:rsidR="00B86ED4" w:rsidRDefault="00B86ED4" w:rsidP="003B5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0BA4" w14:textId="77777777" w:rsidR="004B327C" w:rsidRDefault="004B32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3384" w14:textId="77777777" w:rsidR="004B327C" w:rsidRDefault="004B32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24C" w14:textId="77777777" w:rsidR="004B327C" w:rsidRDefault="004B32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820"/>
    <w:multiLevelType w:val="hybridMultilevel"/>
    <w:tmpl w:val="9008071A"/>
    <w:lvl w:ilvl="0" w:tplc="328800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667BC"/>
    <w:multiLevelType w:val="hybridMultilevel"/>
    <w:tmpl w:val="A320B384"/>
    <w:lvl w:ilvl="0" w:tplc="08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" w15:restartNumberingAfterBreak="0">
    <w:nsid w:val="2466072A"/>
    <w:multiLevelType w:val="multilevel"/>
    <w:tmpl w:val="3566011E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7845AC"/>
    <w:multiLevelType w:val="hybridMultilevel"/>
    <w:tmpl w:val="2FBA6A0E"/>
    <w:lvl w:ilvl="0" w:tplc="58DC475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CD6352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0BC6196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D1428"/>
    <w:multiLevelType w:val="hybridMultilevel"/>
    <w:tmpl w:val="3566011E"/>
    <w:lvl w:ilvl="0" w:tplc="A9A82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67C0"/>
    <w:multiLevelType w:val="hybridMultilevel"/>
    <w:tmpl w:val="89E0F2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num w:numId="1" w16cid:durableId="2093970164">
    <w:abstractNumId w:val="8"/>
  </w:num>
  <w:num w:numId="2" w16cid:durableId="1209299729">
    <w:abstractNumId w:val="3"/>
  </w:num>
  <w:num w:numId="3" w16cid:durableId="1767531178">
    <w:abstractNumId w:val="1"/>
  </w:num>
  <w:num w:numId="4" w16cid:durableId="1116482174">
    <w:abstractNumId w:val="0"/>
  </w:num>
  <w:num w:numId="5" w16cid:durableId="358551782">
    <w:abstractNumId w:val="6"/>
  </w:num>
  <w:num w:numId="6" w16cid:durableId="1469349404">
    <w:abstractNumId w:val="2"/>
  </w:num>
  <w:num w:numId="7" w16cid:durableId="910509408">
    <w:abstractNumId w:val="7"/>
  </w:num>
  <w:num w:numId="8" w16cid:durableId="869991400">
    <w:abstractNumId w:val="4"/>
  </w:num>
  <w:num w:numId="9" w16cid:durableId="20289425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4744B"/>
    <w:rsid w:val="00005B93"/>
    <w:rsid w:val="00013240"/>
    <w:rsid w:val="00025422"/>
    <w:rsid w:val="000469EE"/>
    <w:rsid w:val="00047E00"/>
    <w:rsid w:val="00053035"/>
    <w:rsid w:val="00060307"/>
    <w:rsid w:val="0006327F"/>
    <w:rsid w:val="00063CE6"/>
    <w:rsid w:val="00065C44"/>
    <w:rsid w:val="00067516"/>
    <w:rsid w:val="000A10FC"/>
    <w:rsid w:val="000A53EF"/>
    <w:rsid w:val="000B212C"/>
    <w:rsid w:val="000B28B3"/>
    <w:rsid w:val="000D6C4D"/>
    <w:rsid w:val="000F5EAA"/>
    <w:rsid w:val="000F6E3B"/>
    <w:rsid w:val="000F720A"/>
    <w:rsid w:val="0010640D"/>
    <w:rsid w:val="00110370"/>
    <w:rsid w:val="00111970"/>
    <w:rsid w:val="001163B7"/>
    <w:rsid w:val="00125B00"/>
    <w:rsid w:val="00133E44"/>
    <w:rsid w:val="0013410F"/>
    <w:rsid w:val="00146A3F"/>
    <w:rsid w:val="00146DB4"/>
    <w:rsid w:val="0016128F"/>
    <w:rsid w:val="00166CAA"/>
    <w:rsid w:val="00166FFE"/>
    <w:rsid w:val="00167A62"/>
    <w:rsid w:val="0017255F"/>
    <w:rsid w:val="00177088"/>
    <w:rsid w:val="001810BE"/>
    <w:rsid w:val="00186FD4"/>
    <w:rsid w:val="00187547"/>
    <w:rsid w:val="0019262D"/>
    <w:rsid w:val="001A538C"/>
    <w:rsid w:val="001A6E70"/>
    <w:rsid w:val="001A7DE4"/>
    <w:rsid w:val="001D0BA8"/>
    <w:rsid w:val="001D3283"/>
    <w:rsid w:val="001E248D"/>
    <w:rsid w:val="001E68FA"/>
    <w:rsid w:val="001F11D4"/>
    <w:rsid w:val="001F2FE9"/>
    <w:rsid w:val="002017F8"/>
    <w:rsid w:val="00226654"/>
    <w:rsid w:val="00227A69"/>
    <w:rsid w:val="00227FDC"/>
    <w:rsid w:val="0024072B"/>
    <w:rsid w:val="002711B6"/>
    <w:rsid w:val="00271375"/>
    <w:rsid w:val="00292CEC"/>
    <w:rsid w:val="002931F0"/>
    <w:rsid w:val="002B52BC"/>
    <w:rsid w:val="002B630E"/>
    <w:rsid w:val="002B6C39"/>
    <w:rsid w:val="002D655D"/>
    <w:rsid w:val="002E597B"/>
    <w:rsid w:val="002E7E2E"/>
    <w:rsid w:val="002F10D0"/>
    <w:rsid w:val="002F2E04"/>
    <w:rsid w:val="002F726C"/>
    <w:rsid w:val="00305C67"/>
    <w:rsid w:val="0031221C"/>
    <w:rsid w:val="00316B9A"/>
    <w:rsid w:val="003364BD"/>
    <w:rsid w:val="00367A62"/>
    <w:rsid w:val="0037080E"/>
    <w:rsid w:val="00371201"/>
    <w:rsid w:val="00371886"/>
    <w:rsid w:val="0038371B"/>
    <w:rsid w:val="003942C9"/>
    <w:rsid w:val="003A2001"/>
    <w:rsid w:val="003A5365"/>
    <w:rsid w:val="003B1160"/>
    <w:rsid w:val="003B4F8B"/>
    <w:rsid w:val="003B5C57"/>
    <w:rsid w:val="003C03B3"/>
    <w:rsid w:val="003C310D"/>
    <w:rsid w:val="003C78DE"/>
    <w:rsid w:val="003C7BCD"/>
    <w:rsid w:val="003D086C"/>
    <w:rsid w:val="003E1403"/>
    <w:rsid w:val="003E3A89"/>
    <w:rsid w:val="003F5907"/>
    <w:rsid w:val="004018B3"/>
    <w:rsid w:val="00416C73"/>
    <w:rsid w:val="0042024E"/>
    <w:rsid w:val="00426CEC"/>
    <w:rsid w:val="0043059C"/>
    <w:rsid w:val="0045248D"/>
    <w:rsid w:val="00453AC4"/>
    <w:rsid w:val="00465DF4"/>
    <w:rsid w:val="00470043"/>
    <w:rsid w:val="00482070"/>
    <w:rsid w:val="004858AF"/>
    <w:rsid w:val="00487F1C"/>
    <w:rsid w:val="0049568B"/>
    <w:rsid w:val="004979A6"/>
    <w:rsid w:val="004A12CC"/>
    <w:rsid w:val="004B0B2A"/>
    <w:rsid w:val="004B327C"/>
    <w:rsid w:val="004D27DD"/>
    <w:rsid w:val="004E2266"/>
    <w:rsid w:val="004E6BD5"/>
    <w:rsid w:val="004F5466"/>
    <w:rsid w:val="00503DC1"/>
    <w:rsid w:val="00504410"/>
    <w:rsid w:val="00512477"/>
    <w:rsid w:val="00520421"/>
    <w:rsid w:val="00523FE8"/>
    <w:rsid w:val="005470E3"/>
    <w:rsid w:val="0054744B"/>
    <w:rsid w:val="00550EA4"/>
    <w:rsid w:val="00565F5A"/>
    <w:rsid w:val="00573FD3"/>
    <w:rsid w:val="00580D58"/>
    <w:rsid w:val="00586B82"/>
    <w:rsid w:val="00593C4B"/>
    <w:rsid w:val="00595903"/>
    <w:rsid w:val="005A5573"/>
    <w:rsid w:val="005B367A"/>
    <w:rsid w:val="005B5611"/>
    <w:rsid w:val="005D48C1"/>
    <w:rsid w:val="005E2B3A"/>
    <w:rsid w:val="005F4729"/>
    <w:rsid w:val="005F58E6"/>
    <w:rsid w:val="006001A4"/>
    <w:rsid w:val="00604339"/>
    <w:rsid w:val="0060489A"/>
    <w:rsid w:val="00607494"/>
    <w:rsid w:val="00615DB8"/>
    <w:rsid w:val="00616CF0"/>
    <w:rsid w:val="0064406C"/>
    <w:rsid w:val="0064412E"/>
    <w:rsid w:val="006473E8"/>
    <w:rsid w:val="00653207"/>
    <w:rsid w:val="00681608"/>
    <w:rsid w:val="00697A36"/>
    <w:rsid w:val="006A78BA"/>
    <w:rsid w:val="006B3947"/>
    <w:rsid w:val="006C2CA1"/>
    <w:rsid w:val="006C6FD2"/>
    <w:rsid w:val="006D4BE6"/>
    <w:rsid w:val="006D6B49"/>
    <w:rsid w:val="006D6C52"/>
    <w:rsid w:val="006F391A"/>
    <w:rsid w:val="006F69ED"/>
    <w:rsid w:val="007012E2"/>
    <w:rsid w:val="00711138"/>
    <w:rsid w:val="00716636"/>
    <w:rsid w:val="00721ADE"/>
    <w:rsid w:val="007269B1"/>
    <w:rsid w:val="00745B25"/>
    <w:rsid w:val="007573CB"/>
    <w:rsid w:val="00763C4D"/>
    <w:rsid w:val="00765030"/>
    <w:rsid w:val="007700DF"/>
    <w:rsid w:val="00775FD9"/>
    <w:rsid w:val="0078309E"/>
    <w:rsid w:val="00793890"/>
    <w:rsid w:val="007A1366"/>
    <w:rsid w:val="007A4AA0"/>
    <w:rsid w:val="007A7AFA"/>
    <w:rsid w:val="007B3033"/>
    <w:rsid w:val="007C351F"/>
    <w:rsid w:val="007D1AE4"/>
    <w:rsid w:val="007F15BF"/>
    <w:rsid w:val="007F71C4"/>
    <w:rsid w:val="0080384B"/>
    <w:rsid w:val="00804CDC"/>
    <w:rsid w:val="008220B0"/>
    <w:rsid w:val="00834F07"/>
    <w:rsid w:val="00835D8A"/>
    <w:rsid w:val="0084271D"/>
    <w:rsid w:val="00842C3A"/>
    <w:rsid w:val="00843F8C"/>
    <w:rsid w:val="00844CC6"/>
    <w:rsid w:val="00862897"/>
    <w:rsid w:val="0086459A"/>
    <w:rsid w:val="0087249C"/>
    <w:rsid w:val="008766A5"/>
    <w:rsid w:val="00885EBE"/>
    <w:rsid w:val="0088622B"/>
    <w:rsid w:val="00886EB3"/>
    <w:rsid w:val="008A053C"/>
    <w:rsid w:val="008A5827"/>
    <w:rsid w:val="008B589A"/>
    <w:rsid w:val="008E005A"/>
    <w:rsid w:val="008F617B"/>
    <w:rsid w:val="00904C4D"/>
    <w:rsid w:val="00906CCA"/>
    <w:rsid w:val="00912FEC"/>
    <w:rsid w:val="009222ED"/>
    <w:rsid w:val="00925221"/>
    <w:rsid w:val="00926D41"/>
    <w:rsid w:val="00942E61"/>
    <w:rsid w:val="0094340A"/>
    <w:rsid w:val="0094354B"/>
    <w:rsid w:val="00947B6C"/>
    <w:rsid w:val="00947DC6"/>
    <w:rsid w:val="0095024C"/>
    <w:rsid w:val="00952741"/>
    <w:rsid w:val="009528FB"/>
    <w:rsid w:val="0095538A"/>
    <w:rsid w:val="0095708D"/>
    <w:rsid w:val="00976355"/>
    <w:rsid w:val="0098778C"/>
    <w:rsid w:val="009A3E6C"/>
    <w:rsid w:val="009A42C9"/>
    <w:rsid w:val="009C2377"/>
    <w:rsid w:val="009C3247"/>
    <w:rsid w:val="009D1BA6"/>
    <w:rsid w:val="009D7A7D"/>
    <w:rsid w:val="00A0381B"/>
    <w:rsid w:val="00A05663"/>
    <w:rsid w:val="00A1733E"/>
    <w:rsid w:val="00A2202B"/>
    <w:rsid w:val="00A22F00"/>
    <w:rsid w:val="00A56B74"/>
    <w:rsid w:val="00A64295"/>
    <w:rsid w:val="00A67645"/>
    <w:rsid w:val="00A77093"/>
    <w:rsid w:val="00A81E4E"/>
    <w:rsid w:val="00A8375D"/>
    <w:rsid w:val="00A930B2"/>
    <w:rsid w:val="00AB382F"/>
    <w:rsid w:val="00AC7CEB"/>
    <w:rsid w:val="00AC7DCE"/>
    <w:rsid w:val="00AD6D9C"/>
    <w:rsid w:val="00AE69B7"/>
    <w:rsid w:val="00AF252C"/>
    <w:rsid w:val="00AF3439"/>
    <w:rsid w:val="00B4159D"/>
    <w:rsid w:val="00B44524"/>
    <w:rsid w:val="00B54332"/>
    <w:rsid w:val="00B56EBF"/>
    <w:rsid w:val="00B650A9"/>
    <w:rsid w:val="00B66A3D"/>
    <w:rsid w:val="00B81100"/>
    <w:rsid w:val="00B82005"/>
    <w:rsid w:val="00B8650B"/>
    <w:rsid w:val="00B86ED4"/>
    <w:rsid w:val="00B9107D"/>
    <w:rsid w:val="00B923DC"/>
    <w:rsid w:val="00B94237"/>
    <w:rsid w:val="00BB39FB"/>
    <w:rsid w:val="00BB574D"/>
    <w:rsid w:val="00BC025C"/>
    <w:rsid w:val="00BF2E73"/>
    <w:rsid w:val="00C006B4"/>
    <w:rsid w:val="00C07A00"/>
    <w:rsid w:val="00C143B2"/>
    <w:rsid w:val="00C1556C"/>
    <w:rsid w:val="00C206DE"/>
    <w:rsid w:val="00C24484"/>
    <w:rsid w:val="00C307AB"/>
    <w:rsid w:val="00C41D59"/>
    <w:rsid w:val="00C42692"/>
    <w:rsid w:val="00C4502B"/>
    <w:rsid w:val="00C4547F"/>
    <w:rsid w:val="00C612FA"/>
    <w:rsid w:val="00C71181"/>
    <w:rsid w:val="00C76C94"/>
    <w:rsid w:val="00C77A9E"/>
    <w:rsid w:val="00CA2AD5"/>
    <w:rsid w:val="00CD3692"/>
    <w:rsid w:val="00CE0D17"/>
    <w:rsid w:val="00CF6849"/>
    <w:rsid w:val="00D14F4A"/>
    <w:rsid w:val="00D267B0"/>
    <w:rsid w:val="00D31F66"/>
    <w:rsid w:val="00D6257E"/>
    <w:rsid w:val="00D6294D"/>
    <w:rsid w:val="00D727B4"/>
    <w:rsid w:val="00D76DCA"/>
    <w:rsid w:val="00D7725E"/>
    <w:rsid w:val="00D97456"/>
    <w:rsid w:val="00DB6997"/>
    <w:rsid w:val="00DC1B4D"/>
    <w:rsid w:val="00DD20B0"/>
    <w:rsid w:val="00DF18F3"/>
    <w:rsid w:val="00DF58CB"/>
    <w:rsid w:val="00E0485C"/>
    <w:rsid w:val="00E05113"/>
    <w:rsid w:val="00E0540C"/>
    <w:rsid w:val="00E05823"/>
    <w:rsid w:val="00E22DED"/>
    <w:rsid w:val="00E251C6"/>
    <w:rsid w:val="00E4184D"/>
    <w:rsid w:val="00E47444"/>
    <w:rsid w:val="00E74FF6"/>
    <w:rsid w:val="00E825AF"/>
    <w:rsid w:val="00EA0ADF"/>
    <w:rsid w:val="00EA1CF8"/>
    <w:rsid w:val="00EA2452"/>
    <w:rsid w:val="00EA5AA0"/>
    <w:rsid w:val="00EA5C4B"/>
    <w:rsid w:val="00EC3E7F"/>
    <w:rsid w:val="00EE3ECC"/>
    <w:rsid w:val="00EF335F"/>
    <w:rsid w:val="00F01CEA"/>
    <w:rsid w:val="00F070E6"/>
    <w:rsid w:val="00F10FFC"/>
    <w:rsid w:val="00F24E72"/>
    <w:rsid w:val="00F441CD"/>
    <w:rsid w:val="00F470EA"/>
    <w:rsid w:val="00F55DB0"/>
    <w:rsid w:val="00F666E7"/>
    <w:rsid w:val="00F720A8"/>
    <w:rsid w:val="00F931AD"/>
    <w:rsid w:val="00FA7485"/>
    <w:rsid w:val="00FB03B8"/>
    <w:rsid w:val="00FB0584"/>
    <w:rsid w:val="00FC2089"/>
    <w:rsid w:val="00FC55A8"/>
    <w:rsid w:val="00FD20DB"/>
    <w:rsid w:val="00FD6A8F"/>
    <w:rsid w:val="00FD7503"/>
    <w:rsid w:val="00FE2CB5"/>
    <w:rsid w:val="00FF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6743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44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Title"/>
    <w:basedOn w:val="Normal"/>
    <w:next w:val="Normal"/>
    <w:link w:val="TableTitleChar"/>
    <w:rsid w:val="0054744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54744B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BB39F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B39FB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2B52BC"/>
    <w:pPr>
      <w:numPr>
        <w:numId w:val="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05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823"/>
    <w:rPr>
      <w:rFonts w:eastAsiaTheme="minorEastAsi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823"/>
    <w:rPr>
      <w:rFonts w:eastAsiaTheme="minorEastAsi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823"/>
    <w:rPr>
      <w:rFonts w:ascii="Segoe UI" w:eastAsiaTheme="minorEastAsia" w:hAnsi="Segoe UI" w:cs="Segoe UI"/>
      <w:sz w:val="18"/>
      <w:szCs w:val="18"/>
      <w:lang w:val="bg-BG"/>
    </w:rPr>
  </w:style>
  <w:style w:type="paragraph" w:styleId="ListParagraph">
    <w:name w:val="List Paragraph"/>
    <w:basedOn w:val="Normal"/>
    <w:uiPriority w:val="34"/>
    <w:qFormat/>
    <w:rsid w:val="00A81E4E"/>
    <w:pPr>
      <w:ind w:left="720"/>
      <w:contextualSpacing/>
    </w:pPr>
  </w:style>
  <w:style w:type="paragraph" w:customStyle="1" w:styleId="Annexetitre">
    <w:name w:val="Annexe titre"/>
    <w:basedOn w:val="Normal"/>
    <w:next w:val="Normal"/>
    <w:rsid w:val="006A78B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CM1">
    <w:name w:val="CM1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customStyle="1" w:styleId="CM3">
    <w:name w:val="CM3"/>
    <w:basedOn w:val="Normal"/>
    <w:next w:val="Normal"/>
    <w:uiPriority w:val="99"/>
    <w:rsid w:val="00065C44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</w:rPr>
  </w:style>
  <w:style w:type="paragraph" w:styleId="Revision">
    <w:name w:val="Revision"/>
    <w:hidden/>
    <w:uiPriority w:val="99"/>
    <w:semiHidden/>
    <w:rsid w:val="00F441CD"/>
    <w:pPr>
      <w:spacing w:after="0" w:line="240" w:lineRule="auto"/>
    </w:pPr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6C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27C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B3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27C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7153-8381-41E6-B52D-20FA0B8D4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BA84B8-5297-4BDA-8330-4CD811BD352C}"/>
</file>

<file path=customXml/itemProps3.xml><?xml version="1.0" encoding="utf-8"?>
<ds:datastoreItem xmlns:ds="http://schemas.openxmlformats.org/officeDocument/2006/customXml" ds:itemID="{36EB1045-B5C6-4FAD-BCA2-1625E673493F}"/>
</file>

<file path=customXml/itemProps4.xml><?xml version="1.0" encoding="utf-8"?>
<ds:datastoreItem xmlns:ds="http://schemas.openxmlformats.org/officeDocument/2006/customXml" ds:itemID="{4F6ADB29-578A-4914-B7E9-E9F6D38CCC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2033</Words>
  <Characters>11449</Characters>
  <Application>Microsoft Office Word</Application>
  <DocSecurity>0</DocSecurity>
  <Lines>260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2022-01-27T09:43:00Z</dcterms:created>
  <dcterms:modified xsi:type="dcterms:W3CDTF">2024-10-18T09:28:00Z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2024-10-18T08:45:47Z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4ffa68b9-bfed-45c1-9908-742ded55b301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