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lang w:val="en-GB"/>
        </w:rPr>
      </w:pPr>
      <w:r w:rsidRPr="007F4CC8">
        <w:rPr>
          <w:rFonts w:ascii="Times New Roman" w:hAnsi="Times New Roman" w:cs="Times New Roman"/>
          <w:b/>
          <w:color w:val="auto"/>
          <w:sz w:val="24"/>
          <w:u w:val="single"/>
          <w:lang w:val="en-GB"/>
        </w:rPr>
        <w:t xml:space="preserve">ANNEX XXVI – Counterparty credit risk disclosure tables and templates: </w:t>
      </w:r>
      <w:proofErr w:type="gramStart"/>
      <w:r w:rsidRPr="007F4CC8">
        <w:rPr>
          <w:rFonts w:ascii="Times New Roman" w:hAnsi="Times New Roman" w:cs="Times New Roman"/>
          <w:b/>
          <w:color w:val="auto"/>
          <w:sz w:val="24"/>
          <w:u w:val="single"/>
          <w:lang w:val="en-GB"/>
        </w:rPr>
        <w:t>Instructions</w:t>
      </w:r>
      <w:proofErr w:type="gramEnd"/>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shall disclose the information referred to Article </w:t>
      </w:r>
      <w:proofErr w:type="gramStart"/>
      <w:r w:rsidRPr="007F4CC8">
        <w:rPr>
          <w:rFonts w:ascii="Times New Roman" w:hAnsi="Times New Roman" w:cs="Times New Roman"/>
          <w:color w:val="auto"/>
          <w:sz w:val="24"/>
          <w:lang w:val="en-GB"/>
        </w:rPr>
        <w:t xml:space="preserve">439 </w:t>
      </w:r>
      <w:r w:rsidR="001D5CCE" w:rsidRPr="001D5CCE">
        <w:rPr>
          <w:rFonts w:ascii="Times New Roman" w:hAnsi="Times New Roman" w:cs="Times New Roman"/>
          <w:color w:val="auto"/>
          <w:sz w:val="24"/>
          <w:lang w:val="en-GB"/>
        </w:rPr>
        <w:t xml:space="preserve"> </w:t>
      </w:r>
      <w:r w:rsidR="001D5CCE" w:rsidRPr="007F4CC8">
        <w:rPr>
          <w:rFonts w:ascii="Times New Roman" w:hAnsi="Times New Roman" w:cs="Times New Roman"/>
          <w:color w:val="auto"/>
          <w:sz w:val="24"/>
          <w:lang w:val="en-GB"/>
        </w:rPr>
        <w:t>of</w:t>
      </w:r>
      <w:proofErr w:type="gramEnd"/>
      <w:r w:rsidR="001D5CCE" w:rsidRPr="007F4CC8">
        <w:rPr>
          <w:rFonts w:ascii="Times New Roman" w:hAnsi="Times New Roman" w:cs="Times New Roman"/>
          <w:color w:val="auto"/>
          <w:sz w:val="24"/>
          <w:lang w:val="en-GB"/>
        </w:rPr>
        <w:t xml:space="preserve">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 regarding their exposure to counterparty credit risk as referred to in Chapter 6 of Title II of Part Three of </w:t>
      </w:r>
      <w:r w:rsidRPr="007F4CC8">
        <w:rPr>
          <w:rFonts w:ascii="Times New Roman" w:hAnsi="Times New Roman"/>
          <w:color w:val="auto"/>
          <w:sz w:val="24"/>
          <w:lang w:val="en-GB"/>
        </w:rPr>
        <w:t>Regulation (EU) 575/2013</w:t>
      </w:r>
      <w:r w:rsidRPr="007F4CC8">
        <w:rPr>
          <w:rStyle w:val="FootnoteReference"/>
          <w:color w:val="auto"/>
          <w:lang w:val="en-GB"/>
        </w:rPr>
        <w:footnoteReference w:id="1"/>
      </w:r>
      <w:r w:rsidRPr="007F4CC8">
        <w:rPr>
          <w:rFonts w:ascii="Times New Roman" w:hAnsi="Times New Roman"/>
          <w:color w:val="auto"/>
          <w:sz w:val="24"/>
          <w:lang w:val="en-GB"/>
        </w:rPr>
        <w:t xml:space="preserve"> (“CRR”)</w:t>
      </w:r>
      <w:r w:rsidRPr="007F4CC8">
        <w:rPr>
          <w:rFonts w:ascii="Times New Roman" w:hAnsi="Times New Roman" w:cs="Times New Roman"/>
          <w:color w:val="auto"/>
          <w:sz w:val="24"/>
          <w:lang w:val="en-GB"/>
        </w:rPr>
        <w:t xml:space="preserve"> by following the instructions provided in this Annex to complete tables and templates which are presented in Annex XXV </w:t>
      </w:r>
      <w:r w:rsidR="00F743F2">
        <w:rPr>
          <w:rFonts w:ascii="Times New Roman" w:hAnsi="Times New Roman" w:cs="Times New Roman"/>
          <w:color w:val="auto"/>
          <w:sz w:val="24"/>
          <w:lang w:val="en-GB"/>
        </w:rPr>
        <w:t>of the EBA IT solutions</w:t>
      </w:r>
      <w:r w:rsidRPr="007F4CC8">
        <w:rPr>
          <w:rFonts w:ascii="Times New Roman" w:hAnsi="Times New Roman" w:cs="Times New Roman"/>
          <w:color w:val="auto"/>
          <w:sz w:val="24"/>
          <w:lang w:val="en-GB"/>
        </w:rPr>
        <w:t xml:space="preserve">.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lang w:val="en-GB"/>
        </w:rPr>
      </w:pPr>
      <w:r>
        <w:rPr>
          <w:rFonts w:ascii="Times New Roman" w:hAnsi="Times New Roman" w:cs="Times New Roman"/>
          <w:b/>
          <w:color w:val="auto"/>
          <w:sz w:val="24"/>
          <w:lang w:val="en-GB"/>
        </w:rPr>
        <w:t xml:space="preserve">Table EU </w:t>
      </w:r>
      <w:r w:rsidRPr="007F4CC8">
        <w:rPr>
          <w:rFonts w:ascii="Times New Roman" w:hAnsi="Times New Roman" w:cs="Times New Roman"/>
          <w:b/>
          <w:color w:val="auto"/>
          <w:sz w:val="24"/>
          <w:lang w:val="en-GB"/>
        </w:rPr>
        <w:t>CCRA - Qualitative disclosure related to counterparty credit risk (CCR):</w:t>
      </w:r>
      <w:r w:rsidRPr="007F4CC8">
        <w:rPr>
          <w:rFonts w:ascii="Times New Roman" w:hAnsi="Times New Roman" w:cs="Times New Roman"/>
          <w:sz w:val="24"/>
          <w:lang w:val="en-GB"/>
        </w:rPr>
        <w:t xml:space="preserve"> </w:t>
      </w:r>
      <w:r w:rsidRPr="007F4CC8">
        <w:rPr>
          <w:rFonts w:ascii="Times New Roman" w:eastAsiaTheme="minorEastAsia" w:hAnsi="Times New Roman" w:cs="Times New Roman"/>
          <w:bCs w:val="0"/>
          <w:color w:val="000000"/>
          <w:sz w:val="24"/>
          <w:lang w:val="en-GB"/>
        </w:rPr>
        <w:t xml:space="preserve">Free format text </w:t>
      </w:r>
      <w:proofErr w:type="gramStart"/>
      <w:r w:rsidRPr="007F4CC8">
        <w:rPr>
          <w:rFonts w:ascii="Times New Roman" w:eastAsiaTheme="minorEastAsia" w:hAnsi="Times New Roman" w:cs="Times New Roman"/>
          <w:bCs w:val="0"/>
          <w:color w:val="000000"/>
          <w:sz w:val="24"/>
          <w:lang w:val="en-GB"/>
        </w:rPr>
        <w:t>boxes</w:t>
      </w:r>
      <w:proofErr w:type="gramEnd"/>
      <w:r w:rsidRPr="007F4CC8">
        <w:rPr>
          <w:rFonts w:ascii="Times New Roman" w:eastAsiaTheme="minorEastAsia" w:hAnsi="Times New Roman" w:cs="Times New Roman"/>
          <w:bCs w:val="0"/>
          <w:color w:val="000000"/>
          <w:sz w:val="24"/>
          <w:lang w:val="en-GB"/>
        </w:rPr>
        <w:t xml:space="preserve">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auto"/>
          <w:sz w:val="24"/>
          <w:lang w:val="en-GB"/>
        </w:rPr>
        <w:t xml:space="preserve">Institutions shall disclose information referred to in </w:t>
      </w:r>
      <w:r w:rsidRPr="007F4CC8">
        <w:rPr>
          <w:rFonts w:ascii="Times New Roman" w:eastAsiaTheme="minorEastAsia" w:hAnsi="Times New Roman" w:cs="Times New Roman"/>
          <w:bCs w:val="0"/>
          <w:color w:val="000000"/>
          <w:sz w:val="24"/>
          <w:lang w:val="en-GB"/>
        </w:rPr>
        <w:t xml:space="preserve">points (a) to (d)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007D4C3D">
        <w:rPr>
          <w:rFonts w:ascii="Times New Roman" w:hAnsi="Times New Roman"/>
          <w:color w:val="auto"/>
          <w:sz w:val="24"/>
          <w:lang w:val="en-GB"/>
        </w:rPr>
        <w:t xml:space="preserve"> </w:t>
      </w:r>
      <w:r w:rsidRPr="007F4CC8">
        <w:rPr>
          <w:rFonts w:ascii="Times New Roman" w:eastAsiaTheme="minorEastAsia" w:hAnsi="Times New Roman" w:cs="Times New Roman"/>
          <w:bCs w:val="0"/>
          <w:color w:val="auto"/>
          <w:sz w:val="24"/>
          <w:lang w:val="en-GB"/>
        </w:rPr>
        <w:t xml:space="preserve">by following the instructions provided below in this Annex to complete </w:t>
      </w:r>
      <w:r>
        <w:rPr>
          <w:rFonts w:ascii="Times New Roman" w:eastAsiaTheme="minorEastAsia" w:hAnsi="Times New Roman" w:cs="Times New Roman"/>
          <w:bCs w:val="0"/>
          <w:color w:val="000000"/>
          <w:sz w:val="24"/>
          <w:lang w:val="en-GB"/>
        </w:rPr>
        <w:t xml:space="preserve">table EU </w:t>
      </w:r>
      <w:r w:rsidRPr="007F4CC8">
        <w:rPr>
          <w:rFonts w:ascii="Times New Roman" w:eastAsiaTheme="minorEastAsia" w:hAnsi="Times New Roman" w:cs="Times New Roman"/>
          <w:bCs w:val="0"/>
          <w:color w:val="000000"/>
          <w:sz w:val="24"/>
          <w:lang w:val="en-GB"/>
        </w:rPr>
        <w:t xml:space="preserve">CCRA which is presented in Annex XXV </w:t>
      </w:r>
      <w:r w:rsidR="00D50CDF" w:rsidRPr="00D50CDF">
        <w:rPr>
          <w:rFonts w:ascii="Times New Roman" w:eastAsiaTheme="minorEastAsia" w:hAnsi="Times New Roman" w:cs="Times New Roman"/>
          <w:bCs w:val="0"/>
          <w:color w:val="000000"/>
          <w:sz w:val="24"/>
          <w:lang w:val="en-GB"/>
        </w:rPr>
        <w:t>of the EBA IT solutions</w:t>
      </w:r>
      <w:r w:rsidRPr="007F4CC8">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When disclosing information required in point (a)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institutions shall provide a description of the methodology used to assign internal capital and credit limits for counterparty credit exposures, including the methods to assign those limits to exposures to central counterparties.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(b)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description of policies related to guarantees and other credit risk mitigants, such as the policies for securing collateral and establishing credit reserves.</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(c)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w:t>
            </w:r>
            <w:r w:rsidRPr="007F4CC8">
              <w:rPr>
                <w:rFonts w:ascii="Times New Roman" w:hAnsi="Times New Roman" w:cs="Times New Roman"/>
                <w:sz w:val="24"/>
              </w:rPr>
              <w:t xml:space="preserve">escription of policies with respect to Wrong-Way risk as defined in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In accordance with Article 431 (3) and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color w:val="000000"/>
                <w:sz w:val="24"/>
                <w:lang w:eastAsia="en-GB"/>
              </w:rPr>
              <w:t>institutions shall complement the above information by any other risk management objectives and relevant policies related to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When disclosing information required in point (d) of Article 439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color w:val="000000"/>
                <w:sz w:val="24"/>
                <w:lang w:eastAsia="en-GB"/>
              </w:rPr>
              <w:t xml:space="preserve">institutions shall provide the amount of collateral the institutions would have to provide if their credit rating was downgraded. </w:t>
            </w:r>
          </w:p>
          <w:p w14:paraId="08B2F868" w14:textId="77777777"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color w:val="000000"/>
                <w:sz w:val="24"/>
                <w:lang w:eastAsia="en-GB"/>
              </w:rPr>
              <w:t xml:space="preserve">Where the central bank of a Member State undertakes liquidity assistance in the form of collateral swap transactions, the competent authority may exempt institutions to provide this information where it deems that the disclosure of the information referred to therein could reveal the provision of emergency </w:t>
            </w:r>
            <w:r w:rsidRPr="007F4CC8">
              <w:rPr>
                <w:rFonts w:ascii="Times New Roman" w:hAnsi="Times New Roman" w:cs="Times New Roman"/>
                <w:color w:val="000000"/>
                <w:sz w:val="24"/>
                <w:lang w:eastAsia="en-GB"/>
              </w:rPr>
              <w:lastRenderedPageBreak/>
              <w:t>liquidity assistance. For these purposes, the competent authority shall set out appropriate thresholds and objective criteria.</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CCR1 - Analysis of CCR exposure by approach: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format</w:t>
      </w:r>
      <w:proofErr w:type="gramEnd"/>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information referred to in points (f), (g), and (k)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CCR1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eastAsiaTheme="minorEastAsia" w:hAnsi="Times New Roman" w:cs="Times New Roman"/>
          <w:bCs w:val="0"/>
          <w:color w:val="000000"/>
          <w:sz w:val="24"/>
          <w:lang w:val="en-GB" w:eastAsia="en-GB"/>
        </w:rPr>
        <w:t xml:space="preserve">This template excludes own funds requirements for CVA risk (Title VI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and exposures to a central counterparty (Section 9 of Chapter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as defined for the purpose of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w:t>
      </w:r>
      <w:r w:rsidRPr="007F4CC8">
        <w:rPr>
          <w:lang w:val="en-GB"/>
        </w:rPr>
        <w:t xml:space="preserve"> </w:t>
      </w:r>
      <w:r w:rsidRPr="007F4CC8">
        <w:rPr>
          <w:rFonts w:ascii="Times New Roman" w:eastAsiaTheme="minorEastAsia" w:hAnsi="Times New Roman" w:cs="Times New Roman"/>
          <w:bCs w:val="0"/>
          <w:color w:val="000000"/>
          <w:sz w:val="24"/>
          <w:lang w:val="en-GB" w:eastAsia="en-GB"/>
        </w:rPr>
        <w:t xml:space="preserve">For securities financing transactions, it includes the exposure values before and after the effect of credit risk mitigation as determined under the methods set out in 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whichever method is used, in accordance with Article 439 (g)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and the associated risk exposure amounts broken down by applicable method.</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using the methods set out in Sections 4 to 5 of Chapter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shall indicate, in the narrative accompanying the template, the size of their on- and off-balance-sheet derivative business as calculated in accordance with Article 273a(1) or (2)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 xml:space="preserve">, as applicable, in application of point (m)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hAnsi="Times New Roman" w:cs="Times New Roman"/>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rsidRPr="007F4CC8">
              <w:t>EU-</w:t>
            </w:r>
            <w:r>
              <w:t>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Original Exposure Method (for derivatives)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 xml:space="preserve">and long settlement transactions </w:t>
            </w:r>
            <w:r w:rsidRPr="007F4CC8">
              <w:rPr>
                <w:rFonts w:ascii="Times New Roman" w:hAnsi="Times New Roman"/>
                <w:sz w:val="24"/>
                <w:szCs w:val="24"/>
              </w:rPr>
              <w:t xml:space="preserve">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282 of Section 5 of Chapter 6 of Title II of Part Three </w:t>
            </w:r>
            <w:r w:rsidR="001D5CCE" w:rsidRPr="007F4CC8">
              <w:rPr>
                <w:rFonts w:ascii="Times New Roman" w:hAnsi="Times New Roman"/>
                <w:sz w:val="24"/>
              </w:rPr>
              <w:t>of Regulation (EU)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This simplified method for calculating the exposure value of derivative positions can only be used by institutions meeting</w:t>
            </w:r>
            <w:r w:rsidRPr="007F4CC8">
              <w:rPr>
                <w:rFonts w:ascii="Times New Roman" w:hAnsi="Times New Roman"/>
                <w:i/>
                <w:sz w:val="24"/>
                <w:szCs w:val="24"/>
              </w:rPr>
              <w:t xml:space="preserve"> </w:t>
            </w:r>
            <w:r w:rsidRPr="007F4CC8">
              <w:rPr>
                <w:rFonts w:ascii="Times New Roman" w:hAnsi="Times New Roman"/>
                <w:sz w:val="24"/>
                <w:szCs w:val="24"/>
              </w:rPr>
              <w:t xml:space="preserve">the conditions laid down in Article 273a (2) or (4)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rsidRPr="007F4CC8">
              <w:t>EU-</w:t>
            </w:r>
            <w:r>
              <w:t>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Simplified Standardised Approach for CCR (Simplified SA-CCR for derivatives)</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and long settlement transactions</w:t>
            </w:r>
            <w:r w:rsidRPr="007F4CC8">
              <w:rPr>
                <w:rFonts w:ascii="Times New Roman" w:hAnsi="Times New Roman"/>
                <w:sz w:val="24"/>
                <w:szCs w:val="24"/>
              </w:rPr>
              <w:t xml:space="preserve"> 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w:t>
            </w:r>
            <w:r w:rsidRPr="007F4CC8">
              <w:rPr>
                <w:rFonts w:ascii="Times New Roman" w:hAnsi="Times New Roman"/>
                <w:sz w:val="24"/>
                <w:szCs w:val="24"/>
              </w:rPr>
              <w:lastRenderedPageBreak/>
              <w:t xml:space="preserve">and PFE computed in accordance with Article 281 of Section 4 of Chapter 6 of Title II of Part Three </w:t>
            </w:r>
            <w:r w:rsidR="001D5CCE" w:rsidRPr="007F4CC8">
              <w:rPr>
                <w:rFonts w:ascii="Times New Roman" w:hAnsi="Times New Roman"/>
                <w:sz w:val="24"/>
              </w:rPr>
              <w:t>of Regulation (EU)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This simplified standardised approach for calculating the exposure value of derivative positions can only be used by institutions meeting the conditions laid down in Article 273a (1) or (4)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Standardised Approach for CCR (SA-CCR for derivatives)</w:t>
            </w:r>
          </w:p>
          <w:p w14:paraId="124D31EB" w14:textId="0A2EBA1F"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Derivatives </w:t>
            </w:r>
            <w:r w:rsidRPr="007F4CC8">
              <w:rPr>
                <w:rFonts w:ascii="Times New Roman" w:hAnsi="Times New Roman"/>
              </w:rPr>
              <w:t xml:space="preserve">and long settlement transactions </w:t>
            </w:r>
            <w:r w:rsidRPr="007F4CC8">
              <w:rPr>
                <w:rFonts w:ascii="Times New Roman" w:hAnsi="Times New Roman" w:cs="Times New Roman"/>
              </w:rPr>
              <w:t xml:space="preserve">for which the institutions have chosen to calculate the exposure value as </w:t>
            </w:r>
            <w:r w:rsidRPr="007F4CC8">
              <w:rPr>
                <w:rFonts w:ascii="Times New Roman" w:eastAsia="PMingLiU" w:hAnsi="Times New Roman" w:cs="Times New Roman"/>
              </w:rPr>
              <w:t>alpha</w:t>
            </w:r>
            <w:r w:rsidRPr="007F4CC8">
              <w:rPr>
                <w:rFonts w:ascii="Times New Roman" w:hAnsi="Times New Roman" w:cs="Times New Roman"/>
              </w:rPr>
              <w:t>*</w:t>
            </w:r>
            <w:r w:rsidRPr="007F4CC8">
              <w:rPr>
                <w:rFonts w:ascii="Times New Roman" w:eastAsia="PMingLiU" w:hAnsi="Times New Roman" w:cs="Times New Roman"/>
              </w:rPr>
              <w:t>(</w:t>
            </w:r>
            <w:r w:rsidRPr="007F4CC8">
              <w:rPr>
                <w:rFonts w:ascii="Times New Roman" w:hAnsi="Times New Roman" w:cs="Times New Roman"/>
              </w:rPr>
              <w:t xml:space="preserve">RC+PFE) </w:t>
            </w:r>
            <w:r w:rsidRPr="007F4CC8">
              <w:rPr>
                <w:rFonts w:ascii="Times New Roman" w:eastAsia="PMingLiU" w:hAnsi="Times New Roman" w:cs="Times New Roman"/>
              </w:rPr>
              <w:t>with α=1.4,</w:t>
            </w:r>
            <w:r w:rsidRPr="007F4CC8">
              <w:rPr>
                <w:rFonts w:ascii="Times New Roman" w:hAnsi="Times New Roman" w:cs="Times New Roman"/>
              </w:rPr>
              <w:t xml:space="preserve"> RC and PFE computed in accordance with Section 3 of Chapter 6 of Title II of Part Three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001D5CCE">
              <w:rPr>
                <w:rFonts w:ascii="Times New Roman" w:hAnsi="Times New Roman" w:cs="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IMM (for derivatives and SFTs)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sidRPr="007F4CC8">
              <w:rPr>
                <w:rFonts w:ascii="Times New Roman" w:eastAsia="PMingLiU" w:hAnsi="Times New Roman" w:cs="Times New Roman"/>
                <w:color w:val="000000"/>
                <w:sz w:val="24"/>
              </w:rPr>
              <w:t xml:space="preserve">Derivatives </w:t>
            </w:r>
            <w:r w:rsidRPr="007F4CC8">
              <w:rPr>
                <w:rFonts w:ascii="Times New Roman" w:hAnsi="Times New Roman"/>
                <w:sz w:val="24"/>
              </w:rPr>
              <w:t xml:space="preserve">and long settlement transactions </w:t>
            </w:r>
            <w:r w:rsidRPr="007F4CC8">
              <w:rPr>
                <w:rFonts w:ascii="Times New Roman" w:eastAsia="PMingLiU" w:hAnsi="Times New Roman" w:cs="Times New Roman"/>
                <w:color w:val="000000"/>
                <w:sz w:val="24"/>
              </w:rPr>
              <w:t xml:space="preserve">and SFTs for which institutions have been permitted to calculate the exposure value using the Internal Model Method (IMM) in accordance with Section 6 of Chapter 6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Pr>
                <w:rFonts w:ascii="Times New Roman" w:eastAsia="PMingLiU" w:hAnsi="Times New Roman" w:cs="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rsidRPr="007F4CC8">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securities financing transactions netting sets</w:t>
            </w:r>
          </w:p>
          <w:p w14:paraId="6014ACE8" w14:textId="47A4E50A"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Netting sets containing only SFTs, as defined in point (139) of Article 4(1)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for which institutions have been permitted to determine the exposure value using the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rsidRPr="007F4CC8">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derivatives and long settlement transactions netting sets</w:t>
            </w:r>
          </w:p>
          <w:p w14:paraId="4E9E50F8" w14:textId="68959B51"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only derivative instruments listed in Annex II to </w:t>
            </w: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r w:rsidRPr="007F4CC8">
              <w:rPr>
                <w:rFonts w:ascii="Times New Roman" w:hAnsi="Times New Roman" w:cs="Times New Roman"/>
              </w:rPr>
              <w:t xml:space="preserve">and long settlement transactions as defined in point (2) of Article 272 </w:t>
            </w: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r w:rsidRPr="007F4CC8">
              <w:rPr>
                <w:rFonts w:ascii="Times New Roman" w:hAnsi="Times New Roman" w:cs="Times New Roman"/>
              </w:rPr>
              <w:t>, for which institutions have been permitted to determine the exposure value using the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rsidRPr="007F4CC8">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from contractual cross-product netting sets</w:t>
            </w:r>
          </w:p>
          <w:p w14:paraId="2B590CCD" w14:textId="62BAAF0A"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transactions of different product categories (point (11)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 i.e. derivatives and SFTs, for which a contractual cross product netting agreement as defined in point (25)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exists and for which institutions have been permitted to determine the exposure value using the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sidRPr="00A03D37">
              <w:rPr>
                <w:rFonts w:ascii="Times New Roman" w:hAnsi="Times New Roman"/>
                <w:b/>
                <w:sz w:val="24"/>
                <w:szCs w:val="24"/>
              </w:rPr>
              <w:t>Financial collateral simple method (for SFTs) and Financial collateral comprehensive method (for SFTs)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and margin lending transactions for which institutions have chosen to determine the exposure value in accordance with Articles 222 and 223 of Chapter 4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as </w:t>
            </w:r>
            <w:r w:rsidRPr="007F4CC8">
              <w:rPr>
                <w:rFonts w:ascii="Times New Roman" w:hAnsi="Times New Roman"/>
                <w:sz w:val="24"/>
                <w:szCs w:val="24"/>
              </w:rPr>
              <w:lastRenderedPageBreak/>
              <w:t xml:space="preserve">opposed to Article 271(2) of Chapter 6 of Title II of Part Three </w:t>
            </w:r>
            <w:r w:rsidR="001D5CCE" w:rsidRPr="007F4CC8">
              <w:rPr>
                <w:rFonts w:ascii="Times New Roman" w:hAnsi="Times New Roman"/>
                <w:sz w:val="24"/>
              </w:rPr>
              <w:t>of Regulation (EU) 575/2013</w:t>
            </w:r>
            <w:r w:rsidR="001D5CCE">
              <w:rPr>
                <w:rFonts w:ascii="Times New Roman" w:hAnsi="Times New Roman"/>
                <w:sz w:val="24"/>
                <w:szCs w:val="24"/>
              </w:rPr>
              <w:t>.</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lastRenderedPageBreak/>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proofErr w:type="spellStart"/>
            <w:r w:rsidRPr="005F3D92">
              <w:rPr>
                <w:rFonts w:ascii="Times New Roman" w:hAnsi="Times New Roman"/>
                <w:b/>
                <w:sz w:val="24"/>
                <w:szCs w:val="24"/>
              </w:rPr>
              <w:t>VaR</w:t>
            </w:r>
            <w:proofErr w:type="spellEnd"/>
            <w:r w:rsidRPr="005F3D92">
              <w:rPr>
                <w:rFonts w:ascii="Times New Roman" w:hAnsi="Times New Roman"/>
                <w:b/>
                <w:sz w:val="24"/>
                <w:szCs w:val="24"/>
              </w:rPr>
              <w:t xml:space="preserve"> for SFTs</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margin lending transactions, or other capital market-driven transactions other than derivative transactions for which (in accordance with Article 221 </w:t>
            </w:r>
            <w:r w:rsidR="001D5CCE" w:rsidRPr="007F4CC8">
              <w:rPr>
                <w:rFonts w:ascii="Times New Roman" w:hAnsi="Times New Roman"/>
                <w:sz w:val="24"/>
              </w:rPr>
              <w:t>of Regulation (EU) 575/2013</w:t>
            </w:r>
            <w:r w:rsidRPr="007F4CC8">
              <w:rPr>
                <w:rFonts w:ascii="Times New Roman" w:hAnsi="Times New Roman"/>
                <w:sz w:val="24"/>
                <w:szCs w:val="24"/>
              </w:rPr>
              <w:t>) the exposure value is calculated using an internal model approach (IMA) that takes into account correlation effects between security positions subject to the master netting agreement, as well as the liquidity of the instruments concerned</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 xml:space="preserve">Replacement cost (RC) and Potential future exposure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RC and PFE shall be computed:</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 282 (3) and (4) of Section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for the Original Exposure Method (row EU-1 of this template),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 in accordance with Article 281 of Section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for the Simplified SA-CCR (row EU-2 of this template),</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Articles 275 and 278 of Sections 4 and 5 of Chapter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for the SA-CCR (row 1 of this template)</w:t>
            </w:r>
          </w:p>
          <w:p w14:paraId="3D6E29EA" w14:textId="77777777" w:rsidR="00F43911" w:rsidRPr="007F4CC8" w:rsidRDefault="00F43911" w:rsidP="004F3087">
            <w:pPr>
              <w:spacing w:after="240"/>
            </w:pPr>
            <w:r w:rsidRPr="007F4CC8">
              <w:rPr>
                <w:rFonts w:ascii="Times New Roman" w:hAnsi="Times New Roman"/>
                <w:sz w:val="24"/>
              </w:rPr>
              <w:t>Institutions shall disclose the sum of the replacement costs for all netting sets in the corresponding rows.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Effective expected positive exposure (EEPE)</w:t>
            </w:r>
          </w:p>
          <w:p w14:paraId="457B2CC6" w14:textId="76476F86"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per netting set is defined in point (22) of Article 272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and shall be calculated in accordance with Article 284(6)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w:t>
            </w:r>
          </w:p>
          <w:p w14:paraId="217186F1" w14:textId="2D8E5933"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to be disclosed here shall be the one applied for the determination of own funds requirements in accordance with Article 284 (3)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 i.e. either the EEPE calculated using current market data, or the EEPE calculated using a stress calibration, whichever leads to a higher own </w:t>
            </w:r>
            <w:proofErr w:type="gramStart"/>
            <w:r w:rsidRPr="007F4CC8">
              <w:rPr>
                <w:rFonts w:ascii="Times New Roman" w:hAnsi="Times New Roman" w:cs="Times New Roman"/>
              </w:rPr>
              <w:t>funds</w:t>
            </w:r>
            <w:proofErr w:type="gramEnd"/>
            <w:r w:rsidRPr="007F4CC8">
              <w:rPr>
                <w:rFonts w:ascii="Times New Roman" w:hAnsi="Times New Roman" w:cs="Times New Roman"/>
              </w:rPr>
              <w:t xml:space="preserve"> requirement.</w:t>
            </w:r>
          </w:p>
          <w:p w14:paraId="1B528B51" w14:textId="77777777"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lastRenderedPageBreak/>
              <w:t xml:space="preserve">Institutions shall specify in the narrative accompanying this template which EEPE has been inserted.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rsidRPr="007F4CC8">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 xml:space="preserve">Alpha used for computing regulatory exposure </w:t>
            </w:r>
            <w:proofErr w:type="gramStart"/>
            <w:r w:rsidRPr="005F3D92">
              <w:rPr>
                <w:rFonts w:ascii="Times New Roman" w:hAnsi="Times New Roman" w:cs="Times New Roman"/>
                <w:b/>
              </w:rPr>
              <w:t>value</w:t>
            </w:r>
            <w:proofErr w:type="gramEnd"/>
          </w:p>
          <w:p w14:paraId="6B33CCED" w14:textId="4900B432"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value of </w:t>
            </w:r>
            <w:r w:rsidRPr="007F4CC8">
              <w:rPr>
                <w:rFonts w:ascii="Times New Roman" w:eastAsia="PMingLiU" w:hAnsi="Times New Roman" w:cs="Times New Roman"/>
              </w:rPr>
              <w:t>α</w:t>
            </w:r>
            <w:r w:rsidRPr="007F4CC8">
              <w:rPr>
                <w:rFonts w:ascii="Times New Roman" w:hAnsi="Times New Roman" w:cs="Times New Roman"/>
              </w:rPr>
              <w:t xml:space="preserve"> is fixed as 1.4 in rows EU-1, EU-2 and 1 of this </w:t>
            </w:r>
            <w:proofErr w:type="gramStart"/>
            <w:r w:rsidRPr="007F4CC8">
              <w:rPr>
                <w:rFonts w:ascii="Times New Roman" w:hAnsi="Times New Roman" w:cs="Times New Roman"/>
              </w:rPr>
              <w:t>template</w:t>
            </w:r>
            <w:proofErr w:type="gramEnd"/>
            <w:r w:rsidRPr="007F4CC8">
              <w:rPr>
                <w:rFonts w:ascii="Times New Roman" w:hAnsi="Times New Roman" w:cs="Times New Roman"/>
              </w:rPr>
              <w:t xml:space="preserve"> in accordance with Articles 282(2), 281(1) and 274(2)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001D5CCE">
              <w:rPr>
                <w:rFonts w:ascii="Times New Roman" w:hAnsi="Times New Roman" w:cs="Times New Roman"/>
              </w:rPr>
              <w:t>.</w:t>
            </w:r>
          </w:p>
          <w:p w14:paraId="3D498F38" w14:textId="1A3CD52A"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For IMM purposes, the value of </w:t>
            </w:r>
            <w:r w:rsidRPr="007F4CC8">
              <w:rPr>
                <w:rFonts w:ascii="Times New Roman" w:eastAsia="PMingLiU" w:hAnsi="Times New Roman" w:cs="Times New Roman"/>
              </w:rPr>
              <w:t>α</w:t>
            </w:r>
            <w:r w:rsidRPr="007F4CC8">
              <w:rPr>
                <w:rFonts w:ascii="Times New Roman" w:hAnsi="Times New Roman" w:cs="Times New Roman"/>
              </w:rPr>
              <w:t xml:space="preserve"> can either be the default of 1.4 or different when competent authorities require a higher α in accordance with Article 284(4)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hAnsi="Times New Roman" w:cs="Times New Roman"/>
              </w:rPr>
              <w:t xml:space="preserve">or permit institutions to use their own estimates in accordance with Article 284(9) of Section 6 of Chapter 6 of Title II of Part Three </w:t>
            </w: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r w:rsidRPr="007F4CC8">
              <w:rPr>
                <w:rFonts w:ascii="Times New Roman" w:eastAsia="PMingLiU" w:hAnsi="Times New Roman" w:cs="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pre-CRM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pre-CRM for CCR business shall be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taking into account the effect of </w:t>
            </w:r>
            <w:proofErr w:type="gramStart"/>
            <w:r w:rsidRPr="007F4CC8">
              <w:rPr>
                <w:rFonts w:ascii="Times New Roman" w:hAnsi="Times New Roman"/>
                <w:sz w:val="24"/>
                <w:szCs w:val="24"/>
              </w:rPr>
              <w:t>netting, but</w:t>
            </w:r>
            <w:proofErr w:type="gramEnd"/>
            <w:r w:rsidRPr="007F4CC8">
              <w:rPr>
                <w:rFonts w:ascii="Times New Roman" w:hAnsi="Times New Roman"/>
                <w:sz w:val="24"/>
                <w:szCs w:val="24"/>
              </w:rPr>
              <w:t xml:space="preserve"> disregarding any other credit risk mitigation techniques (e.g. through margin collateral).</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Furthermore, collateralised business shall be handled as uncollateralised, i.e. no margining effects apply.</w:t>
            </w:r>
          </w:p>
          <w:p w14:paraId="3610D469" w14:textId="346DB6F0"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For transactions where specific wrong way risk has been identified, the exposure value pre-CRM must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3EB18FDE" w14:textId="700FF1F2"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pre-CRM shall not consider the deduction of the incurred CVA loss in accordance with Article 273(6)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3CE91BAE"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pre-CRM in the respective row.</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(post-CRM)</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post-CRM for CCR business shall be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having applied CRM techniques as applicable in accordance with Chapters 4 and 6 of Title II of Part Three </w:t>
            </w:r>
            <w:r w:rsidR="001D5CCE" w:rsidRPr="007F4CC8">
              <w:rPr>
                <w:rFonts w:ascii="Times New Roman" w:hAnsi="Times New Roman"/>
                <w:sz w:val="24"/>
              </w:rPr>
              <w:t>of Regulation (EU) 575/2013</w:t>
            </w:r>
          </w:p>
          <w:p w14:paraId="00427D02" w14:textId="50A27684"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lastRenderedPageBreak/>
              <w:t xml:space="preserve">For transactions where specific wrong way risk has been identified, the exposure value shall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11C26276" w14:textId="03A97DB3"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In accordance with Article 273(6)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the incurred CVA loss shall not be deducted from the exposure value post-CRM.</w:t>
            </w:r>
          </w:p>
          <w:p w14:paraId="69480D33"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rsidRPr="007F4CC8">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Exposure value for CCR business calculated in accordance with the methods laid down in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 which is the relevant amount for the own funds requirement calculation, i.e. having applied CRM techniques as applicable in accordance with Chapters 4 and 6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and considering the deduction of the incurred CVA loss in accordance with Article 273 (6) </w:t>
            </w:r>
            <w:r w:rsidR="001D5CCE" w:rsidRPr="007F4CC8">
              <w:rPr>
                <w:rFonts w:ascii="Times New Roman" w:hAnsi="Times New Roman"/>
                <w:sz w:val="24"/>
              </w:rPr>
              <w:t>of Regulation (EU) 575/2013</w:t>
            </w:r>
            <w:r w:rsidR="001D5CCE">
              <w:rPr>
                <w:rFonts w:ascii="Times New Roman" w:hAnsi="Times New Roman"/>
                <w:sz w:val="24"/>
                <w:szCs w:val="24"/>
              </w:rPr>
              <w:t>.</w:t>
            </w:r>
          </w:p>
          <w:p w14:paraId="07CE657B" w14:textId="7D68C218"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for transactions where specific wrong way risk has been identified shall be determined in accordance with Article 291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w:t>
            </w:r>
          </w:p>
          <w:p w14:paraId="1417E2B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736282AA"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Risk weighted exposure amounts as defined in Article 92 (3) and (4) </w:t>
            </w:r>
            <w:r w:rsidR="001D5CCE" w:rsidRPr="007F4CC8">
              <w:rPr>
                <w:rFonts w:ascii="Times New Roman" w:hAnsi="Times New Roman"/>
                <w:sz w:val="24"/>
              </w:rPr>
              <w:t>of Regulation (EU) 575/2013</w:t>
            </w:r>
            <w:r w:rsidRPr="007F4CC8">
              <w:rPr>
                <w:rFonts w:ascii="Times New Roman" w:hAnsi="Times New Roman"/>
                <w:sz w:val="24"/>
                <w:szCs w:val="24"/>
              </w:rPr>
              <w:t xml:space="preserve">calculated in accordance with Article 107 </w:t>
            </w:r>
            <w:r w:rsidR="001D5CCE" w:rsidRPr="007F4CC8">
              <w:rPr>
                <w:rFonts w:ascii="Times New Roman" w:hAnsi="Times New Roman"/>
                <w:sz w:val="24"/>
              </w:rPr>
              <w:t>of Regulation (EU) 575/2013</w:t>
            </w:r>
            <w:r w:rsidRPr="007F4CC8">
              <w:rPr>
                <w:rFonts w:ascii="Times New Roman" w:hAnsi="Times New Roman"/>
                <w:sz w:val="24"/>
                <w:szCs w:val="24"/>
              </w:rPr>
              <w:t>, for elements whose risk weights are</w:t>
            </w:r>
            <w:r w:rsidRPr="007F4CC8" w:rsidDel="00947B78">
              <w:rPr>
                <w:rFonts w:ascii="Times New Roman" w:hAnsi="Times New Roman"/>
                <w:sz w:val="24"/>
                <w:szCs w:val="24"/>
              </w:rPr>
              <w:t xml:space="preserve"> </w:t>
            </w:r>
            <w:r w:rsidRPr="007F4CC8">
              <w:rPr>
                <w:rFonts w:ascii="Times New Roman" w:hAnsi="Times New Roman"/>
                <w:sz w:val="24"/>
                <w:szCs w:val="24"/>
              </w:rPr>
              <w:t xml:space="preserve">estimated on the basis of the requirements in Chapters 2 and 3 of Title II of Part Three </w:t>
            </w:r>
            <w:r w:rsidR="001D5CCE" w:rsidRPr="007F4CC8">
              <w:rPr>
                <w:rFonts w:ascii="Times New Roman" w:hAnsi="Times New Roman"/>
                <w:sz w:val="24"/>
              </w:rPr>
              <w:t>of Regulation (EU) 575/2013</w:t>
            </w:r>
            <w:r w:rsidRPr="007F4CC8">
              <w:rPr>
                <w:rFonts w:ascii="Times New Roman" w:hAnsi="Times New Roman"/>
                <w:sz w:val="24"/>
                <w:szCs w:val="24"/>
              </w:rPr>
              <w:t xml:space="preserve">and for which the exposure value for CCR business is calculated in accordance with Chapters 4 and 6 of Title II of Part Three </w:t>
            </w:r>
            <w:r w:rsidR="001D5CCE" w:rsidRPr="007F4CC8">
              <w:rPr>
                <w:rFonts w:ascii="Times New Roman" w:hAnsi="Times New Roman"/>
                <w:sz w:val="24"/>
              </w:rPr>
              <w:t>of Regulation (EU) 575/2013</w:t>
            </w:r>
            <w:r w:rsidR="001D5CCE">
              <w:rPr>
                <w:rFonts w:ascii="Times New Roman" w:hAnsi="Times New Roman"/>
                <w:sz w:val="24"/>
                <w:szCs w:val="24"/>
              </w:rPr>
              <w:t>.</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CCR3 - Standardised approach – CCR exposures by regulatory exposure class and risk weights: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format</w:t>
      </w:r>
      <w:proofErr w:type="gramEnd"/>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444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w:t>
      </w:r>
      <w:r w:rsidRPr="007F4CC8">
        <w:rPr>
          <w:rFonts w:ascii="Times New Roman" w:eastAsiaTheme="minorEastAsia" w:hAnsi="Times New Roman" w:cs="Times New Roman"/>
          <w:bCs w:val="0"/>
          <w:color w:val="000000"/>
          <w:sz w:val="24"/>
          <w:lang w:val="en-GB" w:eastAsia="en-GB"/>
        </w:rPr>
        <w:lastRenderedPageBreak/>
        <w:t xml:space="preserve">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CCR3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the credit risk standardised approach to compute risk weighted exposure amounts (excluding those derived from own funds requirements for CVA risk and for exposures cleared through a CCP) for all or part of their CCR exposures in accordance with Article 107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irrespective of the CCR approach used to determine </w:t>
      </w:r>
      <w:r w:rsidRPr="007F4CC8">
        <w:rPr>
          <w:rFonts w:ascii="Times New Roman" w:eastAsiaTheme="minorEastAsia" w:hAnsi="Times New Roman" w:cs="Times New Roman"/>
          <w:bCs w:val="0"/>
          <w:color w:val="auto"/>
          <w:sz w:val="24"/>
          <w:lang w:val="en-GB" w:eastAsia="en-GB"/>
        </w:rPr>
        <w:t>exposure values in accordance with</w:t>
      </w:r>
      <w:r w:rsidRPr="007F4CC8">
        <w:rPr>
          <w:rFonts w:ascii="Times New Roman" w:hAnsi="Times New Roman"/>
          <w:color w:val="auto"/>
          <w:sz w:val="24"/>
          <w:lang w:val="en-GB"/>
        </w:rPr>
        <w:t xml:space="preserve"> 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shall disclose the following information.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If an institution deems that the information requested in this template is not meaningful because the exposure and risk weighted exposure amounts are not material, the institution may choose not to disclose the template. The institution is, however, required to explain in a narrative commentary why it considers the information not to be meaningful, including a description of the exposures in the portfolios concerned and the aggregate total of risk weighted exposures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Exposure classes</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rows refer to the regulatory exposure classes as defined in Article 112 to Article 134 of </w:t>
            </w:r>
            <w:r w:rsidRPr="007F4CC8">
              <w:rPr>
                <w:rFonts w:ascii="Times New Roman" w:hAnsi="Times New Roman"/>
                <w:sz w:val="24"/>
              </w:rPr>
              <w:t xml:space="preserve">Chapter 4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 In each line,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CCR1) shall be disclosed.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Other items</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assets subject to a specific risk weight set out in Article 134 of </w:t>
            </w:r>
            <w:r w:rsidRPr="007F4CC8">
              <w:rPr>
                <w:rFonts w:ascii="Times New Roman" w:hAnsi="Times New Roman"/>
                <w:sz w:val="24"/>
              </w:rPr>
              <w:t xml:space="preserve">Chapter 4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and any other items not covered in rows 1 to 9 of this template. It also refers to assets not deducted in the application of Article 39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(tax overpayments, tax loss </w:t>
            </w:r>
            <w:proofErr w:type="spellStart"/>
            <w:r w:rsidRPr="007F4CC8">
              <w:rPr>
                <w:rFonts w:ascii="Times New Roman" w:eastAsia="Times New Roman" w:hAnsi="Times New Roman" w:cs="Times New Roman"/>
                <w:sz w:val="24"/>
              </w:rPr>
              <w:t>carrybacks</w:t>
            </w:r>
            <w:proofErr w:type="spellEnd"/>
            <w:r w:rsidRPr="007F4CC8">
              <w:rPr>
                <w:rFonts w:ascii="Times New Roman" w:eastAsia="Times New Roman" w:hAnsi="Times New Roman" w:cs="Times New Roman"/>
                <w:sz w:val="24"/>
              </w:rPr>
              <w:t xml:space="preserve"> and deferred tax assets that do not rely on future profitability), Article 41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(defined benefit pension fund assets), Article 46 and Article 469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(non-significant investments in CET1 of financial sector entities),</w:t>
            </w:r>
            <w:r w:rsidRPr="007F4CC8" w:rsidDel="00174CE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Article 49 and Article 471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(participations in insurance entities whether or not insurance entities are supervised under the conglomerate directive), Article 60 and Article 475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(non-significant and significant indirect and investments in AT1 of financial sector entities), Article 70 and Article 477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(insignificant and significant indirect and synthetic holdings of T2 from a financial sector entity) when not allocated to other exposure classes, and to qualifying holdings outside the financial sector when they are not 1 250% risk-weighted in the application of point (k) of Article 36 of Chapter 2 of Title I of Part Two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Total exposure value</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w:t>
            </w:r>
            <w:r w:rsidRPr="007F4CC8">
              <w:t>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These columns refer to the credit risk quality steps/risk weights as set out in Chapter 2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 xml:space="preserve">for which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 shall be disclosed</w:t>
            </w:r>
            <w:r w:rsidRPr="007F4CC8">
              <w:rPr>
                <w:rFonts w:ascii="Times New Roman" w:hAnsi="Times New Roman" w:cs="Times New Roman"/>
                <w:sz w:val="24"/>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rsidRPr="007F4CC8">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 xml:space="preserve">Total exposure value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CCR4 - IRB approach – CCR exposures by exposure class and PD scale: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format</w:t>
      </w:r>
      <w:proofErr w:type="gramEnd"/>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(g) of Article 452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CCR4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 xml:space="preserve">.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either the advanced or the foundation IRB approach to compute risk weighted exposure </w:t>
      </w:r>
      <w:r w:rsidRPr="007F4CC8">
        <w:rPr>
          <w:rFonts w:ascii="Times New Roman" w:eastAsiaTheme="minorEastAsia" w:hAnsi="Times New Roman" w:cs="Times New Roman"/>
          <w:bCs w:val="0"/>
          <w:color w:val="auto"/>
          <w:sz w:val="24"/>
          <w:lang w:val="en-GB" w:eastAsia="en-GB"/>
        </w:rPr>
        <w:t xml:space="preserve">amounts (excluding those derived from own funds requirements for CVA risk and for exposures cleared through a CCP) for all or part of their CCR exposures in accordance with Article 107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irrespective of the CCR approach used to determine exposure value in accordance with </w:t>
      </w:r>
      <w:r w:rsidRPr="007F4CC8">
        <w:rPr>
          <w:rFonts w:ascii="Times New Roman" w:hAnsi="Times New Roman"/>
          <w:color w:val="auto"/>
          <w:sz w:val="24"/>
          <w:lang w:val="en-GB"/>
        </w:rPr>
        <w:t xml:space="preserve">Chapters 4 and 6 of Title II of Part Three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shall disclose 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to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PD scale</w:t>
            </w:r>
          </w:p>
          <w:p w14:paraId="27E474D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CCR exposures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w:t>
            </w:r>
            <w:proofErr w:type="gramStart"/>
            <w:r w:rsidRPr="007F4CC8">
              <w:rPr>
                <w:rFonts w:ascii="Times New Roman" w:hAnsi="Times New Roman" w:cs="Times New Roman"/>
                <w:sz w:val="24"/>
              </w:rPr>
              <w:t>taking into account</w:t>
            </w:r>
            <w:proofErr w:type="gramEnd"/>
            <w:r w:rsidRPr="007F4CC8">
              <w:rPr>
                <w:rFonts w:ascii="Times New Roman" w:hAnsi="Times New Roman" w:cs="Times New Roman"/>
                <w:sz w:val="24"/>
              </w:rPr>
              <w:t xml:space="preserve"> continuous scales. All defaulted exposures shall be included in the bucket representing PD of 100%.</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 </w:t>
            </w:r>
            <w:r w:rsidRPr="007F4CC8">
              <w:t>to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Exposure class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the different exposure classes listed in Article 147 of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rsidRPr="007F4CC8">
              <w:lastRenderedPageBreak/>
              <w:t>x and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Sub-total (Exposure class X) / Total (all CCR relevant exposure classes)</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(sub-) total of exposure values, risk weighted exposure amounts and number of obligors shall just be the sum of the respective columns. Concerning the different parameters Average PD, Average LGD, Average Maturity and RWEA density the below definitions apply with respect to the sample of exposure class X or all CCR relevant exposure classes.</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sidRPr="00880BCD">
              <w:rPr>
                <w:rFonts w:ascii="Times New Roman" w:hAnsi="Times New Roman" w:cs="Times New Roman"/>
                <w:b/>
                <w:sz w:val="24"/>
              </w:rPr>
              <w:t>Exposure value</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r w:rsidRPr="007F4CC8">
              <w:rPr>
                <w:rFonts w:ascii="Times New Roman" w:hAnsi="Times New Roman" w:cs="Times New Roman"/>
                <w:sz w:val="24"/>
              </w:rPr>
              <w:t xml:space="preserve">xposure value </w:t>
            </w:r>
            <w:r w:rsidRPr="007F4CC8">
              <w:rPr>
                <w:rFonts w:ascii="Times New Roman" w:eastAsia="Times New Roman" w:hAnsi="Times New Roman" w:cs="Times New Roman"/>
                <w:sz w:val="24"/>
              </w:rPr>
              <w:t xml:space="preserve">(see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w:t>
            </w:r>
            <w:r w:rsidRPr="007F4CC8">
              <w:rPr>
                <w:rFonts w:ascii="Times New Roman" w:hAnsi="Times New Roman" w:cs="Times New Roman"/>
                <w:i/>
                <w:sz w:val="24"/>
              </w:rPr>
              <w:t>,</w:t>
            </w:r>
            <w:r w:rsidRPr="007F4CC8">
              <w:rPr>
                <w:rFonts w:ascii="Times New Roman" w:eastAsia="Times New Roman" w:hAnsi="Times New Roman" w:cs="Times New Roman"/>
                <w:sz w:val="24"/>
              </w:rPr>
              <w:t xml:space="preserve"> broken down by exposure classes and the given PD scale as set out in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PD (%)</w:t>
            </w:r>
          </w:p>
          <w:p w14:paraId="77163362" w14:textId="77777777" w:rsidR="00F43911" w:rsidRPr="007F4CC8" w:rsidRDefault="00F43911" w:rsidP="004F3087">
            <w:pPr>
              <w:spacing w:after="240"/>
              <w:rPr>
                <w:rFonts w:ascii="Times New Roman" w:eastAsia="Times New Roman" w:hAnsi="Times New Roman" w:cs="Times New Roman"/>
                <w:sz w:val="24"/>
              </w:rPr>
            </w:pPr>
            <w:r w:rsidRPr="007F4CC8">
              <w:rPr>
                <w:rFonts w:ascii="Times New Roman" w:eastAsia="Times New Roman" w:hAnsi="Times New Roman" w:cs="Times New Roman"/>
                <w:sz w:val="24"/>
              </w:rPr>
              <w:t>Average of individual obligor grade PDs weighted by their corresponding exposure value in column a</w:t>
            </w:r>
            <w:r w:rsidRPr="007F4CC8">
              <w:t xml:space="preserve"> </w:t>
            </w:r>
            <w:r w:rsidRPr="007F4CC8">
              <w:rPr>
                <w:rFonts w:ascii="Times New Roman" w:eastAsia="Times New Roman" w:hAnsi="Times New Roman" w:cs="Times New Roman"/>
                <w:sz w:val="24"/>
              </w:rPr>
              <w:t>of this template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Number of obligors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number of legal entities or obligors allocated to each bucket of the fixed PD scale, which were separately rated, regardless of the number of different loans or exposures </w:t>
            </w:r>
            <w:proofErr w:type="gramStart"/>
            <w:r w:rsidRPr="007F4CC8">
              <w:rPr>
                <w:rFonts w:ascii="Times New Roman" w:eastAsia="Times New Roman" w:hAnsi="Times New Roman" w:cs="Times New Roman"/>
                <w:sz w:val="24"/>
              </w:rPr>
              <w:t>granted</w:t>
            </w:r>
            <w:proofErr w:type="gramEnd"/>
          </w:p>
          <w:p w14:paraId="7E8F21FB" w14:textId="0F2C452D"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sz w:val="24"/>
              </w:rPr>
              <w:t xml:space="preserve">Where different exposures to the same obligor are separately rated, they shall be counted separately. Such situation may take place if separate exposures to the same obligor are assigned to different obligor grades in accordance with the second sentence of point (e) of Article 172(1)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sz w:val="24"/>
              </w:rPr>
              <w:t>.</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Average of obligor grade LGDs weighted by their corresponding exposure </w:t>
            </w:r>
            <w:proofErr w:type="gramStart"/>
            <w:r w:rsidRPr="007F4CC8">
              <w:rPr>
                <w:rFonts w:ascii="Times New Roman" w:eastAsia="Times New Roman" w:hAnsi="Times New Roman" w:cs="Times New Roman"/>
                <w:sz w:val="24"/>
              </w:rPr>
              <w:t>value</w:t>
            </w:r>
            <w:proofErr w:type="gramEnd"/>
          </w:p>
          <w:p w14:paraId="789E926C"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LGD shall correspond to the final LGD estimate used in the calculation of own funds requirements obtained after considering any CRM effects and downturn conditions where relevant.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the case of exposures subject to the double default treatment the LGD to be disclosed shall correspond to the one selected in accordance with Article 161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For defaulted exposures under A-IRB Approach, provisions laid down in point (h) of Article 181(1)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shall be considered. The disclosed LGD shall correspond to the estimate of LGD in-default.</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maturity (years)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maturities in years weighted by their corresponding exposure value in column a of this template.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value of maturity shall be determined in accordance with Article 162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eastAsia="Times New Roman" w:hAnsi="Times New Roman" w:cs="Times New Roman"/>
                <w:sz w:val="24"/>
              </w:rPr>
              <w:t>.</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hAnsi="Times New Roman" w:cs="Times New Roman"/>
                <w:sz w:val="24"/>
              </w:rPr>
              <w:t xml:space="preserve">Risk weighted exposure amounts calculated in accordance with the requirements laid down in Chapter 3 of Title II of Part Three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for exposures to central governments and central banks, institutions and corporates, the risk weighted exposure amount calculated in accordance with Article 153(1) to (4)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 the SME and infrastructure supporting factor determined in accordance with Article 501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and Article 501a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Pr="007F4CC8">
              <w:rPr>
                <w:rFonts w:ascii="Times New Roman" w:hAnsi="Times New Roman" w:cs="Times New Roman"/>
                <w:sz w:val="24"/>
              </w:rPr>
              <w:t xml:space="preserve">shall be taken into account; for equity exposures under the PD/LGD approach, the risk weighted exposure amount calculated in accordance with Article 155(3)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 xml:space="preserve">Density of risk weighted exposure </w:t>
            </w:r>
            <w:proofErr w:type="gramStart"/>
            <w:r w:rsidRPr="00880BCD">
              <w:rPr>
                <w:rFonts w:ascii="Times New Roman" w:eastAsia="Times New Roman" w:hAnsi="Times New Roman" w:cs="Times New Roman"/>
                <w:b/>
                <w:sz w:val="24"/>
              </w:rPr>
              <w:t>amounts</w:t>
            </w:r>
            <w:proofErr w:type="gramEnd"/>
          </w:p>
          <w:p w14:paraId="7215E9DB"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rPr>
              <w:t>Ratio of the total risk weighted exposure amounts (in column f of this template) to the exposure value (in column a of this template)</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CCR5 - Composition of collateral for CCR</w:t>
      </w:r>
      <w:r>
        <w:rPr>
          <w:rFonts w:ascii="Times New Roman" w:hAnsi="Times New Roman" w:cs="Times New Roman"/>
          <w:b/>
          <w:color w:val="auto"/>
          <w:sz w:val="24"/>
          <w:lang w:val="en-GB"/>
        </w:rPr>
        <w:t xml:space="preserve"> exposures</w:t>
      </w:r>
      <w:r w:rsidRPr="007F4CC8">
        <w:rPr>
          <w:rFonts w:ascii="Times New Roman" w:hAnsi="Times New Roman" w:cs="Times New Roman"/>
          <w:b/>
          <w:color w:val="auto"/>
          <w:sz w:val="24"/>
          <w:lang w:val="en-GB"/>
        </w:rPr>
        <w:t xml:space="preserve">: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columns</w:t>
      </w:r>
      <w:proofErr w:type="gramEnd"/>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439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CCR5 as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This template shall be filled with fair values of collateral (posed or received) used in CCR exposures related to derivative transactions or to SFTs, </w:t>
      </w:r>
      <w:proofErr w:type="gramStart"/>
      <w:r w:rsidRPr="007F4CC8">
        <w:rPr>
          <w:rFonts w:ascii="Times New Roman" w:eastAsiaTheme="minorEastAsia" w:hAnsi="Times New Roman" w:cs="Times New Roman"/>
          <w:bCs w:val="0"/>
          <w:color w:val="000000"/>
          <w:sz w:val="24"/>
          <w:lang w:val="en-GB" w:eastAsia="en-GB"/>
        </w:rPr>
        <w:t>whether or not</w:t>
      </w:r>
      <w:proofErr w:type="gramEnd"/>
      <w:r w:rsidRPr="007F4CC8">
        <w:rPr>
          <w:rFonts w:ascii="Times New Roman" w:eastAsiaTheme="minorEastAsia" w:hAnsi="Times New Roman" w:cs="Times New Roman"/>
          <w:bCs w:val="0"/>
          <w:color w:val="000000"/>
          <w:sz w:val="24"/>
          <w:lang w:val="en-GB" w:eastAsia="en-GB"/>
        </w:rPr>
        <w:t xml:space="preserve"> the transactions are cleared through a CCP and whether or not collateral is posted to a CCP.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lastRenderedPageBreak/>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Collateral type</w:t>
            </w:r>
          </w:p>
          <w:p w14:paraId="0E78860C"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lang w:eastAsia="en-GB"/>
              </w:rPr>
              <w:t>Breakdown by type of collateral</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a, c, </w:t>
            </w:r>
            <w:proofErr w:type="gramStart"/>
            <w:r>
              <w:t>e</w:t>
            </w:r>
            <w:proofErr w:type="gramEnd"/>
            <w:r>
              <w:t xml:space="preserve"> and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Segregated</w:t>
            </w:r>
          </w:p>
          <w:p w14:paraId="33245F1F" w14:textId="6699E1D8"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 xml:space="preserve">Collateral that is held in a bankruptcy-remote manner as defined in Article 300(1) </w:t>
            </w: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Pr>
                <w:rFonts w:ascii="Times New Roman" w:eastAsia="Calibri" w:hAnsi="Times New Roman" w:cs="Times New Roman"/>
                <w:sz w:val="24"/>
                <w:lang w:eastAsia="en-GB"/>
              </w:rPr>
              <w:t>.</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b, d, </w:t>
            </w:r>
            <w:proofErr w:type="gramStart"/>
            <w:r>
              <w:t>f</w:t>
            </w:r>
            <w:proofErr w:type="gramEnd"/>
            <w:r>
              <w:t xml:space="preserve"> and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Unsegregated</w:t>
            </w:r>
          </w:p>
          <w:p w14:paraId="68BB9947" w14:textId="3879F65C"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 xml:space="preserve">Collateral that is not held in a bankruptcy-remote manner as defined in Article 300(1)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eastAsia="Calibri" w:hAnsi="Times New Roman" w:cs="Times New Roman"/>
                <w:sz w:val="24"/>
                <w:lang w:eastAsia="en-GB"/>
              </w:rPr>
              <w:t>.</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proofErr w:type="spellStart"/>
            <w:r>
              <w:t>a</w:t>
            </w:r>
            <w:proofErr w:type="spellEnd"/>
            <w:r>
              <w:t xml:space="preserve"> to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 xml:space="preserve">Collateral used in derivative </w:t>
            </w:r>
            <w:proofErr w:type="gramStart"/>
            <w:r w:rsidRPr="00BC5D5C">
              <w:rPr>
                <w:rFonts w:ascii="Times New Roman" w:hAnsi="Times New Roman" w:cs="Times New Roman"/>
                <w:b/>
                <w:sz w:val="24"/>
                <w:lang w:val="en-GB"/>
              </w:rPr>
              <w:t>transactions</w:t>
            </w:r>
            <w:proofErr w:type="gramEnd"/>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 xml:space="preserve">Collateral (including the initial margin and variation margin collateral) that is used in CCR exposures related to any derivative instrument listed in Annex II </w:t>
            </w: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r w:rsidRPr="007F4CC8">
              <w:rPr>
                <w:rFonts w:ascii="Times New Roman" w:hAnsi="Times New Roman" w:cs="Times New Roman"/>
                <w:sz w:val="24"/>
                <w:lang w:val="en-GB"/>
              </w:rPr>
              <w:t xml:space="preserve">or a long settlement transaction as per Article 271(2) </w:t>
            </w: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r w:rsidRPr="007F4CC8">
              <w:rPr>
                <w:rFonts w:ascii="Times New Roman" w:hAnsi="Times New Roman" w:cs="Times New Roman"/>
                <w:sz w:val="24"/>
                <w:lang w:val="en-GB"/>
              </w:rPr>
              <w:t>not qualifying as an SFTs</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to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 xml:space="preserve">Collateral used in </w:t>
            </w:r>
            <w:proofErr w:type="gramStart"/>
            <w:r w:rsidRPr="00BC5D5C">
              <w:rPr>
                <w:rFonts w:ascii="Times New Roman" w:hAnsi="Times New Roman" w:cs="Times New Roman"/>
                <w:b/>
                <w:sz w:val="24"/>
                <w:lang w:val="en-GB"/>
              </w:rPr>
              <w:t>SFTs</w:t>
            </w:r>
            <w:proofErr w:type="gramEnd"/>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as well as the collateral appearing in the security leg of the SFT) that is used in CCR exposures related to any SFT or a long settlement transaction not qualifying as a derivative</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lang w:val="fr-BE"/>
        </w:rPr>
      </w:pPr>
      <w:r>
        <w:rPr>
          <w:rFonts w:ascii="Times New Roman" w:hAnsi="Times New Roman" w:cs="Times New Roman"/>
          <w:b/>
          <w:color w:val="auto"/>
          <w:sz w:val="24"/>
          <w:lang w:val="fr-BE"/>
        </w:rPr>
        <w:t xml:space="preserve">Template EU </w:t>
      </w:r>
      <w:r w:rsidRPr="00DD0C4D">
        <w:rPr>
          <w:rFonts w:ascii="Times New Roman" w:hAnsi="Times New Roman" w:cs="Times New Roman"/>
          <w:b/>
          <w:color w:val="auto"/>
          <w:sz w:val="24"/>
          <w:lang w:val="fr-BE"/>
        </w:rPr>
        <w:t xml:space="preserve">CCR6 - </w:t>
      </w:r>
      <w:proofErr w:type="spellStart"/>
      <w:r w:rsidRPr="00DD0C4D">
        <w:rPr>
          <w:rFonts w:ascii="Times New Roman" w:hAnsi="Times New Roman" w:cs="Times New Roman"/>
          <w:b/>
          <w:color w:val="auto"/>
          <w:sz w:val="24"/>
          <w:lang w:val="fr-BE"/>
        </w:rPr>
        <w:t>Credit</w:t>
      </w:r>
      <w:proofErr w:type="spell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b/>
          <w:color w:val="auto"/>
          <w:sz w:val="24"/>
          <w:lang w:val="fr-BE"/>
        </w:rPr>
        <w:t>derivatives</w:t>
      </w:r>
      <w:proofErr w:type="spellEnd"/>
      <w:r w:rsidRPr="00DD0C4D">
        <w:rPr>
          <w:rFonts w:ascii="Times New Roman" w:hAnsi="Times New Roman" w:cs="Times New Roman"/>
          <w:b/>
          <w:color w:val="auto"/>
          <w:sz w:val="24"/>
          <w:lang w:val="fr-BE"/>
        </w:rPr>
        <w:t xml:space="preserve"> </w:t>
      </w:r>
      <w:proofErr w:type="spellStart"/>
      <w:proofErr w:type="gramStart"/>
      <w:r w:rsidRPr="00DD0C4D">
        <w:rPr>
          <w:rFonts w:ascii="Times New Roman" w:hAnsi="Times New Roman" w:cs="Times New Roman"/>
          <w:b/>
          <w:color w:val="auto"/>
          <w:sz w:val="24"/>
          <w:lang w:val="fr-BE"/>
        </w:rPr>
        <w:t>exposures</w:t>
      </w:r>
      <w:proofErr w:type="spellEnd"/>
      <w:r w:rsidRPr="00DD0C4D">
        <w:rPr>
          <w:rFonts w:ascii="Times New Roman" w:hAnsi="Times New Roman" w:cs="Times New Roman"/>
          <w:b/>
          <w:color w:val="auto"/>
          <w:sz w:val="24"/>
          <w:lang w:val="fr-BE"/>
        </w:rPr>
        <w:t>:</w:t>
      </w:r>
      <w:proofErr w:type="gram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color w:val="auto"/>
          <w:sz w:val="24"/>
          <w:lang w:val="fr-BE"/>
        </w:rPr>
        <w:t>Fixed</w:t>
      </w:r>
      <w:proofErr w:type="spellEnd"/>
      <w:r w:rsidRPr="00DD0C4D">
        <w:rPr>
          <w:rFonts w:ascii="Times New Roman" w:hAnsi="Times New Roman" w:cs="Times New Roman"/>
          <w:color w:val="auto"/>
          <w:sz w:val="24"/>
          <w:lang w:val="fr-BE"/>
        </w:rPr>
        <w:t xml:space="preserve"> format</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(j) of Article 439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CCR6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proofErr w:type="spellStart"/>
            <w:r w:rsidRPr="00BC5D5C">
              <w:rPr>
                <w:rFonts w:ascii="Times New Roman" w:hAnsi="Times New Roman" w:cs="Times New Roman"/>
                <w:b/>
                <w:sz w:val="24"/>
              </w:rPr>
              <w:t>Notionals</w:t>
            </w:r>
            <w:proofErr w:type="spellEnd"/>
            <w:r w:rsidRPr="00BC5D5C">
              <w:rPr>
                <w:rFonts w:ascii="Times New Roman" w:hAnsi="Times New Roman" w:cs="Times New Roman"/>
                <w:b/>
                <w:sz w:val="24"/>
              </w:rPr>
              <w:t xml:space="preserve">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sidRPr="007F4CC8">
              <w:rPr>
                <w:rFonts w:ascii="Times New Roman" w:hAnsi="Times New Roman" w:cs="Times New Roman"/>
                <w:sz w:val="24"/>
              </w:rPr>
              <w:t>Sum of absolute notional derivative amounts before any netting broken down by product type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Fair values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sidRPr="007F4CC8">
              <w:rPr>
                <w:rFonts w:ascii="Times New Roman" w:hAnsi="Times New Roman" w:cs="Times New Roman"/>
                <w:sz w:val="24"/>
              </w:rPr>
              <w:t>Fair values broken down by assets (positive fair values) and liabilities (negative fair values)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sidRPr="00BC5D5C">
              <w:rPr>
                <w:rFonts w:ascii="Times New Roman" w:hAnsi="Times New Roman" w:cs="Times New Roman"/>
                <w:b/>
                <w:color w:val="000000"/>
                <w:sz w:val="24"/>
              </w:rPr>
              <w:t xml:space="preserve">Credit derivative </w:t>
            </w:r>
            <w:proofErr w:type="gramStart"/>
            <w:r w:rsidRPr="00BC5D5C">
              <w:rPr>
                <w:rFonts w:ascii="Times New Roman" w:hAnsi="Times New Roman" w:cs="Times New Roman"/>
                <w:b/>
                <w:color w:val="000000"/>
                <w:sz w:val="24"/>
              </w:rPr>
              <w:t>protection</w:t>
            </w:r>
            <w:proofErr w:type="gramEnd"/>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sidRPr="007F4CC8">
              <w:rPr>
                <w:rFonts w:ascii="Times New Roman" w:hAnsi="Times New Roman" w:cs="Times New Roman"/>
                <w:color w:val="000000"/>
                <w:sz w:val="24"/>
              </w:rPr>
              <w:t xml:space="preserve">Credit derivative protection bought or sold in accordance with </w:t>
            </w:r>
            <w:r w:rsidRPr="007F4CC8">
              <w:rPr>
                <w:rFonts w:ascii="Times New Roman" w:hAnsi="Times New Roman"/>
                <w:sz w:val="24"/>
              </w:rPr>
              <w:t xml:space="preserve">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hAnsi="Times New Roman"/>
                <w:sz w:val="24"/>
              </w:rPr>
              <w:t>.</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CCR7 - RWEA flow statements of CCR exposures under the IMM: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format</w:t>
      </w:r>
      <w:proofErr w:type="gramEnd"/>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(h) of Article 438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CCR7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using the IMM to compute risk weighted exposure amounts for all or part of their CCR exposures in accordance with </w:t>
      </w:r>
      <w:r w:rsidRPr="007F4CC8">
        <w:rPr>
          <w:rFonts w:ascii="Times New Roman" w:hAnsi="Times New Roman"/>
          <w:color w:val="auto"/>
          <w:sz w:val="24"/>
          <w:lang w:val="en-GB"/>
        </w:rPr>
        <w:t xml:space="preserve">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irrespective of the credit risk approach used to determine the corresponding risk weights shall disclose a flow statement explaining changes in risk weighted exposure amounts of derivatives and SFTs in the IMM scope differentiated by key drivers and based on reasonable estimations.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This template excludes risk weighted exposure amounts for CVA risk (Title VI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 xml:space="preserve">) and exposures to a central counterparty (Section 9 of 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auto"/>
          <w:sz w:val="24"/>
          <w:lang w:val="en-GB" w:eastAsia="en-GB"/>
        </w:rPr>
        <w:t>).</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olor w:val="auto"/>
          <w:sz w:val="24"/>
          <w:lang w:val="en-GB" w:eastAsia="ja-JP"/>
        </w:rPr>
        <w:t xml:space="preserve">isk-weighted exposure amounts at the end of the </w:t>
      </w:r>
      <w:r>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9 of this template) and the r</w:t>
      </w:r>
      <w:r w:rsidRPr="007F4CC8">
        <w:rPr>
          <w:rFonts w:ascii="Times New Roman" w:hAnsi="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of this template; in the case of quarterly disclosures, end-of-quarter prior to the quarter </w:t>
      </w:r>
      <w:r>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lang w:val="en-GB"/>
        </w:rPr>
      </w:pPr>
      <w:r w:rsidRPr="007F4CC8">
        <w:rPr>
          <w:rFonts w:ascii="Times New Roman" w:hAnsi="Times New Roman"/>
          <w:color w:val="auto"/>
          <w:sz w:val="24"/>
          <w:lang w:val="en-GB"/>
        </w:rPr>
        <w:t>Institutions shall explain in the accompanying narrative to the template the figures disclosed in row 8 of this template, i.e. any other drivers that contribute significantly to RWEA variations.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lastRenderedPageBreak/>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previous disclosure period</w:t>
            </w:r>
          </w:p>
          <w:p w14:paraId="7F1BADF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Risk weighted exposure amounts for CCR exposures under the IMM as at the end of the previous disclosure period</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Asset size</w:t>
            </w:r>
          </w:p>
          <w:p w14:paraId="07D133F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organic changes in book size and composition (including the origination of new businesses and maturing exposures) but excluding changes in book size due to acquisitions and disposal of entities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Credit quality of counterparties</w:t>
            </w:r>
          </w:p>
          <w:p w14:paraId="70A7587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RWEA changes (positive or negative) due to changes in the assessed quality of the institution’s counterparties as measured under the credit risk framework, whatever approach the institution </w:t>
            </w:r>
            <w:proofErr w:type="gramStart"/>
            <w:r w:rsidRPr="007F4CC8">
              <w:rPr>
                <w:rFonts w:ascii="Times New Roman" w:hAnsi="Times New Roman" w:cs="Times New Roman"/>
                <w:sz w:val="24"/>
              </w:rPr>
              <w:t>uses</w:t>
            </w:r>
            <w:proofErr w:type="gramEnd"/>
          </w:p>
          <w:p w14:paraId="5EFAE89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include potential RWEA changes due to IRB models when the institution uses an IRB approach.</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Model updates (IMM only)</w:t>
            </w:r>
          </w:p>
          <w:p w14:paraId="5830872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RWEA changes (positive or negative) due to model implementation, changes in model scope, or any changes intended to address model </w:t>
            </w:r>
            <w:proofErr w:type="gramStart"/>
            <w:r w:rsidRPr="007F4CC8">
              <w:rPr>
                <w:rFonts w:ascii="Times New Roman" w:hAnsi="Times New Roman" w:cs="Times New Roman"/>
                <w:sz w:val="24"/>
              </w:rPr>
              <w:t>weaknesses</w:t>
            </w:r>
            <w:proofErr w:type="gramEnd"/>
          </w:p>
          <w:p w14:paraId="58BDFEF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reflect only changes in the 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Methodology and policy (IMM only)</w:t>
            </w:r>
          </w:p>
          <w:p w14:paraId="046BC00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methodological changes in calculations driven by regulatory policy changes, such as new regulations (only in the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Acquisitions and disposals</w:t>
            </w:r>
          </w:p>
          <w:p w14:paraId="07E040C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book sizes due to acquisitions and disposal of entities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Foreign exchange movements</w:t>
            </w:r>
          </w:p>
          <w:p w14:paraId="2A24384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arising from foreign currency translation movements</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Other</w:t>
            </w:r>
          </w:p>
          <w:p w14:paraId="5893661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category shall be used to capture RWEA changes (positive or negative) that cannot be attributed to the above categories. Institutions shall include the sum of these RWEA changes in this row. Institutions shall further describe any other material drivers of risk weighted amounts movements over the disclosure period in the accompanying narrative for this template.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current disclosure period</w:t>
            </w:r>
          </w:p>
          <w:p w14:paraId="1EF927DE" w14:textId="77777777" w:rsidR="00F43911" w:rsidRPr="007F4CC8" w:rsidRDefault="00F43911" w:rsidP="004F3087">
            <w:pPr>
              <w:spacing w:after="240"/>
              <w:jc w:val="both"/>
              <w:rPr>
                <w:rFonts w:ascii="Times New Roman" w:hAnsi="Times New Roman" w:cs="Times New Roman"/>
                <w:i/>
                <w:sz w:val="24"/>
              </w:rPr>
            </w:pPr>
            <w:r w:rsidRPr="007F4CC8">
              <w:rPr>
                <w:rFonts w:ascii="Times New Roman" w:hAnsi="Times New Roman" w:cs="Times New Roman"/>
                <w:sz w:val="24"/>
              </w:rPr>
              <w:t>Risk weighted exposure amounts for CCR exposures under the IMM as at the end of the current disclosure period</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sidRPr="005947B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Explanation</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CCR8 - Exposures to CCPs: </w:t>
      </w:r>
      <w:r w:rsidRPr="007F4CC8">
        <w:rPr>
          <w:rFonts w:ascii="Times New Roman" w:hAnsi="Times New Roman" w:cs="Times New Roman"/>
          <w:color w:val="auto"/>
          <w:sz w:val="24"/>
          <w:lang w:val="en-GB"/>
        </w:rPr>
        <w:t xml:space="preserve">Fixed </w:t>
      </w:r>
      <w:proofErr w:type="gramStart"/>
      <w:r w:rsidRPr="007F4CC8">
        <w:rPr>
          <w:rFonts w:ascii="Times New Roman" w:hAnsi="Times New Roman" w:cs="Times New Roman"/>
          <w:color w:val="auto"/>
          <w:sz w:val="24"/>
          <w:lang w:val="en-GB"/>
        </w:rPr>
        <w:t>format</w:t>
      </w:r>
      <w:proofErr w:type="gramEnd"/>
      <w:r w:rsidRPr="007F4CC8">
        <w:rPr>
          <w:rFonts w:ascii="Times New Roman" w:hAnsi="Times New Roman" w:cs="Times New Roman"/>
          <w:b/>
          <w:color w:val="auto"/>
          <w:sz w:val="24"/>
          <w:lang w:val="en-GB"/>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(i) of Article 439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CCR8 which is presented in Annex XXV </w:t>
      </w:r>
      <w:r w:rsidR="00D50CDF" w:rsidRPr="00D50CDF">
        <w:rPr>
          <w:rFonts w:ascii="Times New Roman" w:eastAsiaTheme="minorEastAsia" w:hAnsi="Times New Roman" w:cs="Times New Roman"/>
          <w:bCs w:val="0"/>
          <w:color w:val="000000"/>
          <w:sz w:val="24"/>
          <w:lang w:val="en-GB" w:eastAsia="en-GB"/>
        </w:rPr>
        <w:t>of the EBA IT solutions</w:t>
      </w:r>
      <w:r w:rsidRPr="007F4CC8">
        <w:rPr>
          <w:rFonts w:ascii="Times New Roman" w:eastAsiaTheme="minorEastAsia" w:hAnsi="Times New Roman" w:cs="Times New Roman"/>
          <w:bCs w:val="0"/>
          <w:color w:val="000000"/>
          <w:sz w:val="24"/>
          <w:lang w:val="en-GB" w:eastAsia="en-GB"/>
        </w:rPr>
        <w:t>.</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eastAsia="en-GB"/>
        </w:rPr>
        <w:t xml:space="preserve">Exposures to CCPs: Contracts and transactions listed in Article 301(1)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for </w:t>
      </w:r>
      <w:proofErr w:type="gramStart"/>
      <w:r w:rsidRPr="007F4CC8">
        <w:rPr>
          <w:rFonts w:ascii="Times New Roman" w:eastAsiaTheme="minorEastAsia" w:hAnsi="Times New Roman" w:cs="Times New Roman"/>
          <w:bCs w:val="0"/>
          <w:color w:val="000000"/>
          <w:sz w:val="24"/>
          <w:lang w:val="en-GB" w:eastAsia="en-GB"/>
        </w:rPr>
        <w:t>as long as</w:t>
      </w:r>
      <w:proofErr w:type="gramEnd"/>
      <w:r w:rsidRPr="007F4CC8">
        <w:rPr>
          <w:rFonts w:ascii="Times New Roman" w:eastAsiaTheme="minorEastAsia" w:hAnsi="Times New Roman" w:cs="Times New Roman"/>
          <w:bCs w:val="0"/>
          <w:color w:val="000000"/>
          <w:sz w:val="24"/>
          <w:lang w:val="en-GB" w:eastAsia="en-GB"/>
        </w:rPr>
        <w:t xml:space="preserve"> they are outstanding with a CCP, including exposures to CCP-related transactions in accordance with Article 300(2)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for which the own funds requirements are calculated in accordance with Section 9 of Chapter 6 of Title II of Part Three </w:t>
      </w: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r w:rsidRPr="007F4CC8">
        <w:rPr>
          <w:rFonts w:ascii="Times New Roman" w:eastAsiaTheme="minorEastAsia" w:hAnsi="Times New Roman" w:cs="Times New Roman"/>
          <w:bCs w:val="0"/>
          <w:color w:val="000000"/>
          <w:sz w:val="24"/>
          <w:lang w:val="en-GB" w:eastAsia="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bCs/>
                <w:sz w:val="24"/>
                <w:lang w:eastAsia="en-CA"/>
              </w:rPr>
              <w:t xml:space="preserve">Qualifying CCP </w:t>
            </w:r>
            <w:r w:rsidRPr="005947B9">
              <w:rPr>
                <w:rFonts w:ascii="Times New Roman" w:eastAsia="Times New Roman" w:hAnsi="Times New Roman" w:cs="Times New Roman"/>
                <w:b/>
                <w:sz w:val="24"/>
                <w:lang w:eastAsia="en-CA"/>
              </w:rPr>
              <w:t>(QCCP)</w:t>
            </w:r>
          </w:p>
          <w:p w14:paraId="7D977D34" w14:textId="54340F62"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A qualifying central counterparty or “QCCP” as defined in point (88)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00532BBF">
              <w:rPr>
                <w:rFonts w:ascii="Times New Roman" w:eastAsia="Times New Roman" w:hAnsi="Times New Roman" w:cs="Times New Roman"/>
                <w:sz w:val="24"/>
                <w:lang w:eastAsia="en-CA"/>
              </w:rPr>
              <w:t>.</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and 8</w:t>
            </w:r>
          </w:p>
          <w:p w14:paraId="1BD08955" w14:textId="77777777" w:rsidR="00F43911" w:rsidRPr="007F4CC8" w:rsidRDefault="00F43911" w:rsidP="004F3087">
            <w:pPr>
              <w:pStyle w:val="Fait"/>
              <w:spacing w:before="0" w:after="240"/>
              <w:jc w:val="center"/>
            </w:pPr>
            <w:r>
              <w:t>17 and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lang w:eastAsia="en-CA"/>
              </w:rPr>
            </w:pPr>
            <w:r w:rsidRPr="005947B9">
              <w:rPr>
                <w:rFonts w:ascii="Times New Roman" w:eastAsia="Times New Roman" w:hAnsi="Times New Roman" w:cs="Times New Roman"/>
                <w:b/>
                <w:bCs/>
                <w:sz w:val="24"/>
                <w:lang w:eastAsia="en-CA"/>
              </w:rPr>
              <w:t>Initial margin</w:t>
            </w:r>
          </w:p>
          <w:p w14:paraId="3C76FA21" w14:textId="6C3EFE50"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Institutions shall disclose the fair values of collateral received or posted as initial margin defined in point (140)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lastRenderedPageBreak/>
              <w:t>9 and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Prefunded default fund contributions</w:t>
            </w:r>
          </w:p>
          <w:p w14:paraId="2980A8E2" w14:textId="77777777"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The contribution to the default fund of a CCP that is paid in by the </w:t>
            </w:r>
            <w:proofErr w:type="gramStart"/>
            <w:r w:rsidRPr="007F4CC8">
              <w:rPr>
                <w:rFonts w:ascii="Times New Roman" w:eastAsia="Times New Roman" w:hAnsi="Times New Roman" w:cs="Times New Roman"/>
                <w:sz w:val="24"/>
                <w:lang w:eastAsia="en-CA"/>
              </w:rPr>
              <w:t>institutions</w:t>
            </w:r>
            <w:proofErr w:type="gramEnd"/>
          </w:p>
          <w:p w14:paraId="47DBAB7C" w14:textId="47AF297D"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‘Default fund’ is defined in point (89)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Unfunded default fund contributions</w:t>
            </w:r>
          </w:p>
          <w:p w14:paraId="32104DB8" w14:textId="25D785F1"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‘Default fund’ is defined in point (89)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CA"/>
              </w:rPr>
              <w:t>.</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and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Segregated</w:t>
            </w:r>
          </w:p>
          <w:p w14:paraId="77E9C42E"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and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Unsegregated</w:t>
            </w:r>
          </w:p>
          <w:p w14:paraId="33E34E6A"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lang w:eastAsia="en-GB"/>
              </w:rPr>
            </w:pPr>
            <w:r w:rsidRPr="005947B9">
              <w:rPr>
                <w:rFonts w:ascii="Times New Roman" w:eastAsia="Times New Roman" w:hAnsi="Times New Roman" w:cs="Times New Roman"/>
                <w:b/>
                <w:sz w:val="24"/>
                <w:lang w:eastAsia="en-GB"/>
              </w:rPr>
              <w:t>Exposure value</w:t>
            </w:r>
          </w:p>
          <w:p w14:paraId="35A19512" w14:textId="30257E7C" w:rsidR="00F43911" w:rsidRPr="007F4CC8" w:rsidRDefault="00F43911" w:rsidP="004F3087">
            <w:pPr>
              <w:keepNext/>
              <w:spacing w:after="24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Exposure value calculated in accordance with the methods laid down in </w:t>
            </w:r>
            <w:r w:rsidRPr="007F4CC8">
              <w:rPr>
                <w:rFonts w:ascii="Times New Roman" w:hAnsi="Times New Roman"/>
                <w:sz w:val="24"/>
              </w:rPr>
              <w:t xml:space="preserve">Chapters 4 and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for transactions in the scope of 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 after the application of the relevant adjustments provided for by Articles 304, 306 and 308 of that </w:t>
            </w:r>
            <w:proofErr w:type="gramStart"/>
            <w:r w:rsidRPr="007F4CC8">
              <w:rPr>
                <w:rFonts w:ascii="Times New Roman" w:eastAsia="Times New Roman" w:hAnsi="Times New Roman" w:cs="Times New Roman"/>
                <w:sz w:val="24"/>
                <w:lang w:eastAsia="en-GB"/>
              </w:rPr>
              <w:t>section</w:t>
            </w:r>
            <w:proofErr w:type="gramEnd"/>
            <w:r w:rsidRPr="007F4CC8">
              <w:rPr>
                <w:rFonts w:ascii="Times New Roman" w:eastAsia="Times New Roman" w:hAnsi="Times New Roman" w:cs="Times New Roman"/>
                <w:sz w:val="24"/>
                <w:lang w:eastAsia="en-GB"/>
              </w:rPr>
              <w:t xml:space="preserve">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GB"/>
              </w:rPr>
              <w:t xml:space="preserve">An exposure can be a trade exposure, as defined in point (91) of Article 4(1)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The disclosed exposure value is the amount relevant for the own funds requirements calculation in accordance with</w:t>
            </w:r>
            <w:r w:rsidRPr="007F4CC8">
              <w:rPr>
                <w:rFonts w:ascii="Times New Roman" w:hAnsi="Times New Roman" w:cs="Times New Roman"/>
                <w:sz w:val="24"/>
              </w:rPr>
              <w:t xml:space="preserve"> </w:t>
            </w:r>
            <w:r w:rsidRPr="007F4CC8">
              <w:rPr>
                <w:rFonts w:ascii="Times New Roman" w:eastAsia="Times New Roman" w:hAnsi="Times New Roman" w:cs="Times New Roman"/>
                <w:sz w:val="24"/>
                <w:lang w:eastAsia="en-GB"/>
              </w:rPr>
              <w:t xml:space="preserve">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 xml:space="preserve">, considering the requirements in Article 497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during the transitional period provided for by that Article.</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hAnsi="Times New Roman" w:cs="Times New Roman"/>
                <w:sz w:val="24"/>
              </w:rPr>
              <w:t xml:space="preserve">Risk weighted exposure amounts referred to in point (a) of Article 92(3)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hAnsi="Times New Roman" w:cs="Times New Roman"/>
                <w:color w:val="000000"/>
                <w:sz w:val="24"/>
              </w:rPr>
              <w:t xml:space="preserve">calculated </w:t>
            </w:r>
            <w:r w:rsidRPr="007F4CC8">
              <w:rPr>
                <w:rFonts w:ascii="Times New Roman" w:hAnsi="Times New Roman" w:cs="Times New Roman"/>
                <w:sz w:val="24"/>
              </w:rPr>
              <w:t xml:space="preserve">in accordance with Article 107 of </w:t>
            </w:r>
            <w:r w:rsidRPr="007F4CC8">
              <w:rPr>
                <w:rFonts w:ascii="Times New Roman" w:eastAsia="Times New Roman" w:hAnsi="Times New Roman" w:cs="Times New Roman"/>
                <w:sz w:val="24"/>
                <w:lang w:eastAsia="en-GB"/>
              </w:rPr>
              <w:t xml:space="preserve">Section 9 of Chapter 6 of Title II of Part Three </w:t>
            </w: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r w:rsidRPr="007F4CC8">
              <w:rPr>
                <w:rFonts w:ascii="Times New Roman" w:eastAsia="Times New Roman" w:hAnsi="Times New Roman" w:cs="Times New Roman"/>
                <w:sz w:val="24"/>
                <w:lang w:eastAsia="en-GB"/>
              </w:rPr>
              <w:t>.</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58E1AD5A" w:rsidR="00F43911" w:rsidRPr="00222AAB" w:rsidRDefault="00F43911" w:rsidP="00F43911">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F743F2">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F743F2">
        <w:rPr>
          <w:color w:val="444444"/>
          <w:lang w:eastAsia="en-GB"/>
        </w:rPr>
        <w:t>(</w:t>
      </w:r>
      <w:hyperlink r:id="rId1" w:history="1">
        <w:r w:rsidR="00F743F2">
          <w:rPr>
            <w:rStyle w:val="Hyperlink"/>
            <w:color w:val="800080"/>
            <w:lang w:eastAsia="en-GB"/>
          </w:rPr>
          <w:t>OJ L 176, 27.6.2013, p. 1</w:t>
        </w:r>
      </w:hyperlink>
      <w:r w:rsidR="00F743F2">
        <w:rPr>
          <w:color w:val="800080"/>
          <w:u w:val="single"/>
          <w:lang w:eastAsia="en-GB"/>
        </w:rPr>
        <w:t xml:space="preserve">; </w:t>
      </w:r>
      <w:hyperlink r:id="rId2" w:history="1">
        <w:r w:rsidR="00F743F2">
          <w:rPr>
            <w:rStyle w:val="Hyperlink"/>
          </w:rPr>
          <w:t>Regulation - EU - 2024/1623 - EN - EUR-Lex (europa.eu)</w:t>
        </w:r>
      </w:hyperlink>
      <w:r w:rsidR="00F743F2">
        <w:rPr>
          <w:color w:val="444444"/>
          <w:lang w:eastAsia="en-GB"/>
        </w:rPr>
        <w:t>)</w:t>
      </w:r>
      <w:r w:rsidR="00F743F2">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F4391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en-US"/>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BE3AA5F0DE645896C0462F7C5D938" ma:contentTypeVersion="7" ma:contentTypeDescription="Create a new document." ma:contentTypeScope="" ma:versionID="355239983a1b24b7e880f918e2064881">
  <xsd:schema xmlns:xsd="http://www.w3.org/2001/XMLSchema" xmlns:xs="http://www.w3.org/2001/XMLSchema" xmlns:p="http://schemas.microsoft.com/office/2006/metadata/properties" xmlns:ns2="1d1fc3b4-c08a-409e-910a-1e7fd9ab0e83" xmlns:ns3="a3cbe3c2-7079-4fd0-87e5-1f3dddda4994" targetNamespace="http://schemas.microsoft.com/office/2006/metadata/properties" ma:root="true" ma:fieldsID="e8a3daea252bae8398e6ca82080f22ac" ns2:_="" ns3:_="">
    <xsd:import namespace="1d1fc3b4-c08a-409e-910a-1e7fd9ab0e83"/>
    <xsd:import namespace="a3cbe3c2-7079-4fd0-87e5-1f3dddda49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fc3b4-c08a-409e-910a-1e7fd9ab0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cbe3c2-7079-4fd0-87e5-1f3dddda49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82CBEC-801C-49FE-9FFF-9AFD62D27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fc3b4-c08a-409e-910a-1e7fd9ab0e83"/>
    <ds:schemaRef ds:uri="a3cbe3c2-7079-4fd0-87e5-1f3dddda4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3.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4741</Words>
  <Characters>27028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7</cp:revision>
  <dcterms:created xsi:type="dcterms:W3CDTF">2021-03-11T13:24:00Z</dcterms:created>
  <dcterms:modified xsi:type="dcterms:W3CDTF">2024-06-19T10:43:00Z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0x01010057DBE3AA5F0DE645896C0462F7C5D938</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ies>
</file>