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D20322" w:rsidRDefault="008E77DD" w:rsidP="008E77DD">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BFED7D8-E893-4A60-8929-FEEBB2CA794D" style="width:455.25pt;height:414pt">
            <v:imagedata r:id="rId11" o:title=""/>
          </v:shape>
        </w:pict>
      </w:r>
    </w:p>
    <w:p w:rsidR="0050796F" w:rsidRPr="00D20322" w:rsidRDefault="0050796F">
      <w:pPr>
        <w:rPr>
          <w:noProof/>
        </w:rPr>
        <w:sectPr w:rsidR="0050796F" w:rsidRPr="00D20322" w:rsidSect="008E77DD">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D20322" w:rsidRDefault="00D20322" w:rsidP="00D20322">
      <w:pPr>
        <w:pStyle w:val="Typedudocument"/>
        <w:rPr>
          <w:noProof/>
        </w:rPr>
      </w:pPr>
      <w:bookmarkStart w:id="0" w:name="_GoBack"/>
      <w:bookmarkEnd w:id="0"/>
      <w:r w:rsidRPr="00D20322">
        <w:rPr>
          <w:noProof/>
        </w:rPr>
        <w:lastRenderedPageBreak/>
        <w:t>IZVEDBENA UREDBA KOMISIJE (EU) …/…</w:t>
      </w:r>
    </w:p>
    <w:p w:rsidR="0050796F" w:rsidRPr="00D20322" w:rsidRDefault="0022044E" w:rsidP="00D20322">
      <w:pPr>
        <w:pStyle w:val="Datedadoption"/>
        <w:rPr>
          <w:noProof/>
        </w:rPr>
      </w:pPr>
      <w:r>
        <w:rPr>
          <w:noProof/>
        </w:rPr>
        <w:t>z dne 29.11.2024</w:t>
      </w:r>
    </w:p>
    <w:p w:rsidR="0050796F" w:rsidRPr="00D20322" w:rsidRDefault="00D20322" w:rsidP="00D20322">
      <w:pPr>
        <w:pStyle w:val="Titreobjet"/>
        <w:rPr>
          <w:noProof/>
        </w:rPr>
      </w:pPr>
      <w:r w:rsidRPr="00D20322">
        <w:rPr>
          <w:noProof/>
        </w:rPr>
        <w:t>o določitvi izvedbenih tehničnih standardov za uporabo Uredbe (EU) št. 575/2013 Evropskega parlamenta in Sveta v zvezi z javnim razkritjem informacij iz dela 8, naslova II in III, navedene uredbe s strani institucij ter razveljavitvi Izvedbene uredbe Komisije (EU) 2021/637</w:t>
      </w:r>
    </w:p>
    <w:p w:rsidR="0050796F" w:rsidRPr="00D20322" w:rsidRDefault="00D20322" w:rsidP="00D20322">
      <w:pPr>
        <w:pStyle w:val="IntrtEEE"/>
        <w:rPr>
          <w:noProof/>
        </w:rPr>
      </w:pPr>
      <w:r w:rsidRPr="00D20322">
        <w:rPr>
          <w:noProof/>
        </w:rPr>
        <w:t>(Besedilo velja za EGP)</w:t>
      </w:r>
    </w:p>
    <w:p w:rsidR="0050796F" w:rsidRPr="00D20322" w:rsidRDefault="0050796F">
      <w:pPr>
        <w:pStyle w:val="Institutionquiagit"/>
        <w:rPr>
          <w:noProof/>
        </w:rPr>
      </w:pPr>
      <w:r w:rsidRPr="00D20322">
        <w:rPr>
          <w:noProof/>
        </w:rPr>
        <w:t>EVROPSKA KOMISIJA JE –</w:t>
      </w:r>
    </w:p>
    <w:p w:rsidR="0050796F" w:rsidRPr="00D20322" w:rsidRDefault="0050796F">
      <w:pPr>
        <w:rPr>
          <w:noProof/>
        </w:rPr>
      </w:pPr>
      <w:r w:rsidRPr="00D20322">
        <w:rPr>
          <w:noProof/>
          <w:color w:val="000000"/>
        </w:rPr>
        <w:t>ob upoštevanju Pogodbe o delovanju Evropske unije</w:t>
      </w:r>
      <w:r w:rsidRPr="00D20322">
        <w:rPr>
          <w:noProof/>
        </w:rPr>
        <w:t>,</w:t>
      </w:r>
    </w:p>
    <w:p w:rsidR="000A5D79" w:rsidRPr="00D20322" w:rsidRDefault="000A5D79" w:rsidP="000A5D79">
      <w:pPr>
        <w:rPr>
          <w:noProof/>
        </w:rPr>
      </w:pPr>
      <w:r w:rsidRPr="00D20322">
        <w:rPr>
          <w:noProof/>
        </w:rPr>
        <w:t xml:space="preserve">ob upoštevanju Uredbe (EU) št. 575/2013 Evropskega parlamenta in Sveta z dne </w:t>
      </w:r>
      <w:r w:rsidRPr="00D20322">
        <w:rPr>
          <w:noProof/>
          <w:color w:val="000000"/>
        </w:rPr>
        <w:t>26. junija 2013</w:t>
      </w:r>
      <w:r w:rsidRPr="00D20322">
        <w:rPr>
          <w:noProof/>
        </w:rPr>
        <w:t xml:space="preserve"> o bonitetnih zahtevah za kreditne institucije in o spremembi Uredbe (EU) št. 648/2012</w:t>
      </w:r>
      <w:r w:rsidRPr="00D20322">
        <w:rPr>
          <w:rStyle w:val="FootnoteReference"/>
          <w:noProof/>
        </w:rPr>
        <w:footnoteReference w:id="2"/>
      </w:r>
      <w:r w:rsidRPr="00D20322">
        <w:rPr>
          <w:noProof/>
        </w:rPr>
        <w:t xml:space="preserve"> ter zlasti člena 434a, peti pododstavek, Uredbe,</w:t>
      </w:r>
    </w:p>
    <w:p w:rsidR="0050796F" w:rsidRPr="00D20322" w:rsidRDefault="0050796F">
      <w:pPr>
        <w:rPr>
          <w:noProof/>
        </w:rPr>
      </w:pPr>
      <w:r w:rsidRPr="00D20322">
        <w:rPr>
          <w:noProof/>
        </w:rPr>
        <w:t>ob upoštevanju naslednjega:</w:t>
      </w:r>
    </w:p>
    <w:p w:rsidR="00021AB3" w:rsidRPr="00D20322" w:rsidRDefault="006E56C2" w:rsidP="006E56C2">
      <w:pPr>
        <w:pStyle w:val="ManualConsidrant"/>
        <w:rPr>
          <w:noProof/>
        </w:rPr>
      </w:pPr>
      <w:r w:rsidRPr="006E56C2">
        <w:rPr>
          <w:noProof/>
        </w:rPr>
        <w:t>(1)</w:t>
      </w:r>
      <w:r w:rsidRPr="006E56C2">
        <w:rPr>
          <w:noProof/>
        </w:rPr>
        <w:tab/>
      </w:r>
      <w:r w:rsidR="00021AB3" w:rsidRPr="00D20322">
        <w:rPr>
          <w:noProof/>
        </w:rPr>
        <w:t>Z Izvedbeno uredbo Komisije (EU) 2021/637</w:t>
      </w:r>
      <w:r w:rsidR="00021AB3" w:rsidRPr="00D20322">
        <w:rPr>
          <w:rStyle w:val="FootnoteReference"/>
          <w:noProof/>
        </w:rPr>
        <w:footnoteReference w:id="3"/>
      </w:r>
      <w:r w:rsidR="00021AB3" w:rsidRPr="00D20322">
        <w:rPr>
          <w:noProof/>
        </w:rPr>
        <w:t xml:space="preserve"> so bili določeni enotni obrazci za razkritja za zagotovitev enotnega izvajanja Uredbe (EU) št. 575/2013. Z Uredbo (EU) 2024/1623 Evropskega parlamenta in Sveta</w:t>
      </w:r>
      <w:r w:rsidR="00021AB3" w:rsidRPr="00D20322">
        <w:rPr>
          <w:rStyle w:val="FootnoteReference"/>
          <w:noProof/>
        </w:rPr>
        <w:footnoteReference w:id="4"/>
      </w:r>
      <w:r w:rsidR="00021AB3" w:rsidRPr="00D20322">
        <w:rPr>
          <w:noProof/>
        </w:rPr>
        <w:t xml:space="preserve"> se je spremenila Uredba (EU) št. 575/2013, da bi se v navedeno uredbo vključili mednarodni standardi tretjega mednarodnega regulativnega okvira za banke Baselskega odbora za bančni nadzor (v nadaljnjem besedilu: standardi Basel III). Ti mednarodni standardi vsebujejo standarde za bonitetna razkritja za izboljšanje preglednosti in doslednosti na področju bonitetnih zahtev za kreditne institucije. Zato je treba spremeniti pravila o enotnih obrazcih za razkritja, da bodo odražala navedene spremembe v specifikacijah v zvezi z obveznostmi razkritja. </w:t>
      </w:r>
    </w:p>
    <w:p w:rsidR="000B02C7" w:rsidRPr="00D20322" w:rsidRDefault="006E56C2" w:rsidP="006E56C2">
      <w:pPr>
        <w:pStyle w:val="ManualConsidrant"/>
        <w:rPr>
          <w:noProof/>
        </w:rPr>
      </w:pPr>
      <w:r w:rsidRPr="006E56C2">
        <w:rPr>
          <w:noProof/>
        </w:rPr>
        <w:t>(2)</w:t>
      </w:r>
      <w:r w:rsidRPr="006E56C2">
        <w:rPr>
          <w:noProof/>
        </w:rPr>
        <w:tab/>
      </w:r>
      <w:r w:rsidR="00374932" w:rsidRPr="00D20322">
        <w:rPr>
          <w:noProof/>
        </w:rPr>
        <w:t xml:space="preserve">Razkritje informacij o ključnih regulativnih metrikah institucij bi moralo vključevati razkritje razpoložljivega kapitala institucije, njenih tveganju prilagojenih sredstev, njenega finančnega vzvoda in najpomembnejših metrik likvidnosti. </w:t>
      </w:r>
    </w:p>
    <w:p w:rsidR="009D26D8" w:rsidRPr="00D20322" w:rsidRDefault="006E56C2" w:rsidP="006E56C2">
      <w:pPr>
        <w:pStyle w:val="ManualConsidrant"/>
        <w:rPr>
          <w:noProof/>
        </w:rPr>
      </w:pPr>
      <w:r w:rsidRPr="006E56C2">
        <w:rPr>
          <w:noProof/>
        </w:rPr>
        <w:t>(3)</w:t>
      </w:r>
      <w:r w:rsidRPr="006E56C2">
        <w:rPr>
          <w:noProof/>
        </w:rPr>
        <w:tab/>
      </w:r>
      <w:r w:rsidR="0021307C" w:rsidRPr="00D20322">
        <w:rPr>
          <w:noProof/>
        </w:rPr>
        <w:t xml:space="preserve">Da bi institucije lahko pokrile izgube v primeru nadaljevanja ali prenehanja delovanja podjetja, potrebujejo zadosten kapital zadostne kakovosti, kot se zahteva v členu 92 Uredbe (EU) št. 575/2013. Institucije bi morale razkriti informacije o sestavi, količini in kakovosti kapitala, da bi lahko deležniki ocenili sposobnost bank za pokrivanje izgub. </w:t>
      </w:r>
    </w:p>
    <w:p w:rsidR="008E4ACA" w:rsidRPr="00D20322" w:rsidRDefault="006E56C2" w:rsidP="006E56C2">
      <w:pPr>
        <w:pStyle w:val="ManualConsidrant"/>
        <w:rPr>
          <w:noProof/>
        </w:rPr>
      </w:pPr>
      <w:r w:rsidRPr="006E56C2">
        <w:rPr>
          <w:noProof/>
        </w:rPr>
        <w:t>(4)</w:t>
      </w:r>
      <w:r w:rsidRPr="006E56C2">
        <w:rPr>
          <w:noProof/>
        </w:rPr>
        <w:tab/>
      </w:r>
      <w:r w:rsidR="001C319D" w:rsidRPr="00D20322">
        <w:rPr>
          <w:noProof/>
        </w:rPr>
        <w:t>Razkritje izpolnjevanja zahteve po proticikličnem kapitalskem blažilniku bi moralo odražati dejstvo, da je cilj proticikličnega kapitalskega blažilnika iz poglavja 4 naslova VII Direktive 2013/36/EU Evropskega parlamenta in Sveta</w:t>
      </w:r>
      <w:r w:rsidR="001C319D" w:rsidRPr="00D20322">
        <w:rPr>
          <w:rStyle w:val="FootnoteReference"/>
          <w:noProof/>
          <w:color w:val="000000"/>
        </w:rPr>
        <w:footnoteReference w:id="5"/>
      </w:r>
      <w:r w:rsidR="001C319D" w:rsidRPr="00D20322">
        <w:rPr>
          <w:noProof/>
        </w:rPr>
        <w:t xml:space="preserve"> zagotoviti, da se pri kapitalskih zahtevah za bančni sektor upošteva makrofinančno okolje, v katerem delujejo kreditne institucije. </w:t>
      </w:r>
    </w:p>
    <w:p w:rsidR="005246AE" w:rsidRPr="00D20322" w:rsidRDefault="006E56C2" w:rsidP="006E56C2">
      <w:pPr>
        <w:pStyle w:val="ManualConsidrant"/>
        <w:rPr>
          <w:noProof/>
        </w:rPr>
      </w:pPr>
      <w:r w:rsidRPr="006E56C2">
        <w:rPr>
          <w:noProof/>
        </w:rPr>
        <w:t>(5)</w:t>
      </w:r>
      <w:r w:rsidRPr="006E56C2">
        <w:rPr>
          <w:noProof/>
        </w:rPr>
        <w:tab/>
      </w:r>
      <w:r w:rsidR="00230BAF" w:rsidRPr="00D20322">
        <w:rPr>
          <w:noProof/>
        </w:rPr>
        <w:t xml:space="preserve">Bistveno je, da ima trg dostop do informacij o tem, ali bi bilo treba institucijo razvrstiti med </w:t>
      </w:r>
      <w:r w:rsidR="00230BAF" w:rsidRPr="00D20322">
        <w:rPr>
          <w:noProof/>
          <w:shd w:val="clear" w:color="auto" w:fill="FFFFFF"/>
        </w:rPr>
        <w:t xml:space="preserve">globalne sistemsko pomembne institucije (GSPI). Zato bi morale institucije razkriti informacije o tem, ali so kazalniki pomembnosti iz člena 131 Direktive 2013/36/EU doseženi ali ne. </w:t>
      </w:r>
    </w:p>
    <w:p w:rsidR="00AD2682" w:rsidRPr="00D20322" w:rsidRDefault="006E56C2" w:rsidP="006E56C2">
      <w:pPr>
        <w:pStyle w:val="ManualConsidrant"/>
        <w:rPr>
          <w:noProof/>
        </w:rPr>
      </w:pPr>
      <w:r w:rsidRPr="006E56C2">
        <w:rPr>
          <w:noProof/>
        </w:rPr>
        <w:t>(6)</w:t>
      </w:r>
      <w:r w:rsidRPr="006E56C2">
        <w:rPr>
          <w:noProof/>
        </w:rPr>
        <w:tab/>
      </w:r>
      <w:r w:rsidR="001C319D" w:rsidRPr="00D20322">
        <w:rPr>
          <w:noProof/>
        </w:rPr>
        <w:t xml:space="preserve">Določiti bi bilo treba enotne predloge za zagotovitev, da institucije na enoten in primerljiv način razkrivajo informacije o izpolnjevanju likvidnostnih zahtev, vključno s količnikom likvidnostnega kritja in količnikom neto stabilnega financiranja. </w:t>
      </w:r>
    </w:p>
    <w:p w:rsidR="000A5D79" w:rsidRPr="00D20322" w:rsidRDefault="006E56C2" w:rsidP="006E56C2">
      <w:pPr>
        <w:pStyle w:val="ManualConsidrant"/>
        <w:rPr>
          <w:noProof/>
          <w:szCs w:val="24"/>
        </w:rPr>
      </w:pPr>
      <w:r w:rsidRPr="006E56C2">
        <w:rPr>
          <w:noProof/>
        </w:rPr>
        <w:t>(7)</w:t>
      </w:r>
      <w:r w:rsidRPr="006E56C2">
        <w:rPr>
          <w:noProof/>
        </w:rPr>
        <w:tab/>
      </w:r>
      <w:r w:rsidR="00E07BF3" w:rsidRPr="00D20322">
        <w:rPr>
          <w:noProof/>
        </w:rPr>
        <w:t>Zagotoviti je treba skladnost in doslednost med obveznostmi poročanja iz Uredbe (EU) št. 575/2013 in drugo zakonodajo Unije na področju okoljskih, socialnih in upravljavskih tveganj, zlasti Uredbo (EU) 2020/852 Evropskega parlamenta in Sveta</w:t>
      </w:r>
      <w:r w:rsidR="00E07BF3" w:rsidRPr="00D20322">
        <w:rPr>
          <w:rStyle w:val="FootnoteReference"/>
          <w:noProof/>
          <w:szCs w:val="24"/>
        </w:rPr>
        <w:footnoteReference w:id="6"/>
      </w:r>
      <w:r w:rsidR="00E07BF3" w:rsidRPr="00D20322">
        <w:rPr>
          <w:noProof/>
        </w:rPr>
        <w:t>. V pravilih o razkritju okoljskih, socialnih in upravljavskih tveganj bi se zato morali upoštevati merila, razvrstitve in opredelitve iz členov 2 in 3 Uredbe (EU) 2020/852. V teh pravilih bi se morala zlasti upoštevati merila za opredelitev in razvrstitev okoljsko trajnostnih gospodarskih dejavnosti, kot so določena v Uredbi (EU) 2020/852 in Delegirani uredbi Komisije (EU) 2020/1818</w:t>
      </w:r>
      <w:r w:rsidR="00E07BF3" w:rsidRPr="00D20322">
        <w:rPr>
          <w:rStyle w:val="FootnoteReference"/>
          <w:noProof/>
          <w:szCs w:val="24"/>
        </w:rPr>
        <w:footnoteReference w:id="7"/>
      </w:r>
      <w:r w:rsidR="00E07BF3" w:rsidRPr="00D20322">
        <w:rPr>
          <w:noProof/>
        </w:rPr>
        <w:t>. Iz istega razloga bi morale institucije pri razkrivanju informacij o energijski učinkovitosti svojega nepremičninskega portfelja te informacije zagotoviti v obliki energijske izkaznice, kot je opredeljena v členu 2, točka 12, Direktive 2010/31/EU Evropskega parlamenta in Sveta</w:t>
      </w:r>
      <w:r w:rsidR="00E07BF3" w:rsidRPr="00D20322">
        <w:rPr>
          <w:rStyle w:val="FootnoteReference"/>
          <w:noProof/>
          <w:szCs w:val="24"/>
        </w:rPr>
        <w:footnoteReference w:id="8"/>
      </w:r>
      <w:r w:rsidR="00E07BF3" w:rsidRPr="00D20322">
        <w:rPr>
          <w:noProof/>
        </w:rPr>
        <w:t xml:space="preserve">. </w:t>
      </w:r>
    </w:p>
    <w:p w:rsidR="000A5D79" w:rsidRPr="00D20322" w:rsidRDefault="006E56C2" w:rsidP="006E56C2">
      <w:pPr>
        <w:pStyle w:val="ManualConsidrant"/>
        <w:rPr>
          <w:noProof/>
          <w:szCs w:val="24"/>
        </w:rPr>
      </w:pPr>
      <w:r w:rsidRPr="006E56C2">
        <w:rPr>
          <w:noProof/>
        </w:rPr>
        <w:t>(8)</w:t>
      </w:r>
      <w:r w:rsidRPr="006E56C2">
        <w:rPr>
          <w:noProof/>
        </w:rPr>
        <w:tab/>
      </w:r>
      <w:r w:rsidR="000A5D79" w:rsidRPr="00D20322">
        <w:rPr>
          <w:noProof/>
        </w:rPr>
        <w:t>Člena 19a in 29a Direktive 2013/34/EU Evropskega parlamenta in Sveta</w:t>
      </w:r>
      <w:r w:rsidR="000A5D79" w:rsidRPr="00D20322">
        <w:rPr>
          <w:rStyle w:val="FootnoteReference"/>
          <w:noProof/>
          <w:szCs w:val="24"/>
        </w:rPr>
        <w:footnoteReference w:id="9"/>
      </w:r>
      <w:r w:rsidR="000A5D79" w:rsidRPr="00D20322">
        <w:rPr>
          <w:noProof/>
        </w:rPr>
        <w:t xml:space="preserve"> zahtevata, da nekatera velika podjetja, ki so subjekti javnega interesa, oziroma subjekti javnega interesa, ki so obvladujoča podjetja velike skupine, v svoje poslovno poročilo ali konsolidirano poslovno poročilo vključijo informacije o učinku svojih dejavnosti na okoljske, socialne in kadrovske zadeve, spoštovanje človekovih pravic ter zadeve v zvezi z bojem proti korupciji in podkupovanju. Vendar ta obveznost ne velja za druga podjetja. Zato podjetjem, za katera ne veljata člena 19a in 29a Direktive 2013/34/EU, ni treba razkriti takih informacij in morda institucijam ne morejo zagotoviti takih informacij. Od teh podjetij, ki so nasprotne stranke institucij, se lahko torej pričakuje le prostovoljno zagotavljanje teh informacij in podatkov. </w:t>
      </w:r>
    </w:p>
    <w:p w:rsidR="003A1487" w:rsidRPr="00D20322" w:rsidRDefault="006E56C2" w:rsidP="006E56C2">
      <w:pPr>
        <w:pStyle w:val="ManualConsidrant"/>
        <w:rPr>
          <w:noProof/>
          <w:color w:val="000000"/>
          <w:szCs w:val="24"/>
        </w:rPr>
      </w:pPr>
      <w:r w:rsidRPr="006E56C2">
        <w:rPr>
          <w:noProof/>
        </w:rPr>
        <w:t>(9)</w:t>
      </w:r>
      <w:r w:rsidRPr="006E56C2">
        <w:rPr>
          <w:noProof/>
        </w:rPr>
        <w:tab/>
      </w:r>
      <w:r w:rsidR="003A1487" w:rsidRPr="00D20322">
        <w:rPr>
          <w:rStyle w:val="cf11"/>
          <w:rFonts w:ascii="Times New Roman" w:hAnsi="Times New Roman"/>
          <w:noProof/>
          <w:sz w:val="24"/>
        </w:rPr>
        <w:t>Da bi se upoštevali standardi Basel III, je bila z Uredbo (EU) 2024/1623 v člen 92(3) Uredbe (EU) št. 575/2013 uvedena spodnja meja za kapitalske zahteve na podlagi tveganj, izračunane z uporabo notranjih modelov (v nadaljnjem besedilu: izstopni prag), ki je enaka odstotku kapitalskih zahtev, ki bi se uporabljal, če bi se uporabili standardizirani pristopi. Zato je primerno, da se spremembe odražajo v zadevnih predlogah za razkritja. Poleg tega bi bilo treba za zagotovitev primerjave med kapitalskimi količniki na podlagi tveganj, izračunanimi v skladu s standardiziranimi in notranje modeliranimi pristopi na ravni tveganja in pri kreditnem tveganju na ravni kategorij izpostavljenosti, uvesti dve novi predlogi za razkritja.</w:t>
      </w:r>
      <w:r w:rsidR="003A1487" w:rsidRPr="00D20322">
        <w:rPr>
          <w:noProof/>
          <w:color w:val="000000"/>
        </w:rPr>
        <w:t xml:space="preserve"> </w:t>
      </w:r>
    </w:p>
    <w:p w:rsidR="000A5D79" w:rsidRPr="00D20322" w:rsidRDefault="006E56C2" w:rsidP="006E56C2">
      <w:pPr>
        <w:pStyle w:val="ManualConsidrant"/>
        <w:rPr>
          <w:noProof/>
          <w:color w:val="000000"/>
        </w:rPr>
      </w:pPr>
      <w:r w:rsidRPr="006E56C2">
        <w:rPr>
          <w:noProof/>
        </w:rPr>
        <w:t>(10)</w:t>
      </w:r>
      <w:r w:rsidRPr="006E56C2">
        <w:rPr>
          <w:noProof/>
        </w:rPr>
        <w:tab/>
      </w:r>
      <w:r w:rsidR="000A5D79" w:rsidRPr="00D20322">
        <w:rPr>
          <w:noProof/>
        </w:rPr>
        <w:t xml:space="preserve">V zvezi z uporabo standardiziranega pristopa za kreditno tveganje je bila z Uredbo (EU) 2024/1623 v poglavje 2 naslova II Uredbe (EU) št. 575/2013 uvedena bolj razčlenjena obravnava različnih izpostavljenosti, tudi za izpostavljenosti do institucij, izpostavljenosti do podjetij, izpostavljenosti iz naslova posebnih kreditnih aranžmajev, izpostavljenosti na drobno, izpostavljenosti, zavarovanih z nepremičninami, izpostavljenosti iz naslova podrejenega dolga, izpostavljenosti iz naslova lastniških instrumentov in neplačanih izpostavljenosti. Te spremembe je treba upoštevati v predlogah za razkritja in uskladiti oštevilčenje vrstic v navedenih predlogah za razkritja z oštevilčenjem, ki se uporablja v ustreznih predlogah za razkritja Baselskega odbora za bančni nadzor. </w:t>
      </w:r>
    </w:p>
    <w:p w:rsidR="000A5D79" w:rsidRPr="00D20322" w:rsidRDefault="006E56C2" w:rsidP="006E56C2">
      <w:pPr>
        <w:pStyle w:val="ManualConsidrant"/>
        <w:rPr>
          <w:noProof/>
          <w:color w:val="000000"/>
        </w:rPr>
      </w:pPr>
      <w:r w:rsidRPr="006E56C2">
        <w:rPr>
          <w:noProof/>
        </w:rPr>
        <w:t>(11)</w:t>
      </w:r>
      <w:r w:rsidRPr="006E56C2">
        <w:rPr>
          <w:noProof/>
        </w:rPr>
        <w:tab/>
      </w:r>
      <w:r w:rsidR="009E6EC8" w:rsidRPr="00D20322">
        <w:rPr>
          <w:noProof/>
        </w:rPr>
        <w:t xml:space="preserve">Uredba (EU) 2024/1623 je v poglavje 3 naslova II Uredbe (EU) št. 575/2013 v zvezi z uporabo pristopa notranjih bonitetnih ocen (IRB) za izpostavljenosti kreditnemu tveganju uvedla omejene kategorije izpostavljenosti, za katere se lahko uporabi napredni pristop IRB (A-IRB) za izračun kapitalskih zahtev za kreditno tveganje. Natančneje, za izpostavljenosti do institucij se zdaj lahko uporablja le osnovni pristop IRB (F-IRB), za izpostavljenosti iz naslova lastniških instrumentov pa je dovoljena le uporaba standardiziranega pristopa, razen v prehodnem obdobju. Poleg tega so bile oblikovane nove kategorije izpostavljenosti za „enote regionalne ali lokalne ravni države“ in „subjekte javnega sektorja“, da bi se zagotovila dosledna obravnava teh izpostavljenosti in preprečila nenamerna variabilnost povezanih kapitalskih zahtev. Te spremembe bi se morale odražati v predlogah za razkritja o uporabi pristopa IRB. Prav tako je treba strukturo predloge „Učinek kreditnih izvedenih finančnih instrumentov, uporabljenih kot tehnike za zmanjševanje kreditnega tveganja (CRM), na RWEA“ uskladiti z oštevilčenjem vrstic, ki se uporablja v ustrezni predlogi za razkritja Baselskega odbora za bančni nadzor. </w:t>
      </w:r>
    </w:p>
    <w:p w:rsidR="000A5D79" w:rsidRPr="00D20322" w:rsidRDefault="006E56C2" w:rsidP="006E56C2">
      <w:pPr>
        <w:pStyle w:val="ManualConsidrant"/>
        <w:rPr>
          <w:noProof/>
          <w:sz w:val="22"/>
        </w:rPr>
      </w:pPr>
      <w:r w:rsidRPr="006E56C2">
        <w:rPr>
          <w:noProof/>
        </w:rPr>
        <w:t>(12)</w:t>
      </w:r>
      <w:r w:rsidRPr="006E56C2">
        <w:rPr>
          <w:noProof/>
        </w:rPr>
        <w:tab/>
      </w:r>
      <w:r w:rsidR="00E365AC" w:rsidRPr="00D20322">
        <w:rPr>
          <w:noProof/>
          <w:color w:val="000000"/>
        </w:rPr>
        <w:t>Z Uredbo (EU) 2024/1623 se je v naslov IV Uredbe (EU) št. 575/2013 uvedel nov</w:t>
      </w:r>
      <w:r w:rsidR="00E365AC" w:rsidRPr="00D20322">
        <w:rPr>
          <w:noProof/>
        </w:rPr>
        <w:t xml:space="preserve"> okvir za izračun kapitalskih zahtev za tržno tveganje na podlagi temeljnega pregleda trgovalne knjige (</w:t>
      </w:r>
      <w:r w:rsidR="00E365AC" w:rsidRPr="00D20322">
        <w:rPr>
          <w:i/>
          <w:noProof/>
        </w:rPr>
        <w:t>Fundamental review of the trading book</w:t>
      </w:r>
      <w:r w:rsidR="00E365AC" w:rsidRPr="00D20322">
        <w:rPr>
          <w:noProof/>
        </w:rPr>
        <w:t xml:space="preserve">, v nadaljnjem besedilu: FRTB), ki ga je opravil Baselski odbor za bančni nadzor. Navedena sprememba je bila potrebna za odpravo pomanjkljivosti, ugotovljenih v trenutnem okviru za kapitalske zahteve za tržno tveganje za pozicije iz trgovalne knjige. V skladu z novim okvirom morajo institucije za izračun kapitalskih zahtev za tržno tveganje uporabiti poenostavljeni standardizirani pristop, alternativni standardizirani pristop ali pristop alternativnih notranjih modelov. Te spremembe bi se morale odražati v predlogah za razkritja tako, da se uvede celovit sklop razpredelnic in predlog za razkritja. Ta novi sklop razpredelnic in predlog za razkritja bi moral biti v veljavi, ko se v Uniji začne uporabljati regulativni okvir za tržno tveganje, ki temelji na standardih FTRB baselskega odbora. Medtem bi se morale še naprej veljati zahteve po razkritju, kot se trenutno uporabljajo. Da bi se v celoti razumelo, kako se uporablja ta novi pristop, bi morale institucije, ki uporabljajo pristop alternativnih notranjih modelov, na prvi datum uporabe novega okvira za razkritja razkriti kvantitativne informacije skupaj s kvalitativnimi informacijami. </w:t>
      </w:r>
    </w:p>
    <w:p w:rsidR="000A5D79" w:rsidRPr="00D20322" w:rsidRDefault="006E56C2" w:rsidP="006E56C2">
      <w:pPr>
        <w:pStyle w:val="ManualConsidrant"/>
        <w:rPr>
          <w:noProof/>
        </w:rPr>
      </w:pPr>
      <w:r w:rsidRPr="006E56C2">
        <w:rPr>
          <w:noProof/>
        </w:rPr>
        <w:t>(13)</w:t>
      </w:r>
      <w:r w:rsidRPr="006E56C2">
        <w:rPr>
          <w:noProof/>
        </w:rPr>
        <w:tab/>
      </w:r>
      <w:r w:rsidR="00990CED" w:rsidRPr="00D20322">
        <w:rPr>
          <w:noProof/>
        </w:rPr>
        <w:t>Določiti bi bilo treba enotne obrazce za razkritja, da se zagotovi enotno in primerljivo razkrivanje tveganj prilagoditve kreditnega vrednotenja. V ta namen je zato treba uvesti nove predloge in razpredelnice za razkritja s kvantitativnimi in kvalitativnimi informacijami o tveganju prilagoditve kreditnega vrednotenja. Pri teh predlogah bi bilo treba upoštevati, da lahko institucije, za katere veljajo kapitalske zahteve za tveganje prilagoditve kreditnega vrednotenja, uporabijo standardizirani, osnovni ali poenostavljeni pristop ali kombinacijo teh pristopov in da bi moralo to tveganje prilagoditve kreditnega vrednotenja zajemati tveganje kreditnega razmika nasprotne stranke institucije in tržno tveganje portfelja poslov, s katerimi institucija in ta nasprotna stranka trgujeta.</w:t>
      </w:r>
    </w:p>
    <w:p w:rsidR="000A5D79" w:rsidRPr="00D20322" w:rsidRDefault="006E56C2" w:rsidP="006E56C2">
      <w:pPr>
        <w:pStyle w:val="ManualConsidrant"/>
        <w:rPr>
          <w:noProof/>
        </w:rPr>
      </w:pPr>
      <w:r w:rsidRPr="006E56C2">
        <w:rPr>
          <w:noProof/>
        </w:rPr>
        <w:t>(14)</w:t>
      </w:r>
      <w:r w:rsidRPr="006E56C2">
        <w:rPr>
          <w:noProof/>
        </w:rPr>
        <w:tab/>
      </w:r>
      <w:r w:rsidR="000A5D79" w:rsidRPr="00D20322">
        <w:rPr>
          <w:noProof/>
        </w:rPr>
        <w:t>Z Uredbo (EU) 2024/1623 se je v poglavje 1 naslova III</w:t>
      </w:r>
      <w:bookmarkStart w:id="1" w:name="_Hlk174954474"/>
      <w:r w:rsidR="000A5D79" w:rsidRPr="00D20322">
        <w:rPr>
          <w:noProof/>
        </w:rPr>
        <w:t xml:space="preserve"> Uredbe (EU) št. 575/2013</w:t>
      </w:r>
      <w:bookmarkEnd w:id="1"/>
      <w:r w:rsidR="000A5D79" w:rsidRPr="00D20322">
        <w:rPr>
          <w:noProof/>
        </w:rPr>
        <w:t xml:space="preserve"> uvedel nov, enoten pristop, ki ne temelji na modelih, za izračun kapitalskih zahtev za operativno tveganje. Razlog za to je bilo pomanjkanje upoštevanja tveganj in primerljivosti obstoječih pristopov. Na podlagi diskrecijske pravice, vključene v standarde Basel III, minimalne kapitalske zahteve Unije temeljijo izključno na izračunu komponente kazalnika poslovanja (BIC), medtem ko se pretekle izgube upoštevajo samo za namene razkritij. Te spremembe bi se morale odražati v predlogah za razkritja, med drugim z določitvijo novih predlog za zagotavljanje informacij o letnih operativnih izgubah, nastalih v zadnjih desetih letih, izračunu kazalnika poslovanja, njegovih komponent in podkomponent ter povezanih kapitalskih zahtevah in zneskih izpostavljenosti tveganju.</w:t>
      </w:r>
    </w:p>
    <w:p w:rsidR="00A81627" w:rsidRPr="00D20322" w:rsidRDefault="006E56C2" w:rsidP="006E56C2">
      <w:pPr>
        <w:pStyle w:val="ManualConsidrant"/>
        <w:rPr>
          <w:noProof/>
        </w:rPr>
      </w:pPr>
      <w:r w:rsidRPr="006E56C2">
        <w:rPr>
          <w:noProof/>
        </w:rPr>
        <w:t>(15)</w:t>
      </w:r>
      <w:r w:rsidRPr="006E56C2">
        <w:rPr>
          <w:noProof/>
        </w:rPr>
        <w:tab/>
      </w:r>
      <w:r w:rsidR="000A5D79" w:rsidRPr="00D20322">
        <w:rPr>
          <w:noProof/>
        </w:rPr>
        <w:t>Člen 501d(2) Uredbe (EU) št. 575/2013 določa, kako morajo institucije izračunavati svoje kapitalske zahteve za izpostavljenosti iz naslova kriptosredstev do datuma začetka uporabe zakonodajnega akta iz člena 501d(1) navedene uredbe. Zato je treba določiti, kako morajo institucije razkrivati svoje izpostavljenosti iz naslova kriptosredstev v navedenem prehodnem obdobju.</w:t>
      </w:r>
    </w:p>
    <w:p w:rsidR="0072766F" w:rsidRPr="00D20322" w:rsidRDefault="006E56C2" w:rsidP="006E56C2">
      <w:pPr>
        <w:pStyle w:val="ManualConsidrant"/>
        <w:rPr>
          <w:noProof/>
        </w:rPr>
      </w:pPr>
      <w:r w:rsidRPr="006E56C2">
        <w:rPr>
          <w:noProof/>
        </w:rPr>
        <w:t>(16)</w:t>
      </w:r>
      <w:r w:rsidRPr="006E56C2">
        <w:rPr>
          <w:noProof/>
        </w:rPr>
        <w:tab/>
      </w:r>
      <w:r w:rsidR="0072766F" w:rsidRPr="00D20322">
        <w:rPr>
          <w:noProof/>
        </w:rPr>
        <w:t>Z Uredbo (EU) 2024/1623 je bil spremenjen člen 434a(1) Uredbe (EU) št. 575/2013 in uvedena zahteva, da EBA razvije rešitve informacijske tehnologije (IT), vključno z navodili, ki jih institucije uporabljajo za razkritja, zahtevana v skladu z naslovoma II in III navedene uredbe. V skladu s tem bi morale biti v predlogah za razkritja dovolj jasno navedene podatkovne točke in informacije, ki jih morajo institucije razkriti, da se uporabnikom zagotovi dostop do dovolj izčrpnih in primerljivih informacij ter da se ohrani skladnost z mednarodnimi standardi o razkritjih. Da bi lahko EBA razvil ustrezne rešitve IT, ti enotni obrazci za razkritja ne bi smeli biti zavezujoči glede strukture in predstavitve. EBA bi moralo biti zlasti omogočeno, da odstopa od grafične predstavitve in tabelarne strukture predlog za razkritje, v kolikor so vse zahtevane podatkovne točke in informacije vključene v rešitev IT.</w:t>
      </w:r>
    </w:p>
    <w:p w:rsidR="005F4989" w:rsidRPr="00D20322" w:rsidRDefault="006E56C2" w:rsidP="006E56C2">
      <w:pPr>
        <w:pStyle w:val="ManualConsidrant"/>
        <w:rPr>
          <w:noProof/>
          <w:szCs w:val="24"/>
        </w:rPr>
      </w:pPr>
      <w:r w:rsidRPr="006E56C2">
        <w:rPr>
          <w:noProof/>
        </w:rPr>
        <w:t>(17)</w:t>
      </w:r>
      <w:r w:rsidRPr="006E56C2">
        <w:rPr>
          <w:noProof/>
        </w:rPr>
        <w:tab/>
      </w:r>
      <w:r w:rsidR="005F4989" w:rsidRPr="00D20322">
        <w:rPr>
          <w:noProof/>
        </w:rPr>
        <w:t>Da bi institucijam zagotovili celovit povezan sklop enotnih obrazcev za razkritja in visoko kakovost razkritij, hkrati pa upoštevali pristop iz revidiranega člena 434a(1) Uredbe (EU) št. 575/2013, je treba Izvedbeno uredbo Komisije (EU) 2021/637 razveljaviti in navedeno izvedbeno uredbo nadomestiti s to uredbo.</w:t>
      </w:r>
    </w:p>
    <w:p w:rsidR="000A5D79" w:rsidRPr="00D20322" w:rsidRDefault="006E56C2" w:rsidP="006E56C2">
      <w:pPr>
        <w:pStyle w:val="ManualConsidrant"/>
        <w:rPr>
          <w:noProof/>
          <w:sz w:val="22"/>
        </w:rPr>
      </w:pPr>
      <w:r w:rsidRPr="006E56C2">
        <w:rPr>
          <w:noProof/>
        </w:rPr>
        <w:t>(18)</w:t>
      </w:r>
      <w:r w:rsidRPr="006E56C2">
        <w:rPr>
          <w:noProof/>
        </w:rPr>
        <w:tab/>
      </w:r>
      <w:r w:rsidR="00DF17AE" w:rsidRPr="00D20322">
        <w:rPr>
          <w:noProof/>
        </w:rPr>
        <w:t>Da bi se zagotovila pravočasna in kakovostna razkritja institucij, bi jim bilo treba dati dovolj časa za prilagoditev svojih notranjih sistemov spremembam obstoječega okvira za razkritja, ki so upoštevane/vključene v tej uredbi.</w:t>
      </w:r>
    </w:p>
    <w:p w:rsidR="000A5D79" w:rsidRPr="00D20322" w:rsidRDefault="006E56C2" w:rsidP="006E56C2">
      <w:pPr>
        <w:pStyle w:val="ManualConsidrant"/>
        <w:rPr>
          <w:noProof/>
        </w:rPr>
      </w:pPr>
      <w:r w:rsidRPr="006E56C2">
        <w:rPr>
          <w:noProof/>
        </w:rPr>
        <w:t>(19)</w:t>
      </w:r>
      <w:r w:rsidRPr="006E56C2">
        <w:rPr>
          <w:noProof/>
        </w:rPr>
        <w:tab/>
      </w:r>
      <w:r w:rsidR="000A5D79" w:rsidRPr="00D20322">
        <w:rPr>
          <w:noProof/>
        </w:rPr>
        <w:t>Ta uredba temelji na osnutku izvedbenih tehničnih standardov, ki ga je Komisiji predložil Evropski bančni organ.</w:t>
      </w:r>
    </w:p>
    <w:p w:rsidR="000A5D79" w:rsidRPr="00D20322" w:rsidRDefault="006E56C2" w:rsidP="006E56C2">
      <w:pPr>
        <w:pStyle w:val="ManualConsidrant"/>
        <w:rPr>
          <w:noProof/>
        </w:rPr>
      </w:pPr>
      <w:r w:rsidRPr="006E56C2">
        <w:rPr>
          <w:noProof/>
        </w:rPr>
        <w:t>(20)</w:t>
      </w:r>
      <w:r w:rsidRPr="006E56C2">
        <w:rPr>
          <w:noProof/>
        </w:rPr>
        <w:tab/>
      </w:r>
      <w:r w:rsidR="000A5D79" w:rsidRPr="00D20322">
        <w:rPr>
          <w:noProof/>
        </w:rPr>
        <w:t>Evropski bančni organ je o osnutku izvedbenih tehničnih standardov, na katerem temelji ta uredba, izvedel odprta javna posvetovanja, analiziral morebitne povezane stroške in koristi ter zaprosil za nasvet interesno skupino za bančništvo, ustanovljeno v skladu s členom 37 Uredbe (EU) št. 1093/2010 Evropskega parlamenta in Sveta</w:t>
      </w:r>
      <w:r w:rsidR="000A5D79" w:rsidRPr="00D20322">
        <w:rPr>
          <w:rStyle w:val="FootnoteReference"/>
          <w:noProof/>
        </w:rPr>
        <w:footnoteReference w:id="10"/>
      </w:r>
      <w:r w:rsidR="000A5D79" w:rsidRPr="00D20322">
        <w:rPr>
          <w:noProof/>
        </w:rPr>
        <w:t xml:space="preserve"> – </w:t>
      </w:r>
    </w:p>
    <w:p w:rsidR="0050796F" w:rsidRPr="00D20322" w:rsidRDefault="0050796F">
      <w:pPr>
        <w:pStyle w:val="Formuledadoption"/>
        <w:rPr>
          <w:noProof/>
        </w:rPr>
      </w:pPr>
      <w:r w:rsidRPr="00D20322">
        <w:rPr>
          <w:noProof/>
        </w:rPr>
        <w:t>SPREJELA NASLEDNJO UREDBO:</w:t>
      </w:r>
    </w:p>
    <w:p w:rsidR="00905855" w:rsidRPr="00D20322" w:rsidRDefault="00905855" w:rsidP="00905855">
      <w:pPr>
        <w:pStyle w:val="Titrearticle"/>
        <w:rPr>
          <w:noProof/>
        </w:rPr>
      </w:pPr>
      <w:r w:rsidRPr="00D20322">
        <w:rPr>
          <w:noProof/>
        </w:rPr>
        <w:t>Člen 1</w:t>
      </w:r>
    </w:p>
    <w:p w:rsidR="000A5D79" w:rsidRPr="00D20322" w:rsidRDefault="000A5D79" w:rsidP="000A5D79">
      <w:pPr>
        <w:pStyle w:val="Titrearticle"/>
        <w:spacing w:before="120"/>
        <w:rPr>
          <w:b/>
          <w:i w:val="0"/>
          <w:noProof/>
        </w:rPr>
      </w:pPr>
      <w:r w:rsidRPr="00D20322">
        <w:rPr>
          <w:b/>
          <w:i w:val="0"/>
          <w:noProof/>
        </w:rPr>
        <w:t>Razkritje ključnih metrik in pregled zneskov tveganju prilagojenih izpostavljenosti</w:t>
      </w:r>
    </w:p>
    <w:p w:rsidR="000A5D79" w:rsidRPr="00D20322" w:rsidRDefault="000A5D79" w:rsidP="00905855">
      <w:pPr>
        <w:rPr>
          <w:noProof/>
        </w:rPr>
      </w:pPr>
      <w:r w:rsidRPr="00D20322">
        <w:rPr>
          <w:noProof/>
        </w:rPr>
        <w:t>Institucije razkrijejo informacije iz člena 438, točke (a) do (d), (f) in (g), ter člena 447, točke (a) do (g), Uredbe (EU) št. 575/2013, kot so določene v oddelku 1 z naslovom „Razkritje pregleda upravljanja tveganj, ključne bonitetne metrike in RWA“ v Prilogi I.</w:t>
      </w:r>
    </w:p>
    <w:p w:rsidR="000A5D79" w:rsidRPr="00D20322" w:rsidRDefault="000A5D79" w:rsidP="000A5D79">
      <w:pPr>
        <w:pStyle w:val="Titrearticle"/>
        <w:rPr>
          <w:noProof/>
        </w:rPr>
      </w:pPr>
      <w:r w:rsidRPr="00D20322">
        <w:rPr>
          <w:noProof/>
        </w:rPr>
        <w:t>Člen 2</w:t>
      </w:r>
    </w:p>
    <w:p w:rsidR="000A5D79" w:rsidRPr="00D20322" w:rsidRDefault="000A5D79" w:rsidP="000A5D79">
      <w:pPr>
        <w:pStyle w:val="Titrearticle"/>
        <w:spacing w:before="120"/>
        <w:rPr>
          <w:b/>
          <w:i w:val="0"/>
          <w:noProof/>
        </w:rPr>
      </w:pPr>
      <w:r w:rsidRPr="00D20322">
        <w:rPr>
          <w:b/>
          <w:i w:val="0"/>
          <w:noProof/>
        </w:rPr>
        <w:t>Razkritje ciljev in politik upravljanja tveganj</w:t>
      </w:r>
    </w:p>
    <w:p w:rsidR="000A5D79" w:rsidRPr="00D20322" w:rsidRDefault="000A5D79" w:rsidP="00905855">
      <w:pPr>
        <w:rPr>
          <w:noProof/>
        </w:rPr>
      </w:pPr>
      <w:r w:rsidRPr="00D20322">
        <w:rPr>
          <w:noProof/>
        </w:rPr>
        <w:t>Institucije razkrijejo informacije iz člena 435 Uredbe (EU) št. 575/2013, kot so določene v oddelku 2 z naslovom „Razkritje ciljev in politik upravljanja tveganj“ v Prilogi I.</w:t>
      </w:r>
    </w:p>
    <w:p w:rsidR="000A5D79" w:rsidRPr="00D20322" w:rsidRDefault="000A5D79" w:rsidP="000A5D79">
      <w:pPr>
        <w:pStyle w:val="Titrearticle"/>
        <w:rPr>
          <w:noProof/>
        </w:rPr>
      </w:pPr>
      <w:r w:rsidRPr="00D20322">
        <w:rPr>
          <w:noProof/>
        </w:rPr>
        <w:t>Člen 3</w:t>
      </w:r>
    </w:p>
    <w:p w:rsidR="000A5D79" w:rsidRPr="00D20322" w:rsidRDefault="000A5D79" w:rsidP="000A5D79">
      <w:pPr>
        <w:pStyle w:val="Titrearticle"/>
        <w:tabs>
          <w:tab w:val="left" w:pos="567"/>
        </w:tabs>
        <w:spacing w:before="120"/>
        <w:rPr>
          <w:b/>
          <w:i w:val="0"/>
          <w:noProof/>
        </w:rPr>
      </w:pPr>
      <w:r w:rsidRPr="00D20322">
        <w:rPr>
          <w:b/>
          <w:i w:val="0"/>
          <w:noProof/>
        </w:rPr>
        <w:t xml:space="preserve">Razkritje področja uporabe </w:t>
      </w:r>
    </w:p>
    <w:p w:rsidR="000A5D79" w:rsidRPr="00D20322" w:rsidRDefault="000A5D79" w:rsidP="00905855">
      <w:pPr>
        <w:rPr>
          <w:noProof/>
        </w:rPr>
      </w:pPr>
      <w:r w:rsidRPr="00D20322">
        <w:rPr>
          <w:noProof/>
        </w:rPr>
        <w:t xml:space="preserve">Institucije razkrijejo informacije iz člena 436, točke (b) do (h), Uredbe (EU) št. 575/2013, kot so določene v oddelku 3 z naslovom „Razkritje področja uporabe“ v Prilogi I. </w:t>
      </w:r>
    </w:p>
    <w:p w:rsidR="000A5D79" w:rsidRPr="00D20322" w:rsidRDefault="000A5D79" w:rsidP="000A5D79">
      <w:pPr>
        <w:pStyle w:val="Titrearticle"/>
        <w:rPr>
          <w:noProof/>
        </w:rPr>
      </w:pPr>
      <w:r w:rsidRPr="00D20322">
        <w:rPr>
          <w:noProof/>
        </w:rPr>
        <w:t>Člen 4</w:t>
      </w:r>
    </w:p>
    <w:p w:rsidR="000A5D79" w:rsidRPr="00D20322" w:rsidRDefault="000A5D79" w:rsidP="000A5D79">
      <w:pPr>
        <w:pStyle w:val="Titrearticle"/>
        <w:spacing w:before="120"/>
        <w:rPr>
          <w:b/>
          <w:i w:val="0"/>
          <w:noProof/>
        </w:rPr>
      </w:pPr>
      <w:r w:rsidRPr="00D20322">
        <w:rPr>
          <w:b/>
          <w:i w:val="0"/>
          <w:noProof/>
        </w:rPr>
        <w:t>Razkritja o kapitalu</w:t>
      </w:r>
    </w:p>
    <w:p w:rsidR="000A5D79" w:rsidRPr="00D20322" w:rsidRDefault="000A5D79" w:rsidP="000A5D79">
      <w:pPr>
        <w:rPr>
          <w:noProof/>
        </w:rPr>
      </w:pPr>
      <w:r w:rsidRPr="00D20322">
        <w:rPr>
          <w:noProof/>
        </w:rPr>
        <w:t>Institucije razkrijejo informacije iz člena 437, točke (a) do (f), Uredbe (EU) št. 575/2013, kot so določene v oddelku 4 z naslovom „Razkritja o kapitalu“ v Prilogi I.</w:t>
      </w:r>
    </w:p>
    <w:p w:rsidR="000A5D79" w:rsidRPr="00D20322" w:rsidRDefault="000A5D79" w:rsidP="000A5D79">
      <w:pPr>
        <w:pStyle w:val="Titrearticle"/>
        <w:rPr>
          <w:noProof/>
        </w:rPr>
      </w:pPr>
      <w:r w:rsidRPr="00D20322">
        <w:rPr>
          <w:noProof/>
        </w:rPr>
        <w:t xml:space="preserve">Člen 5 </w:t>
      </w:r>
    </w:p>
    <w:p w:rsidR="000A5D79" w:rsidRPr="00D20322" w:rsidRDefault="000A5D79" w:rsidP="000A5D79">
      <w:pPr>
        <w:pStyle w:val="Titrearticle"/>
        <w:spacing w:before="120"/>
        <w:rPr>
          <w:b/>
          <w:i w:val="0"/>
          <w:noProof/>
        </w:rPr>
      </w:pPr>
      <w:r w:rsidRPr="00D20322">
        <w:rPr>
          <w:b/>
          <w:i w:val="0"/>
          <w:noProof/>
        </w:rPr>
        <w:t>Razkritje proticikličnih kapitalskih blažilnikov</w:t>
      </w:r>
    </w:p>
    <w:p w:rsidR="000A5D79" w:rsidRPr="00D20322" w:rsidRDefault="000A5D79" w:rsidP="000A5D79">
      <w:pPr>
        <w:rPr>
          <w:noProof/>
        </w:rPr>
      </w:pPr>
      <w:r w:rsidRPr="00D20322">
        <w:rPr>
          <w:noProof/>
        </w:rPr>
        <w:t xml:space="preserve">Institucije razkrijejo informacije iz člena 440, točki (a) in (b), Uredbe (EU) št. 575/2013, kot so določene v oddelku 5 z naslovom „Razkritje proticikličnih kapitalskih blažilnikov“ v Prilogi I. </w:t>
      </w:r>
    </w:p>
    <w:p w:rsidR="000A5D79" w:rsidRPr="00D20322" w:rsidRDefault="000A5D79" w:rsidP="000A5D79">
      <w:pPr>
        <w:pStyle w:val="Titrearticle"/>
        <w:rPr>
          <w:noProof/>
        </w:rPr>
      </w:pPr>
      <w:r w:rsidRPr="00D20322">
        <w:rPr>
          <w:noProof/>
        </w:rPr>
        <w:t>Člen 6</w:t>
      </w:r>
    </w:p>
    <w:p w:rsidR="000A5D79" w:rsidRPr="00D20322" w:rsidRDefault="000A5D79" w:rsidP="000A5D79">
      <w:pPr>
        <w:pStyle w:val="Titrearticle"/>
        <w:spacing w:before="120"/>
        <w:rPr>
          <w:b/>
          <w:i w:val="0"/>
          <w:noProof/>
        </w:rPr>
      </w:pPr>
      <w:r w:rsidRPr="00D20322">
        <w:rPr>
          <w:b/>
          <w:i w:val="0"/>
          <w:noProof/>
        </w:rPr>
        <w:t>Razkritje količnika finančnega vzvoda</w:t>
      </w:r>
    </w:p>
    <w:p w:rsidR="000A5D79" w:rsidRPr="00D20322" w:rsidRDefault="000A5D79" w:rsidP="000A5D79">
      <w:pPr>
        <w:rPr>
          <w:noProof/>
        </w:rPr>
      </w:pPr>
      <w:r w:rsidRPr="00D20322">
        <w:rPr>
          <w:noProof/>
        </w:rPr>
        <w:t>Institucije razkrijejo informacije iz člena 451(1), točke (a) do (e), in člena 451(2) ter (3) Uredbe (EU) št. 575/2013</w:t>
      </w:r>
      <w:bookmarkStart w:id="2" w:name="_Hlk168653610"/>
      <w:r w:rsidRPr="00D20322">
        <w:rPr>
          <w:noProof/>
        </w:rPr>
        <w:t>, kot so določene v oddelku 6 z naslovom „Razkritje količnika finančnega vzvoda“ v Prilogi I.</w:t>
      </w:r>
    </w:p>
    <w:bookmarkEnd w:id="2"/>
    <w:p w:rsidR="000A5D79" w:rsidRPr="00D20322" w:rsidRDefault="000A5D79" w:rsidP="000A5D79">
      <w:pPr>
        <w:pStyle w:val="Titrearticle"/>
        <w:rPr>
          <w:noProof/>
        </w:rPr>
      </w:pPr>
      <w:r w:rsidRPr="00D20322">
        <w:rPr>
          <w:noProof/>
        </w:rPr>
        <w:t xml:space="preserve">Člen 7 </w:t>
      </w:r>
    </w:p>
    <w:p w:rsidR="000A5D79" w:rsidRPr="00D20322" w:rsidRDefault="000A5D79" w:rsidP="000A5D79">
      <w:pPr>
        <w:pStyle w:val="Titrearticle"/>
        <w:spacing w:before="120"/>
        <w:rPr>
          <w:b/>
          <w:i w:val="0"/>
          <w:noProof/>
        </w:rPr>
      </w:pPr>
      <w:r w:rsidRPr="00D20322">
        <w:rPr>
          <w:b/>
          <w:i w:val="0"/>
          <w:noProof/>
        </w:rPr>
        <w:t>Razkritje kazalnikov globalnega sistemskega pomena</w:t>
      </w:r>
    </w:p>
    <w:p w:rsidR="000A5D79" w:rsidRPr="00D20322" w:rsidRDefault="006E56C2" w:rsidP="006E56C2">
      <w:pPr>
        <w:pStyle w:val="ManualNumPar1"/>
        <w:rPr>
          <w:noProof/>
        </w:rPr>
      </w:pPr>
      <w:r w:rsidRPr="006E56C2">
        <w:rPr>
          <w:noProof/>
        </w:rPr>
        <w:t>1.</w:t>
      </w:r>
      <w:r w:rsidRPr="006E56C2">
        <w:rPr>
          <w:noProof/>
        </w:rPr>
        <w:tab/>
      </w:r>
      <w:r w:rsidR="00FA266C" w:rsidRPr="00D20322">
        <w:rPr>
          <w:noProof/>
        </w:rPr>
        <w:t>Globalne sistemsko pomembne institucije (v nadaljnjem besedilu: GSPI) razkrijejo informacije o vrednostih kazalnikov, uporabljenih za določanje njihovega rezultata, kot je navedeno v členu 441 Uredbe (EU) št. 575/2013, z uporabo enotnega obrazca za razkritja iz člena 434a navedene uredbe. GSPI uporabljajo navedeni obrazec za razkritja, da lahko zadevni organi zberejo vrednosti kazalnikov, kot je določeno v členu 3(2) Delegirane uredbe Komisije (EU) št. 1222/2014</w:t>
      </w:r>
      <w:r w:rsidR="00FA266C" w:rsidRPr="00D20322">
        <w:rPr>
          <w:rStyle w:val="FootnoteReference"/>
          <w:noProof/>
        </w:rPr>
        <w:footnoteReference w:id="11"/>
      </w:r>
      <w:r w:rsidR="00FA266C" w:rsidRPr="00D20322">
        <w:rPr>
          <w:noProof/>
        </w:rPr>
        <w:t xml:space="preserve">, razen morebitnih pomožnih podatkov in pojasnjevalnih postavk, zbranih v skladu s členom 3(2) navedene delegirane uredbe. </w:t>
      </w:r>
    </w:p>
    <w:p w:rsidR="000A5D79" w:rsidRPr="00D20322" w:rsidRDefault="006E56C2" w:rsidP="006E56C2">
      <w:pPr>
        <w:pStyle w:val="ManualNumPar1"/>
        <w:rPr>
          <w:noProof/>
        </w:rPr>
      </w:pPr>
      <w:r w:rsidRPr="006E56C2">
        <w:rPr>
          <w:noProof/>
        </w:rPr>
        <w:t>2.</w:t>
      </w:r>
      <w:r w:rsidRPr="006E56C2">
        <w:rPr>
          <w:noProof/>
        </w:rPr>
        <w:tab/>
      </w:r>
      <w:r w:rsidR="000A5D79" w:rsidRPr="00D20322">
        <w:rPr>
          <w:noProof/>
        </w:rPr>
        <w:t>GSPI razkrijejo informacije iz odstavka 1 v svojem poročilu v okviru stebra 3 ob koncu leta. GSPI ponovno razkrijejo informacije iz svojega prvega poročila v okviru stebra 3 iz odstavka 1 po končni predložitvi vrednosti kazalnikov zadevnim pristojnim organom, če se predloženi podatki razlikujejo od podatkov, razkritih v poročilu v okviru stebra 3 ob koncu leta.</w:t>
      </w:r>
    </w:p>
    <w:p w:rsidR="000A5D79" w:rsidRPr="00D20322" w:rsidRDefault="000A5D79" w:rsidP="000A5D79">
      <w:pPr>
        <w:pStyle w:val="Titrearticle"/>
        <w:rPr>
          <w:noProof/>
        </w:rPr>
      </w:pPr>
      <w:r w:rsidRPr="00D20322">
        <w:rPr>
          <w:noProof/>
        </w:rPr>
        <w:t>Člen 8</w:t>
      </w:r>
    </w:p>
    <w:p w:rsidR="000A5D79" w:rsidRPr="00D20322" w:rsidRDefault="000A5D79" w:rsidP="000A5D79">
      <w:pPr>
        <w:pStyle w:val="Titrearticle"/>
        <w:spacing w:before="120"/>
        <w:rPr>
          <w:b/>
          <w:i w:val="0"/>
          <w:noProof/>
        </w:rPr>
      </w:pPr>
      <w:r w:rsidRPr="00D20322">
        <w:rPr>
          <w:b/>
          <w:i w:val="0"/>
          <w:noProof/>
        </w:rPr>
        <w:t>Razkritje likvidnostnih zahtev</w:t>
      </w:r>
    </w:p>
    <w:p w:rsidR="000A5D79" w:rsidRPr="00D20322" w:rsidRDefault="000A5D79" w:rsidP="000A5D79">
      <w:pPr>
        <w:rPr>
          <w:i/>
          <w:noProof/>
        </w:rPr>
      </w:pPr>
      <w:r w:rsidRPr="00D20322">
        <w:rPr>
          <w:noProof/>
        </w:rPr>
        <w:t>Institucije razkrijejo informacije iz člena 435(1) in člena 451a(2), (3) ter (4) Uredbe (EU) št. 575/2013, kot so določene v oddelku 7 z naslovom „Razkritje likvidnostnih zahtev“ v Prilogi I.</w:t>
      </w:r>
    </w:p>
    <w:p w:rsidR="000A5D79" w:rsidRPr="00D20322" w:rsidRDefault="000A5D79" w:rsidP="000A5D79">
      <w:pPr>
        <w:pStyle w:val="Titrearticle"/>
        <w:rPr>
          <w:noProof/>
        </w:rPr>
      </w:pPr>
      <w:r w:rsidRPr="00D20322">
        <w:rPr>
          <w:noProof/>
        </w:rPr>
        <w:t>Člen 9</w:t>
      </w:r>
    </w:p>
    <w:p w:rsidR="000A5D79" w:rsidRPr="00D20322" w:rsidRDefault="000A5D79" w:rsidP="000A5D79">
      <w:pPr>
        <w:pStyle w:val="Titrearticle"/>
        <w:spacing w:before="120"/>
        <w:rPr>
          <w:b/>
          <w:i w:val="0"/>
          <w:noProof/>
        </w:rPr>
      </w:pPr>
      <w:r w:rsidRPr="00D20322">
        <w:rPr>
          <w:b/>
          <w:i w:val="0"/>
          <w:noProof/>
        </w:rPr>
        <w:t>Razkritje izpostavljenosti</w:t>
      </w:r>
      <w:bookmarkStart w:id="3" w:name="_Hlk163217184"/>
      <w:r w:rsidRPr="00D20322">
        <w:rPr>
          <w:b/>
          <w:i w:val="0"/>
          <w:noProof/>
        </w:rPr>
        <w:t xml:space="preserve"> kreditnemu tveganju in tveganju zmanjšanja vrednosti ter razkritje kreditne kakovosti</w:t>
      </w:r>
      <w:bookmarkEnd w:id="3"/>
    </w:p>
    <w:p w:rsidR="000A5D79" w:rsidRPr="00D20322" w:rsidRDefault="006E56C2" w:rsidP="006E56C2">
      <w:pPr>
        <w:pStyle w:val="ManualNumPar1"/>
        <w:rPr>
          <w:noProof/>
        </w:rPr>
      </w:pPr>
      <w:r w:rsidRPr="006E56C2">
        <w:rPr>
          <w:noProof/>
        </w:rPr>
        <w:t>1.</w:t>
      </w:r>
      <w:r w:rsidRPr="006E56C2">
        <w:rPr>
          <w:noProof/>
        </w:rPr>
        <w:tab/>
      </w:r>
      <w:r w:rsidR="000A5D79" w:rsidRPr="00D20322">
        <w:rPr>
          <w:noProof/>
        </w:rPr>
        <w:t>Institucije razkrijejo informacije iz člena 435(1), točke (a), (b), (d) in (f), ter člena 442 Uredbe (EU) št. 575/2013, kot so določene v oddelku 8 z naslovom „Razkritje kreditne kakovosti“ v Prilogi I.</w:t>
      </w:r>
    </w:p>
    <w:p w:rsidR="000A5D79" w:rsidRPr="00D20322" w:rsidRDefault="006E56C2" w:rsidP="006E56C2">
      <w:pPr>
        <w:pStyle w:val="ManualNumPar1"/>
        <w:rPr>
          <w:noProof/>
        </w:rPr>
      </w:pPr>
      <w:r w:rsidRPr="006E56C2">
        <w:rPr>
          <w:noProof/>
        </w:rPr>
        <w:t>2.</w:t>
      </w:r>
      <w:r w:rsidRPr="006E56C2">
        <w:rPr>
          <w:noProof/>
        </w:rPr>
        <w:tab/>
      </w:r>
      <w:r w:rsidR="000A5D79" w:rsidRPr="00D20322">
        <w:rPr>
          <w:noProof/>
        </w:rPr>
        <w:t xml:space="preserve">Velike institucije, katerih razmerje med bruto knjigovodsko vrednostjo kreditov in drugih finančnih sredstev, zajetih s členom 47a(3) Uredbe (EU) št. 575/2013, ter skupno bruto knjigovodsko vrednostjo kreditov in drugih finančnih sredstev, zajetih s členom 47a(1) navedene uredbe, je enako ali višje od 5 %, poleg informacij iz odstavka 1 razkrijejo dodatne informacije, da zagotovijo skladnost s členom 442, točki (c) in (f), navedene uredbe. Navedene institucije te informacije razkrivajo letno. </w:t>
      </w:r>
    </w:p>
    <w:p w:rsidR="000A5D79" w:rsidRPr="00D20322" w:rsidRDefault="006E56C2" w:rsidP="006E56C2">
      <w:pPr>
        <w:pStyle w:val="ManualNumPar1"/>
        <w:rPr>
          <w:noProof/>
        </w:rPr>
      </w:pPr>
      <w:r w:rsidRPr="006E56C2">
        <w:rPr>
          <w:noProof/>
        </w:rPr>
        <w:t>3.</w:t>
      </w:r>
      <w:r w:rsidRPr="006E56C2">
        <w:rPr>
          <w:noProof/>
        </w:rPr>
        <w:tab/>
      </w:r>
      <w:r w:rsidR="000A5D79" w:rsidRPr="00D20322">
        <w:rPr>
          <w:noProof/>
        </w:rPr>
        <w:t>Za namene odstavka 2 institucije tako iz imenovalca kot iz števca razmerja izključijo kredite in druga finančna sredstva, razvrščena kot v posesti za prodajo, stanja denarnih sredstev v centralnih bankah in druge vloge na vpogled.</w:t>
      </w:r>
    </w:p>
    <w:p w:rsidR="000A5D79" w:rsidRPr="00D20322" w:rsidRDefault="006E56C2" w:rsidP="006E56C2">
      <w:pPr>
        <w:pStyle w:val="ManualNumPar1"/>
        <w:rPr>
          <w:noProof/>
        </w:rPr>
      </w:pPr>
      <w:r w:rsidRPr="006E56C2">
        <w:rPr>
          <w:noProof/>
        </w:rPr>
        <w:t>4.</w:t>
      </w:r>
      <w:r w:rsidRPr="006E56C2">
        <w:rPr>
          <w:noProof/>
        </w:rPr>
        <w:tab/>
      </w:r>
      <w:r w:rsidR="000A5D79" w:rsidRPr="00D20322">
        <w:rPr>
          <w:noProof/>
        </w:rPr>
        <w:t>Institucije začnejo z razkritjem v skladu z odstavkom 2, ko dosegajo ali presegajo 5-odstotni prag iz navedenega odstavka dve zaporedni četrtletji v štirih četrtletjih pred referenčnim datumom razkritja. Za referenčni datum prvega razkritja institucije razkrijejo zadevne informacije z uporabo predlog iz navedenega odstavka, če na navedeni referenčni datum razkritja presegajo 5-odstotni prag.</w:t>
      </w:r>
    </w:p>
    <w:p w:rsidR="000A5D79" w:rsidRPr="00D20322" w:rsidRDefault="006E56C2" w:rsidP="006E56C2">
      <w:pPr>
        <w:pStyle w:val="ManualNumPar1"/>
        <w:rPr>
          <w:noProof/>
        </w:rPr>
      </w:pPr>
      <w:r w:rsidRPr="006E56C2">
        <w:rPr>
          <w:noProof/>
        </w:rPr>
        <w:t>5.</w:t>
      </w:r>
      <w:r w:rsidRPr="006E56C2">
        <w:rPr>
          <w:noProof/>
        </w:rPr>
        <w:tab/>
      </w:r>
      <w:r w:rsidR="000A5D79" w:rsidRPr="00D20322">
        <w:rPr>
          <w:noProof/>
        </w:rPr>
        <w:t>Institucijam ni več treba opravljati razkritij v skladu z odstavkom 2, če ne dosegajo 5-odstotnega praga tri zaporedna četrtletja v štirih četrtletjih pred referenčnim datumom razkritja.</w:t>
      </w:r>
    </w:p>
    <w:p w:rsidR="000A5D79" w:rsidRPr="00D20322" w:rsidRDefault="000A5D79" w:rsidP="000A5D79">
      <w:pPr>
        <w:pStyle w:val="Titrearticle"/>
        <w:rPr>
          <w:noProof/>
        </w:rPr>
      </w:pPr>
      <w:r w:rsidRPr="00D20322">
        <w:rPr>
          <w:noProof/>
        </w:rPr>
        <w:t>Člen 10</w:t>
      </w:r>
    </w:p>
    <w:p w:rsidR="000A5D79" w:rsidRPr="00D20322" w:rsidRDefault="000A5D79" w:rsidP="000A5D79">
      <w:pPr>
        <w:pStyle w:val="Titrearticle"/>
        <w:spacing w:before="120"/>
        <w:rPr>
          <w:b/>
          <w:i w:val="0"/>
          <w:noProof/>
        </w:rPr>
      </w:pPr>
      <w:r w:rsidRPr="00D20322">
        <w:rPr>
          <w:b/>
          <w:i w:val="0"/>
          <w:noProof/>
        </w:rPr>
        <w:t xml:space="preserve">Razkritje uporabe tehnik za zmanjševanje kreditnega tveganja </w:t>
      </w:r>
    </w:p>
    <w:p w:rsidR="000A5D79" w:rsidRPr="00D20322" w:rsidRDefault="000A5D79" w:rsidP="000A5D79">
      <w:pPr>
        <w:rPr>
          <w:noProof/>
        </w:rPr>
      </w:pPr>
      <w:r w:rsidRPr="00D20322">
        <w:rPr>
          <w:noProof/>
        </w:rPr>
        <w:t>Institucije razkrijejo informacije iz člena 453, točke (a) do (f), Uredbe (EU) št. 575/2013, kot so določene v oddelku 9 z naslovom „Razkritje tehnik za zmanjševanje kreditnega tveganja“ v Prilogi I.</w:t>
      </w:r>
    </w:p>
    <w:p w:rsidR="000A5D79" w:rsidRPr="00D20322" w:rsidRDefault="000A5D79" w:rsidP="000A5D79">
      <w:pPr>
        <w:pStyle w:val="Titrearticle"/>
        <w:rPr>
          <w:noProof/>
        </w:rPr>
      </w:pPr>
      <w:r w:rsidRPr="00D20322">
        <w:rPr>
          <w:noProof/>
        </w:rPr>
        <w:t xml:space="preserve">Člen 11 </w:t>
      </w:r>
    </w:p>
    <w:p w:rsidR="000A5D79" w:rsidRPr="00D20322" w:rsidRDefault="000A5D79" w:rsidP="000A5D79">
      <w:pPr>
        <w:pStyle w:val="Titrearticle"/>
        <w:spacing w:before="120"/>
        <w:rPr>
          <w:b/>
          <w:i w:val="0"/>
          <w:noProof/>
        </w:rPr>
      </w:pPr>
      <w:r w:rsidRPr="00D20322">
        <w:rPr>
          <w:b/>
          <w:i w:val="0"/>
          <w:noProof/>
        </w:rPr>
        <w:t>Razkritje uporabe standardiziranega pristopa</w:t>
      </w:r>
    </w:p>
    <w:p w:rsidR="000A5D79" w:rsidRPr="00D20322" w:rsidRDefault="000A5D79" w:rsidP="000A5D79">
      <w:pPr>
        <w:rPr>
          <w:noProof/>
        </w:rPr>
      </w:pPr>
      <w:r w:rsidRPr="00D20322">
        <w:rPr>
          <w:noProof/>
        </w:rPr>
        <w:t>Institucije, ki izračunavajo zneske tveganju prilagojenih izpostavljenosti v skladu s standardiziranim pristopom, razkrijejo naslednje informacije o uporabi standardiziranega pristopa:</w:t>
      </w:r>
    </w:p>
    <w:p w:rsidR="000A5D79" w:rsidRPr="00D20322" w:rsidRDefault="006E56C2" w:rsidP="006E56C2">
      <w:pPr>
        <w:pStyle w:val="Point0"/>
        <w:rPr>
          <w:noProof/>
        </w:rPr>
      </w:pPr>
      <w:r w:rsidRPr="006E56C2">
        <w:rPr>
          <w:noProof/>
        </w:rPr>
        <w:t>(a)</w:t>
      </w:r>
      <w:r w:rsidRPr="006E56C2">
        <w:rPr>
          <w:noProof/>
        </w:rPr>
        <w:tab/>
      </w:r>
      <w:r w:rsidR="000A5D79" w:rsidRPr="00D20322">
        <w:rPr>
          <w:noProof/>
        </w:rPr>
        <w:t>informacije iz člena 444, točke (a) do (e), in informacije iz člena 453, točke (g), (h) in (i), Uredbe (EU) št. 575/2013, kot so določene v oddelku 10 z naslovom „Razkritje standardiziranega pristopa za kreditno tveganje“ v Prilogi I;</w:t>
      </w:r>
    </w:p>
    <w:p w:rsidR="000A5D79" w:rsidRPr="00D20322" w:rsidRDefault="006E56C2" w:rsidP="006E56C2">
      <w:pPr>
        <w:pStyle w:val="Point0"/>
        <w:rPr>
          <w:noProof/>
        </w:rPr>
      </w:pPr>
      <w:r w:rsidRPr="006E56C2">
        <w:rPr>
          <w:noProof/>
        </w:rPr>
        <w:t>(b)</w:t>
      </w:r>
      <w:r w:rsidRPr="006E56C2">
        <w:rPr>
          <w:noProof/>
        </w:rPr>
        <w:tab/>
      </w:r>
      <w:r w:rsidR="000A5D79" w:rsidRPr="00D20322">
        <w:rPr>
          <w:noProof/>
        </w:rPr>
        <w:t xml:space="preserve">informacije o vrednostih izpostavljenosti, odbitih od kapitala, iz člena 444, točka (e), Uredbe (EU) št. 575/2013, kot so določene v oddelku 4 z naslovom „Razkritja o kapitalu“ v Prilogi I. </w:t>
      </w:r>
    </w:p>
    <w:p w:rsidR="000A5D79" w:rsidRPr="00D20322" w:rsidRDefault="000A5D79" w:rsidP="000A5D79">
      <w:pPr>
        <w:pStyle w:val="Titrearticle"/>
        <w:rPr>
          <w:noProof/>
        </w:rPr>
      </w:pPr>
      <w:r w:rsidRPr="00D20322">
        <w:rPr>
          <w:noProof/>
        </w:rPr>
        <w:t>Člen 12</w:t>
      </w:r>
    </w:p>
    <w:p w:rsidR="000A5D79" w:rsidRPr="00D20322" w:rsidRDefault="000A5D79" w:rsidP="000A5D79">
      <w:pPr>
        <w:pStyle w:val="Titrearticle"/>
        <w:spacing w:before="120"/>
        <w:rPr>
          <w:b/>
          <w:i w:val="0"/>
          <w:noProof/>
        </w:rPr>
      </w:pPr>
      <w:r w:rsidRPr="00D20322">
        <w:rPr>
          <w:b/>
          <w:i w:val="0"/>
          <w:noProof/>
        </w:rPr>
        <w:t>Razkritje uporabe pristopa IRB za kreditno tveganje</w:t>
      </w:r>
    </w:p>
    <w:p w:rsidR="000A5D79" w:rsidRPr="00D20322" w:rsidRDefault="000A5D79" w:rsidP="000A5D79">
      <w:pPr>
        <w:rPr>
          <w:noProof/>
        </w:rPr>
      </w:pPr>
      <w:r w:rsidRPr="00D20322">
        <w:rPr>
          <w:noProof/>
        </w:rPr>
        <w:t>Institucije, ki izračunavajo zneske tveganju prilagojenih izpostavljenosti po pristopu IRB, razkrijejo informacije iz člena 438, točka (h), člena 452, točke (a) do (h), in člena 453, točki (g) in (j), Uredbe (EU) št. 575/2013</w:t>
      </w:r>
      <w:bookmarkStart w:id="4" w:name="_Hlk168654209"/>
      <w:r w:rsidRPr="00D20322">
        <w:rPr>
          <w:noProof/>
        </w:rPr>
        <w:t>, kot so določene v oddelku 11 z naslovom „Razkritje pristopa IRB za kreditno tveganje“ v Prilogi I.</w:t>
      </w:r>
    </w:p>
    <w:bookmarkEnd w:id="4"/>
    <w:p w:rsidR="000A5D79" w:rsidRPr="00D20322" w:rsidRDefault="000A5D79" w:rsidP="000A5D79">
      <w:pPr>
        <w:pStyle w:val="Titrearticle"/>
        <w:rPr>
          <w:noProof/>
        </w:rPr>
      </w:pPr>
      <w:r w:rsidRPr="00D20322">
        <w:rPr>
          <w:noProof/>
        </w:rPr>
        <w:t>Člen 13</w:t>
      </w:r>
    </w:p>
    <w:p w:rsidR="000A5D79" w:rsidRPr="00D20322" w:rsidRDefault="000A5D79" w:rsidP="000A5D79">
      <w:pPr>
        <w:pStyle w:val="Titrearticle"/>
        <w:spacing w:before="120"/>
        <w:rPr>
          <w:b/>
          <w:i w:val="0"/>
          <w:noProof/>
        </w:rPr>
      </w:pPr>
      <w:r w:rsidRPr="00D20322">
        <w:rPr>
          <w:b/>
          <w:i w:val="0"/>
          <w:noProof/>
        </w:rPr>
        <w:t>Razkritje izpostavljenosti iz naslova posebnih kreditnih aranžmajev in lastniških instrumentov</w:t>
      </w:r>
    </w:p>
    <w:p w:rsidR="000A5D79" w:rsidRPr="00D20322" w:rsidRDefault="000A5D79" w:rsidP="000A5D79">
      <w:pPr>
        <w:rPr>
          <w:noProof/>
        </w:rPr>
      </w:pPr>
      <w:r w:rsidRPr="00D20322">
        <w:rPr>
          <w:noProof/>
        </w:rPr>
        <w:t>Institucije razkrijejo informacije iz člena 438, točka (e), Uredbe (EU) št. 575/2013, kot so določene v oddelku 12 z naslovom „Razkritje izpostavljenosti iz naslova posebnih kreditnih aranžmajev in lastniških instrumentov“ v Prilogi I.</w:t>
      </w:r>
    </w:p>
    <w:p w:rsidR="000A5D79" w:rsidRPr="00D20322" w:rsidRDefault="000A5D79" w:rsidP="000A5D79">
      <w:pPr>
        <w:pStyle w:val="Titrearticle"/>
        <w:rPr>
          <w:noProof/>
        </w:rPr>
      </w:pPr>
      <w:r w:rsidRPr="00D20322">
        <w:rPr>
          <w:noProof/>
        </w:rPr>
        <w:t>Člen 14</w:t>
      </w:r>
    </w:p>
    <w:p w:rsidR="000A5D79" w:rsidRPr="00D20322" w:rsidRDefault="000A5D79" w:rsidP="000A5D79">
      <w:pPr>
        <w:pStyle w:val="Titrearticle"/>
        <w:spacing w:before="120"/>
        <w:rPr>
          <w:b/>
          <w:i w:val="0"/>
          <w:noProof/>
        </w:rPr>
      </w:pPr>
      <w:r w:rsidRPr="00D20322">
        <w:rPr>
          <w:b/>
          <w:i w:val="0"/>
          <w:noProof/>
        </w:rPr>
        <w:t>Razkritje izpostavljenosti kreditnemu tveganju nasprotne stranke</w:t>
      </w:r>
    </w:p>
    <w:p w:rsidR="000A5D79" w:rsidRPr="00D20322" w:rsidRDefault="000A5D79" w:rsidP="000A5D79">
      <w:pPr>
        <w:rPr>
          <w:noProof/>
        </w:rPr>
      </w:pPr>
      <w:r w:rsidRPr="00D20322">
        <w:rPr>
          <w:noProof/>
        </w:rPr>
        <w:t xml:space="preserve">Institucije razkrijejo informacije iz člena 438, točka (h), in člena 439 Uredbe (EU) št. 575/2013, kot so določene v oddelku 13 z naslovom „Razkritje kreditnega tveganja nasprotne stranke“ v Prilogi I. </w:t>
      </w:r>
    </w:p>
    <w:p w:rsidR="000A5D79" w:rsidRPr="00D20322" w:rsidRDefault="000A5D79" w:rsidP="000A5D79">
      <w:pPr>
        <w:pStyle w:val="Titrearticle"/>
        <w:rPr>
          <w:noProof/>
        </w:rPr>
      </w:pPr>
      <w:r w:rsidRPr="00D20322">
        <w:rPr>
          <w:noProof/>
        </w:rPr>
        <w:t>Člen 15</w:t>
      </w:r>
    </w:p>
    <w:p w:rsidR="000A5D79" w:rsidRPr="00D20322" w:rsidRDefault="000A5D79" w:rsidP="000A5D79">
      <w:pPr>
        <w:pStyle w:val="Titrearticle"/>
        <w:spacing w:before="120"/>
        <w:rPr>
          <w:b/>
          <w:i w:val="0"/>
          <w:noProof/>
        </w:rPr>
      </w:pPr>
      <w:r w:rsidRPr="00D20322">
        <w:rPr>
          <w:b/>
          <w:i w:val="0"/>
          <w:noProof/>
        </w:rPr>
        <w:t>Razkritje</w:t>
      </w:r>
      <w:bookmarkStart w:id="5" w:name="_Hlk163217793"/>
      <w:r w:rsidRPr="00D20322">
        <w:rPr>
          <w:b/>
          <w:i w:val="0"/>
          <w:noProof/>
        </w:rPr>
        <w:t xml:space="preserve"> izpostavljenosti pozicijam v listinjenju </w:t>
      </w:r>
      <w:bookmarkEnd w:id="5"/>
    </w:p>
    <w:p w:rsidR="000A5D79" w:rsidRPr="00D20322" w:rsidRDefault="000A5D79" w:rsidP="000A5D79">
      <w:pPr>
        <w:rPr>
          <w:noProof/>
        </w:rPr>
      </w:pPr>
      <w:r w:rsidRPr="00D20322">
        <w:rPr>
          <w:noProof/>
        </w:rPr>
        <w:t>Institucije razkrijejo informacije iz člena 449 Uredbe (EU) št. 575/2013, kot so določene v oddelku 14 z naslovom „Razkritje izpostavljenosti pozicijam v listinjenju“ v Prilogi I.</w:t>
      </w:r>
    </w:p>
    <w:p w:rsidR="000A5D79" w:rsidRPr="00D20322" w:rsidRDefault="000A5D79" w:rsidP="000A5D79">
      <w:pPr>
        <w:pStyle w:val="Titrearticle"/>
        <w:rPr>
          <w:noProof/>
        </w:rPr>
      </w:pPr>
      <w:r w:rsidRPr="00D20322">
        <w:rPr>
          <w:noProof/>
        </w:rPr>
        <w:t>Člen 16</w:t>
      </w:r>
    </w:p>
    <w:p w:rsidR="000A5D79" w:rsidRPr="00D20322" w:rsidRDefault="000A5D79" w:rsidP="000A5D79">
      <w:pPr>
        <w:pStyle w:val="Titrearticle"/>
        <w:spacing w:before="120"/>
        <w:rPr>
          <w:b/>
          <w:i w:val="0"/>
          <w:noProof/>
        </w:rPr>
      </w:pPr>
      <w:r w:rsidRPr="00D20322">
        <w:rPr>
          <w:b/>
          <w:i w:val="0"/>
          <w:noProof/>
        </w:rPr>
        <w:t>Razkritje uporabe standardiziranega pristopa in alternativnih notranjih modelov za tržno tveganje</w:t>
      </w:r>
    </w:p>
    <w:p w:rsidR="000A5D79" w:rsidRPr="00D20322" w:rsidRDefault="006E56C2" w:rsidP="006E56C2">
      <w:pPr>
        <w:pStyle w:val="ManualNumPar1"/>
        <w:rPr>
          <w:noProof/>
        </w:rPr>
      </w:pPr>
      <w:r w:rsidRPr="006E56C2">
        <w:rPr>
          <w:noProof/>
        </w:rPr>
        <w:t>1.</w:t>
      </w:r>
      <w:r w:rsidRPr="006E56C2">
        <w:rPr>
          <w:noProof/>
        </w:rPr>
        <w:tab/>
      </w:r>
      <w:r w:rsidR="000A5D79" w:rsidRPr="00D20322">
        <w:rPr>
          <w:noProof/>
        </w:rPr>
        <w:t>Institucije razkrijejo informacije iz člena 435(1), točke (a) do (d), člena 438, člena 445(1) in (2), člena 455(1), točke (a) do (f), ter člena 455(2) in (3) Uredbe (EU) št. 575/2013, kot so določene v oddelku 15 z naslovom „Razkritje tržnega tveganja“ v Prilogi I.</w:t>
      </w:r>
    </w:p>
    <w:p w:rsidR="000A5D79" w:rsidRPr="00D20322" w:rsidRDefault="006E56C2" w:rsidP="006E56C2">
      <w:pPr>
        <w:pStyle w:val="ManualNumPar1"/>
        <w:rPr>
          <w:noProof/>
        </w:rPr>
      </w:pPr>
      <w:r w:rsidRPr="006E56C2">
        <w:rPr>
          <w:noProof/>
        </w:rPr>
        <w:t>2.</w:t>
      </w:r>
      <w:r w:rsidRPr="006E56C2">
        <w:rPr>
          <w:noProof/>
        </w:rPr>
        <w:tab/>
      </w:r>
      <w:r w:rsidR="000A5D79" w:rsidRPr="00D20322">
        <w:rPr>
          <w:noProof/>
        </w:rPr>
        <w:t>Institucije do 31. decembra 2025 razkrivajo informacije v skladu s členom 15 Izvedbene uredbe Komisije (EU) 2021/637</w:t>
      </w:r>
      <w:r w:rsidR="000A5D79" w:rsidRPr="00D20322">
        <w:rPr>
          <w:rStyle w:val="FootnoteReference"/>
          <w:rFonts w:eastAsia="Times New Roman"/>
          <w:noProof/>
          <w:lang w:eastAsia="en-GB" w:bidi="en-GB"/>
        </w:rPr>
        <w:footnoteReference w:id="12"/>
      </w:r>
      <w:r w:rsidR="000A5D79" w:rsidRPr="00D20322">
        <w:rPr>
          <w:noProof/>
        </w:rPr>
        <w:t>.</w:t>
      </w:r>
    </w:p>
    <w:p w:rsidR="000A5D79" w:rsidRPr="00D20322" w:rsidRDefault="006E56C2" w:rsidP="006E56C2">
      <w:pPr>
        <w:pStyle w:val="ManualNumPar1"/>
        <w:rPr>
          <w:noProof/>
        </w:rPr>
      </w:pPr>
      <w:r w:rsidRPr="006E56C2">
        <w:rPr>
          <w:noProof/>
        </w:rPr>
        <w:t>3.</w:t>
      </w:r>
      <w:r w:rsidRPr="006E56C2">
        <w:rPr>
          <w:noProof/>
        </w:rPr>
        <w:tab/>
      </w:r>
      <w:r w:rsidR="000A5D79" w:rsidRPr="00D20322">
        <w:rPr>
          <w:noProof/>
        </w:rPr>
        <w:t xml:space="preserve">Na prvi datum uporabe alternativnih pristopov iz člena 325az Uredbe (EU) št. 575/2013 institucije, ki uporabljajo pristop alternativnih notranjih modelov za tržno tveganje, razkrijejo kvalitativne informacije iz člena 455(1), točke (a) do (f), Uredbe (EU) št. 575/2013 skupaj s kvantitativnimi informacijami iz člena 455(2) navedene uredbe. </w:t>
      </w:r>
    </w:p>
    <w:p w:rsidR="000A5D79" w:rsidRPr="00D20322" w:rsidRDefault="000A5D79" w:rsidP="00813A48">
      <w:pPr>
        <w:pStyle w:val="Titrearticle"/>
        <w:spacing w:before="120"/>
        <w:rPr>
          <w:noProof/>
        </w:rPr>
      </w:pPr>
      <w:r w:rsidRPr="00D20322">
        <w:rPr>
          <w:noProof/>
        </w:rPr>
        <w:t>Člen 17</w:t>
      </w:r>
    </w:p>
    <w:p w:rsidR="000A5D79" w:rsidRPr="00D20322" w:rsidRDefault="000A5D79" w:rsidP="00813A48">
      <w:pPr>
        <w:pStyle w:val="Titrearticle"/>
        <w:spacing w:before="120"/>
        <w:rPr>
          <w:b/>
          <w:i w:val="0"/>
          <w:noProof/>
        </w:rPr>
      </w:pPr>
      <w:r w:rsidRPr="00D20322">
        <w:rPr>
          <w:b/>
          <w:i w:val="0"/>
          <w:noProof/>
        </w:rPr>
        <w:t>Razkritje tveganja prilagoditve kreditnega vrednotenja</w:t>
      </w:r>
    </w:p>
    <w:p w:rsidR="000A5D79" w:rsidRPr="00D20322" w:rsidRDefault="000A5D79" w:rsidP="00905855">
      <w:pPr>
        <w:rPr>
          <w:noProof/>
        </w:rPr>
      </w:pPr>
      <w:r w:rsidRPr="00D20322">
        <w:rPr>
          <w:noProof/>
        </w:rPr>
        <w:t>Institucije razkrijejo informacije iz člena 438, točki (d) in (h), člena 439, točka (h), in člena 445a Uredbe (EU) št. 575/2013, kot so določene v oddelku 16 z naslovom „Razkritje tveganja prilagoditve kreditnega vrednotenja“ v Prilogi I.</w:t>
      </w:r>
    </w:p>
    <w:p w:rsidR="000A5D79" w:rsidRPr="00D20322" w:rsidRDefault="000A5D79" w:rsidP="000A5D79">
      <w:pPr>
        <w:pStyle w:val="Titrearticle"/>
        <w:rPr>
          <w:noProof/>
        </w:rPr>
      </w:pPr>
      <w:r w:rsidRPr="00D20322">
        <w:rPr>
          <w:noProof/>
        </w:rPr>
        <w:t>Člen 18</w:t>
      </w:r>
    </w:p>
    <w:p w:rsidR="000A5D79" w:rsidRPr="00D20322" w:rsidRDefault="000A5D79" w:rsidP="000A5D79">
      <w:pPr>
        <w:pStyle w:val="Titrearticle"/>
        <w:spacing w:before="120"/>
        <w:rPr>
          <w:b/>
          <w:i w:val="0"/>
          <w:noProof/>
        </w:rPr>
      </w:pPr>
      <w:r w:rsidRPr="00D20322">
        <w:rPr>
          <w:b/>
          <w:i w:val="0"/>
          <w:noProof/>
        </w:rPr>
        <w:t xml:space="preserve">Razkritje operativnega tveganja </w:t>
      </w:r>
    </w:p>
    <w:p w:rsidR="000A5D79" w:rsidRPr="00D20322" w:rsidRDefault="000A5D79" w:rsidP="000A5D79">
      <w:pPr>
        <w:rPr>
          <w:noProof/>
        </w:rPr>
      </w:pPr>
      <w:r w:rsidRPr="00D20322">
        <w:rPr>
          <w:noProof/>
        </w:rPr>
        <w:t>Institucije razkrijejo informacije iz člena 435, člena 438, točka (d), in člena 446 Uredbe (EU) št. 575/2013, kot so določene v oddelku 17 z naslovom „Razkritje operativnega tveganja“ v Prilogi I.</w:t>
      </w:r>
    </w:p>
    <w:p w:rsidR="000A5D79" w:rsidRPr="00D20322" w:rsidRDefault="000A5D79" w:rsidP="000A5D79">
      <w:pPr>
        <w:pStyle w:val="Titrearticle"/>
        <w:rPr>
          <w:noProof/>
        </w:rPr>
      </w:pPr>
      <w:r w:rsidRPr="00D20322">
        <w:rPr>
          <w:noProof/>
        </w:rPr>
        <w:t xml:space="preserve">Člen 19 </w:t>
      </w:r>
    </w:p>
    <w:p w:rsidR="000A5D79" w:rsidRPr="00D20322" w:rsidRDefault="000A5D79" w:rsidP="000A5D79">
      <w:pPr>
        <w:pStyle w:val="Titrearticle"/>
        <w:spacing w:before="120"/>
        <w:rPr>
          <w:b/>
          <w:i w:val="0"/>
          <w:noProof/>
        </w:rPr>
      </w:pPr>
      <w:r w:rsidRPr="00D20322">
        <w:rPr>
          <w:b/>
          <w:i w:val="0"/>
          <w:noProof/>
        </w:rPr>
        <w:t>Razkritje izpostavljenosti obrestnemu tveganju pri pozicijah, ki niso v trgovalni knjigi</w:t>
      </w:r>
    </w:p>
    <w:p w:rsidR="000A5D79" w:rsidRPr="00D20322" w:rsidRDefault="006E56C2" w:rsidP="006E56C2">
      <w:pPr>
        <w:pStyle w:val="ManualNumPar1"/>
        <w:rPr>
          <w:noProof/>
        </w:rPr>
      </w:pPr>
      <w:r w:rsidRPr="006E56C2">
        <w:rPr>
          <w:noProof/>
        </w:rPr>
        <w:t>1.</w:t>
      </w:r>
      <w:r w:rsidRPr="006E56C2">
        <w:rPr>
          <w:noProof/>
        </w:rPr>
        <w:tab/>
      </w:r>
      <w:r w:rsidR="000A5D79" w:rsidRPr="00D20322">
        <w:rPr>
          <w:noProof/>
        </w:rPr>
        <w:t xml:space="preserve">Institucije razkrijejo informacije iz člena 448(1), točke (a) do (g), Uredbe (EU) št. 575/2013, kot so določene v oddelku 18 z naslovom „Razkritje obrestnega tveganja dejavnosti iz netrgovalne knjige“ v Prilogi I. </w:t>
      </w:r>
    </w:p>
    <w:p w:rsidR="000A5D79" w:rsidRPr="00D20322" w:rsidRDefault="006E56C2" w:rsidP="006E56C2">
      <w:pPr>
        <w:pStyle w:val="ManualNumPar1"/>
        <w:rPr>
          <w:noProof/>
        </w:rPr>
      </w:pPr>
      <w:r w:rsidRPr="006E56C2">
        <w:rPr>
          <w:noProof/>
        </w:rPr>
        <w:t>2.</w:t>
      </w:r>
      <w:r w:rsidRPr="006E56C2">
        <w:rPr>
          <w:noProof/>
        </w:rPr>
        <w:tab/>
      </w:r>
      <w:r w:rsidR="00725C62" w:rsidRPr="00D20322">
        <w:rPr>
          <w:noProof/>
        </w:rPr>
        <w:t>Institucijam, ki prvič razkrijejo informacije v skladu z odstavkom 1, teh informacij ni treba razkriti, če se nanašajo na prejšnji referenčni datum.</w:t>
      </w:r>
    </w:p>
    <w:p w:rsidR="000A5D79" w:rsidRPr="00D20322" w:rsidRDefault="000A5D79" w:rsidP="00813A48">
      <w:pPr>
        <w:pStyle w:val="Titrearticle"/>
        <w:rPr>
          <w:noProof/>
        </w:rPr>
      </w:pPr>
      <w:r w:rsidRPr="00D20322">
        <w:rPr>
          <w:noProof/>
        </w:rPr>
        <w:t>Člen 20</w:t>
      </w:r>
    </w:p>
    <w:p w:rsidR="000A5D79" w:rsidRPr="00D20322" w:rsidRDefault="000A5D79" w:rsidP="000A5D79">
      <w:pPr>
        <w:pStyle w:val="Titrearticle"/>
        <w:spacing w:before="120"/>
        <w:rPr>
          <w:b/>
          <w:i w:val="0"/>
          <w:noProof/>
        </w:rPr>
      </w:pPr>
      <w:r w:rsidRPr="00D20322">
        <w:rPr>
          <w:b/>
          <w:i w:val="0"/>
          <w:noProof/>
        </w:rPr>
        <w:t>Razkritje politike prejemkov</w:t>
      </w:r>
    </w:p>
    <w:p w:rsidR="000A5D79" w:rsidRPr="00D20322" w:rsidRDefault="000A5D79" w:rsidP="00905855">
      <w:pPr>
        <w:rPr>
          <w:i/>
          <w:noProof/>
        </w:rPr>
      </w:pPr>
      <w:r w:rsidRPr="00D20322">
        <w:rPr>
          <w:noProof/>
        </w:rPr>
        <w:t xml:space="preserve">Institucije razkrijejo informacije iz člena 450 Uredbe (EU) št. 575/2013, kot so določene v oddelku 19 z naslovom „Razkritje politike prejemkov“ v Prilogi I. </w:t>
      </w:r>
    </w:p>
    <w:p w:rsidR="000A5D79" w:rsidRPr="00D20322" w:rsidRDefault="000A5D79" w:rsidP="00115B95">
      <w:pPr>
        <w:pStyle w:val="Titrearticle"/>
        <w:rPr>
          <w:noProof/>
        </w:rPr>
      </w:pPr>
      <w:r w:rsidRPr="00D20322">
        <w:rPr>
          <w:noProof/>
        </w:rPr>
        <w:t>Člen 21</w:t>
      </w:r>
    </w:p>
    <w:p w:rsidR="000A5D79" w:rsidRPr="00D20322" w:rsidRDefault="000A5D79" w:rsidP="000A5D79">
      <w:pPr>
        <w:pStyle w:val="Titrearticle"/>
        <w:spacing w:before="120"/>
        <w:rPr>
          <w:b/>
          <w:i w:val="0"/>
          <w:noProof/>
        </w:rPr>
      </w:pPr>
      <w:r w:rsidRPr="00D20322">
        <w:rPr>
          <w:b/>
          <w:i w:val="0"/>
          <w:noProof/>
        </w:rPr>
        <w:t xml:space="preserve">Razkritje obremenjenih in neobremenjenih sredstev </w:t>
      </w:r>
    </w:p>
    <w:p w:rsidR="000A5D79" w:rsidRPr="00D20322" w:rsidRDefault="000A5D79" w:rsidP="00905855">
      <w:pPr>
        <w:rPr>
          <w:noProof/>
        </w:rPr>
      </w:pPr>
      <w:r w:rsidRPr="00D20322">
        <w:rPr>
          <w:noProof/>
        </w:rPr>
        <w:t xml:space="preserve">Institucije razkrijejo informacije iz člena 443 Uredbe (EU) št. 575/2013, kot so določene v oddelku 20 z naslovom „Razkritje obremenjenih in neobremenjenih sredstev“ v Prilogi I. </w:t>
      </w:r>
    </w:p>
    <w:p w:rsidR="000A5D79" w:rsidRPr="00D20322" w:rsidRDefault="000A5D79" w:rsidP="00115B95">
      <w:pPr>
        <w:pStyle w:val="Titrearticle"/>
        <w:rPr>
          <w:noProof/>
        </w:rPr>
      </w:pPr>
      <w:r w:rsidRPr="00D20322">
        <w:rPr>
          <w:noProof/>
        </w:rPr>
        <w:t xml:space="preserve">Člen 22 </w:t>
      </w:r>
    </w:p>
    <w:p w:rsidR="000A5D79" w:rsidRPr="00D20322" w:rsidRDefault="000A5D79" w:rsidP="000A5D79">
      <w:pPr>
        <w:pStyle w:val="Titrearticle"/>
        <w:spacing w:before="120"/>
        <w:rPr>
          <w:b/>
          <w:i w:val="0"/>
          <w:noProof/>
        </w:rPr>
      </w:pPr>
      <w:r w:rsidRPr="00D20322">
        <w:rPr>
          <w:b/>
          <w:i w:val="0"/>
          <w:noProof/>
        </w:rPr>
        <w:t>Razkritje</w:t>
      </w:r>
      <w:bookmarkStart w:id="6" w:name="_Hlk163229421"/>
      <w:r w:rsidRPr="00D20322">
        <w:rPr>
          <w:b/>
          <w:i w:val="0"/>
          <w:noProof/>
        </w:rPr>
        <w:t xml:space="preserve"> okoljskih, socialnih in upravljavskih</w:t>
      </w:r>
      <w:bookmarkEnd w:id="6"/>
      <w:r w:rsidRPr="00D20322">
        <w:rPr>
          <w:b/>
          <w:i w:val="0"/>
          <w:noProof/>
        </w:rPr>
        <w:t xml:space="preserve"> tveganj (tveganj ESG)</w:t>
      </w:r>
    </w:p>
    <w:p w:rsidR="000A5D79" w:rsidRPr="00D20322" w:rsidRDefault="006E56C2" w:rsidP="006E56C2">
      <w:pPr>
        <w:pStyle w:val="ManualNumPar1"/>
        <w:rPr>
          <w:noProof/>
        </w:rPr>
      </w:pPr>
      <w:r w:rsidRPr="006E56C2">
        <w:rPr>
          <w:noProof/>
        </w:rPr>
        <w:t>1.</w:t>
      </w:r>
      <w:r w:rsidRPr="006E56C2">
        <w:rPr>
          <w:noProof/>
        </w:rPr>
        <w:tab/>
      </w:r>
      <w:r w:rsidR="000A5D79" w:rsidRPr="00D20322">
        <w:rPr>
          <w:noProof/>
        </w:rPr>
        <w:t>Institucije razkrijejo informacije iz člena 449a Uredbe (EU) št. 575/2013, kot so določene v oddelku 21 z naslovom „Razkritje bonitetnih razkritij o tveganjih ESG“ v Prilogi I. Te informacije zajemajo vse naslednje:</w:t>
      </w:r>
    </w:p>
    <w:p w:rsidR="000A5D79" w:rsidRPr="00D20322" w:rsidRDefault="006E56C2" w:rsidP="006E56C2">
      <w:pPr>
        <w:pStyle w:val="Point1"/>
        <w:rPr>
          <w:noProof/>
        </w:rPr>
      </w:pPr>
      <w:r w:rsidRPr="006E56C2">
        <w:rPr>
          <w:noProof/>
        </w:rPr>
        <w:t>(a)</w:t>
      </w:r>
      <w:r w:rsidRPr="006E56C2">
        <w:rPr>
          <w:noProof/>
        </w:rPr>
        <w:tab/>
      </w:r>
      <w:r w:rsidR="000A5D79" w:rsidRPr="00D20322">
        <w:rPr>
          <w:noProof/>
        </w:rPr>
        <w:t xml:space="preserve">kvalitativne informacije o okoljskih, socialnih in upravljavskih tveganjih; </w:t>
      </w:r>
    </w:p>
    <w:p w:rsidR="000A5D79" w:rsidRPr="00D20322" w:rsidRDefault="006E56C2" w:rsidP="006E56C2">
      <w:pPr>
        <w:pStyle w:val="Point1"/>
        <w:rPr>
          <w:noProof/>
        </w:rPr>
      </w:pPr>
      <w:r w:rsidRPr="006E56C2">
        <w:rPr>
          <w:noProof/>
        </w:rPr>
        <w:t>(b)</w:t>
      </w:r>
      <w:r w:rsidRPr="006E56C2">
        <w:rPr>
          <w:noProof/>
        </w:rPr>
        <w:tab/>
      </w:r>
      <w:r w:rsidR="000A5D79" w:rsidRPr="00D20322">
        <w:rPr>
          <w:noProof/>
        </w:rPr>
        <w:t xml:space="preserve">kvantitativne informacije o tveganju prehoda v zvezi s podnebnimi spremembami; </w:t>
      </w:r>
    </w:p>
    <w:p w:rsidR="000A5D79" w:rsidRPr="00D20322" w:rsidRDefault="006E56C2" w:rsidP="006E56C2">
      <w:pPr>
        <w:pStyle w:val="Point1"/>
        <w:rPr>
          <w:noProof/>
        </w:rPr>
      </w:pPr>
      <w:r w:rsidRPr="006E56C2">
        <w:rPr>
          <w:noProof/>
        </w:rPr>
        <w:t>(c)</w:t>
      </w:r>
      <w:r w:rsidRPr="006E56C2">
        <w:rPr>
          <w:noProof/>
        </w:rPr>
        <w:tab/>
      </w:r>
      <w:r w:rsidR="000A5D79" w:rsidRPr="00D20322">
        <w:rPr>
          <w:noProof/>
        </w:rPr>
        <w:t xml:space="preserve">kvantitativne informacije o fizičnih tveganjih v zvezi s podnebnimi spremembami; </w:t>
      </w:r>
    </w:p>
    <w:p w:rsidR="000A5D79" w:rsidRPr="00D20322" w:rsidRDefault="006E56C2" w:rsidP="006E56C2">
      <w:pPr>
        <w:pStyle w:val="Point1"/>
        <w:rPr>
          <w:noProof/>
        </w:rPr>
      </w:pPr>
      <w:r w:rsidRPr="006E56C2">
        <w:rPr>
          <w:noProof/>
        </w:rPr>
        <w:t>(d)</w:t>
      </w:r>
      <w:r w:rsidRPr="006E56C2">
        <w:rPr>
          <w:noProof/>
        </w:rPr>
        <w:tab/>
      </w:r>
      <w:r w:rsidR="000A5D79" w:rsidRPr="00D20322">
        <w:rPr>
          <w:noProof/>
        </w:rPr>
        <w:t>kvantitativne informacije o ukrepih za blažitev, povezanih z gospodarskimi dejavnostmi, ki se štejejo za okoljsko trajnostne v skladu s členom 3 Uredbe (EU) 2020/852, v zvezi z nasprotnimi strankami, za katere velja člen 19a ali 29a Direktive 2013/34/EU, gospodinjstvi in lokalnimi organi iz dela 1, točka 42(b), Priloge V k Izvedbeni uredbi Komisije (EU) 2021/451</w:t>
      </w:r>
      <w:r w:rsidR="000A5D79" w:rsidRPr="00D20322">
        <w:rPr>
          <w:rStyle w:val="FootnoteReference"/>
          <w:noProof/>
        </w:rPr>
        <w:footnoteReference w:id="13"/>
      </w:r>
      <w:r w:rsidR="000A5D79" w:rsidRPr="00D20322">
        <w:rPr>
          <w:noProof/>
        </w:rPr>
        <w:t xml:space="preserve">; </w:t>
      </w:r>
    </w:p>
    <w:p w:rsidR="000A5D79" w:rsidRPr="00D20322" w:rsidRDefault="006E56C2" w:rsidP="006E56C2">
      <w:pPr>
        <w:pStyle w:val="Point1"/>
        <w:rPr>
          <w:noProof/>
        </w:rPr>
      </w:pPr>
      <w:r w:rsidRPr="006E56C2">
        <w:rPr>
          <w:noProof/>
        </w:rPr>
        <w:t>(e)</w:t>
      </w:r>
      <w:r w:rsidRPr="006E56C2">
        <w:rPr>
          <w:noProof/>
        </w:rPr>
        <w:tab/>
      </w:r>
      <w:r w:rsidR="000A5D79" w:rsidRPr="00D20322">
        <w:rPr>
          <w:noProof/>
        </w:rPr>
        <w:t xml:space="preserve">kvantitativne informacije o drugih ukrepih za blažitev in izpostavljenostih tveganjem, povezanim s podnebnimi spremembami, ki se ne štejejo za okoljsko trajnostne gospodarske dejavnosti v skladu s členom 3 Uredbe (EU) 2020/852, vendar podpirajo nasprotne stranke pri procesu prehoda ali prilagajanja za doseganje ciljev blažitve podnebnih sprememb in prilagajanja podnebnim spremembam. </w:t>
      </w:r>
    </w:p>
    <w:p w:rsidR="000A5D79" w:rsidRPr="00D20322" w:rsidRDefault="006E56C2" w:rsidP="006E56C2">
      <w:pPr>
        <w:pStyle w:val="ManualNumPar1"/>
        <w:rPr>
          <w:noProof/>
        </w:rPr>
      </w:pPr>
      <w:r w:rsidRPr="006E56C2">
        <w:rPr>
          <w:noProof/>
        </w:rPr>
        <w:t>2.</w:t>
      </w:r>
      <w:r w:rsidRPr="006E56C2">
        <w:rPr>
          <w:noProof/>
        </w:rPr>
        <w:tab/>
      </w:r>
      <w:r w:rsidR="000A5D79" w:rsidRPr="00D20322">
        <w:rPr>
          <w:noProof/>
        </w:rPr>
        <w:t>Institucije se lahko odločijo razkriti kvantitativne informacije o ukrepih za blažitev in izpostavljenostih v zvezi s tveganji, ki izhajajo iz podnebnih sprememb, povezanih z gospodarskimi dejavnostmi, ki se štejejo za okoljsko trajnostne v skladu s členom 3 Uredbe (EU) 2020/852, v zvezi z nasprotnimi strankami, ki so nefinančne družbe, za katere ne veljajo obveznosti razkritja iz člena 19a ali 29a Direktive 2013/34/EU in za katere ne veljajo obveznosti razkritja iz Izvedbene uredbe Komisije (EU) 2021/2178</w:t>
      </w:r>
      <w:r w:rsidR="000A5D79" w:rsidRPr="00D20322">
        <w:rPr>
          <w:rStyle w:val="FootnoteReference"/>
          <w:noProof/>
        </w:rPr>
        <w:footnoteReference w:id="14"/>
      </w:r>
      <w:r w:rsidR="000A5D79" w:rsidRPr="00D20322">
        <w:rPr>
          <w:noProof/>
        </w:rPr>
        <w:t>.</w:t>
      </w:r>
    </w:p>
    <w:p w:rsidR="000A5D79" w:rsidRPr="00D20322" w:rsidRDefault="000A5D79" w:rsidP="00204A69">
      <w:pPr>
        <w:pStyle w:val="Text1"/>
        <w:rPr>
          <w:noProof/>
        </w:rPr>
      </w:pPr>
      <w:r w:rsidRPr="00D20322">
        <w:rPr>
          <w:noProof/>
        </w:rPr>
        <w:t xml:space="preserve">Za izračun odstotka izpostavljenosti do dejavnosti, ki izpolnjujejo zahteve iz člena 3 Uredbe (EU) 2020/852 (izpostavljenosti, usklajene s taksonomijo), v zvezi z navedenimi nasprotnimi strankami lahko institucije: </w:t>
      </w:r>
    </w:p>
    <w:p w:rsidR="000A5D79" w:rsidRPr="00D20322" w:rsidRDefault="006E56C2" w:rsidP="006E56C2">
      <w:pPr>
        <w:pStyle w:val="Point1"/>
        <w:rPr>
          <w:noProof/>
        </w:rPr>
      </w:pPr>
      <w:r w:rsidRPr="006E56C2">
        <w:rPr>
          <w:noProof/>
        </w:rPr>
        <w:t>(a)</w:t>
      </w:r>
      <w:r w:rsidRPr="006E56C2">
        <w:rPr>
          <w:noProof/>
        </w:rPr>
        <w:tab/>
      </w:r>
      <w:r w:rsidR="000A5D79" w:rsidRPr="00D20322">
        <w:rPr>
          <w:noProof/>
        </w:rPr>
        <w:t xml:space="preserve">kadar so na voljo, uporabijo informacije, prejete od svojih nasprotnih strank na prostovoljni in dvostranski osnovi ob izdajanju kreditov ter med rednim postopkom kreditnega pregledovanja in spremljanja; </w:t>
      </w:r>
    </w:p>
    <w:p w:rsidR="000A5D79" w:rsidRPr="00D20322" w:rsidRDefault="006E56C2" w:rsidP="006E56C2">
      <w:pPr>
        <w:pStyle w:val="Point1"/>
        <w:rPr>
          <w:noProof/>
        </w:rPr>
      </w:pPr>
      <w:r w:rsidRPr="006E56C2">
        <w:rPr>
          <w:noProof/>
        </w:rPr>
        <w:t>(b)</w:t>
      </w:r>
      <w:r w:rsidRPr="006E56C2">
        <w:rPr>
          <w:noProof/>
        </w:rPr>
        <w:tab/>
      </w:r>
      <w:r w:rsidR="000A5D79" w:rsidRPr="00D20322">
        <w:rPr>
          <w:noProof/>
        </w:rPr>
        <w:t>kadar nasprotna stranka ne more ali ni pripravljena zagotoviti zadevnih podatkov na dvostranski osnovi, uporabijo notranje ocene in približke ter v opisu, priloženem predlogi, pojasnijo, v kakšnem obsegu so bile uporabljene te notranje ocene in približki ter katere notranje ocene in približki so bili uporabljeni;</w:t>
      </w:r>
    </w:p>
    <w:p w:rsidR="000A5D79" w:rsidRPr="00D20322" w:rsidRDefault="006E56C2" w:rsidP="006E56C2">
      <w:pPr>
        <w:pStyle w:val="Point1"/>
        <w:rPr>
          <w:noProof/>
        </w:rPr>
      </w:pPr>
      <w:r w:rsidRPr="006E56C2">
        <w:rPr>
          <w:noProof/>
        </w:rPr>
        <w:t>(c)</w:t>
      </w:r>
      <w:r w:rsidRPr="006E56C2">
        <w:rPr>
          <w:noProof/>
        </w:rPr>
        <w:tab/>
      </w:r>
      <w:r w:rsidR="000A5D79" w:rsidRPr="00D20322">
        <w:rPr>
          <w:noProof/>
        </w:rPr>
        <w:t xml:space="preserve">kadar zadevnih informacij ne morejo zbrati na dvostranski osnovi oziroma ne morejo uporabiti notranjih ocen in približkov ali ne morejo zbrati informacij oziroma ne morejo uporabiti ocen in približkov na način, ki zanje ali za njihove nasprotne stranke ni pretirano obremenjujoč, to nezmožnost pojasnijo v opisu, priloženem predlogi. </w:t>
      </w:r>
    </w:p>
    <w:p w:rsidR="000A5D79" w:rsidRPr="00D20322" w:rsidRDefault="000A5D79" w:rsidP="00204A69">
      <w:pPr>
        <w:pStyle w:val="Text1"/>
        <w:rPr>
          <w:noProof/>
        </w:rPr>
      </w:pPr>
      <w:r w:rsidRPr="00D20322">
        <w:rPr>
          <w:noProof/>
        </w:rPr>
        <w:t xml:space="preserve">Za namene točke (a) institucije obvestijo svoje nasprotne stranke, da je zagotavljanje takih informacij prostovoljno. </w:t>
      </w:r>
    </w:p>
    <w:p w:rsidR="000A5D79" w:rsidRPr="00D20322" w:rsidRDefault="000A5D79" w:rsidP="00813A48">
      <w:pPr>
        <w:pStyle w:val="Titrearticle"/>
        <w:spacing w:before="120"/>
        <w:rPr>
          <w:noProof/>
        </w:rPr>
      </w:pPr>
      <w:r w:rsidRPr="00D20322">
        <w:rPr>
          <w:noProof/>
        </w:rPr>
        <w:t>Člen 23</w:t>
      </w:r>
    </w:p>
    <w:p w:rsidR="000A5D79" w:rsidRPr="00D20322" w:rsidRDefault="00AB6551" w:rsidP="00813A48">
      <w:pPr>
        <w:pStyle w:val="Titrearticle"/>
        <w:spacing w:before="120"/>
        <w:rPr>
          <w:b/>
          <w:i w:val="0"/>
          <w:noProof/>
        </w:rPr>
      </w:pPr>
      <w:r w:rsidRPr="00D20322">
        <w:rPr>
          <w:b/>
          <w:i w:val="0"/>
          <w:noProof/>
        </w:rPr>
        <w:t>Razkritje kriptosredstev</w:t>
      </w:r>
    </w:p>
    <w:p w:rsidR="000A5D79" w:rsidRDefault="000A5D79" w:rsidP="00905855">
      <w:pPr>
        <w:rPr>
          <w:noProof/>
        </w:rPr>
      </w:pPr>
      <w:r w:rsidRPr="00D20322">
        <w:rPr>
          <w:noProof/>
        </w:rPr>
        <w:t xml:space="preserve">Institucije razkrijejo informacije za izračun kapitalskih zahtev za izpostavljenosti iz naslova kriptosredstev </w:t>
      </w:r>
      <w:bookmarkStart w:id="7" w:name="_Hlk163582169"/>
      <w:r w:rsidRPr="00D20322">
        <w:rPr>
          <w:noProof/>
        </w:rPr>
        <w:t>v skladu s členom 501d(2)</w:t>
      </w:r>
      <w:bookmarkEnd w:id="7"/>
      <w:r w:rsidRPr="00D20322">
        <w:rPr>
          <w:noProof/>
        </w:rPr>
        <w:t xml:space="preserve"> Uredbe (EU) št. 575/2013, kot so določene v oddelku 22 – „Razkritje izpostavljenosti iz naslova kriptosredstev“ v Prilogi I.</w:t>
      </w:r>
    </w:p>
    <w:p w:rsidR="00124F91" w:rsidRPr="00D20322" w:rsidRDefault="00124F91" w:rsidP="00905855">
      <w:pPr>
        <w:rPr>
          <w:noProof/>
        </w:rPr>
      </w:pPr>
    </w:p>
    <w:p w:rsidR="0066214E" w:rsidRPr="00D20322" w:rsidRDefault="0066214E" w:rsidP="0066214E">
      <w:pPr>
        <w:spacing w:before="360"/>
        <w:jc w:val="center"/>
        <w:rPr>
          <w:i/>
          <w:iCs/>
          <w:noProof/>
        </w:rPr>
      </w:pPr>
      <w:r w:rsidRPr="00D20322">
        <w:rPr>
          <w:i/>
          <w:noProof/>
        </w:rPr>
        <w:t>Člen 24</w:t>
      </w:r>
    </w:p>
    <w:p w:rsidR="0066214E" w:rsidRPr="00D20322" w:rsidRDefault="0066214E" w:rsidP="0066214E">
      <w:pPr>
        <w:jc w:val="center"/>
        <w:rPr>
          <w:b/>
          <w:bCs/>
          <w:noProof/>
        </w:rPr>
      </w:pPr>
      <w:r w:rsidRPr="00D20322">
        <w:rPr>
          <w:b/>
          <w:noProof/>
        </w:rPr>
        <w:t xml:space="preserve">Rešitve informacijske tehnologije (IT) </w:t>
      </w:r>
    </w:p>
    <w:p w:rsidR="00344DF8" w:rsidRPr="00D20322" w:rsidRDefault="006C550D" w:rsidP="00BB0B33">
      <w:pPr>
        <w:rPr>
          <w:noProof/>
        </w:rPr>
      </w:pPr>
      <w:r w:rsidRPr="00D20322">
        <w:rPr>
          <w:noProof/>
        </w:rPr>
        <w:t xml:space="preserve">EBA zagotovi, da so rešitve IT, vključno z navodili, razvite za razkritja, ki se zahtevajo v skladu z naslovoma II in III Uredbe (EU) št. 575/2013, vedno skladne z enotnimi obrazci za razkritja iz te uredbe ter vključujejo vse podatkovne točke in informacije, navedene v predlogah za razkritja. </w:t>
      </w:r>
    </w:p>
    <w:p w:rsidR="00344DF8" w:rsidRPr="00D20322" w:rsidRDefault="00344DF8" w:rsidP="00BB0B33">
      <w:pPr>
        <w:rPr>
          <w:noProof/>
        </w:rPr>
      </w:pPr>
      <w:r w:rsidRPr="00D20322">
        <w:rPr>
          <w:noProof/>
        </w:rPr>
        <w:t>EBA na svojem spletnem mestu zagotovi rešitve IT iz prvega odstavka in vsa povezana navodila. EBA te rešitve IT in navodila posodablja in jih zagotovi v vseh uradnih jezikih.</w:t>
      </w:r>
    </w:p>
    <w:p w:rsidR="000A5D79" w:rsidRPr="00D20322" w:rsidRDefault="000A5D79" w:rsidP="000A5D79">
      <w:pPr>
        <w:pStyle w:val="Titrearticle"/>
        <w:rPr>
          <w:noProof/>
        </w:rPr>
      </w:pPr>
      <w:r w:rsidRPr="00D20322">
        <w:rPr>
          <w:noProof/>
        </w:rPr>
        <w:t>Člen 25</w:t>
      </w:r>
    </w:p>
    <w:p w:rsidR="000A5D79" w:rsidRPr="00D20322" w:rsidRDefault="000A5D79" w:rsidP="000A5D79">
      <w:pPr>
        <w:pStyle w:val="Titrearticle"/>
        <w:spacing w:before="120"/>
        <w:rPr>
          <w:b/>
          <w:i w:val="0"/>
          <w:noProof/>
        </w:rPr>
      </w:pPr>
      <w:r w:rsidRPr="00D20322">
        <w:rPr>
          <w:b/>
          <w:i w:val="0"/>
          <w:noProof/>
        </w:rPr>
        <w:t>Splošne določbe o enotnih obrazcih za razkritja</w:t>
      </w:r>
    </w:p>
    <w:p w:rsidR="000A5D79" w:rsidRPr="00D20322" w:rsidRDefault="006E56C2" w:rsidP="006E56C2">
      <w:pPr>
        <w:pStyle w:val="ManualNumPar1"/>
        <w:rPr>
          <w:noProof/>
        </w:rPr>
      </w:pPr>
      <w:r w:rsidRPr="006E56C2">
        <w:rPr>
          <w:noProof/>
        </w:rPr>
        <w:t>1.</w:t>
      </w:r>
      <w:r w:rsidRPr="006E56C2">
        <w:rPr>
          <w:noProof/>
        </w:rPr>
        <w:tab/>
      </w:r>
      <w:r w:rsidR="000A5D79" w:rsidRPr="00D20322">
        <w:rPr>
          <w:noProof/>
        </w:rPr>
        <w:t xml:space="preserve">Oštevilčenje vrstic ali stolpcev v </w:t>
      </w:r>
      <w:r w:rsidR="000A5D79" w:rsidRPr="00D20322">
        <w:rPr>
          <w:noProof/>
          <w:color w:val="000000"/>
        </w:rPr>
        <w:t>enotnih obrazcih za razkritja iz Priloge I</w:t>
      </w:r>
      <w:r w:rsidR="000A5D79" w:rsidRPr="00D20322">
        <w:rPr>
          <w:noProof/>
        </w:rPr>
        <w:t>, vključenih v rešitve IT, ki jih razvije EBA, se ne spremeni, če institucija opusti eno ali več razkritij v skladu s členom 432 Uredbe (EU) št. 575/2013.</w:t>
      </w:r>
    </w:p>
    <w:p w:rsidR="000A5D79" w:rsidRPr="00D20322" w:rsidRDefault="006E56C2" w:rsidP="006E56C2">
      <w:pPr>
        <w:pStyle w:val="ManualNumPar1"/>
        <w:rPr>
          <w:noProof/>
        </w:rPr>
      </w:pPr>
      <w:r w:rsidRPr="006E56C2">
        <w:rPr>
          <w:noProof/>
        </w:rPr>
        <w:t>2.</w:t>
      </w:r>
      <w:r w:rsidRPr="006E56C2">
        <w:rPr>
          <w:noProof/>
        </w:rPr>
        <w:tab/>
      </w:r>
      <w:r w:rsidR="000A5D79" w:rsidRPr="00D20322">
        <w:rPr>
          <w:noProof/>
        </w:rPr>
        <w:t>Institucije v besedilu, priloženem zadevni predlogi ali razpredelnici, temelječi na rešitvah IT, jasno navedejo, katere vrstice ali stolpci niso izpolnjeni, in razlog za opustitev razkritja.</w:t>
      </w:r>
    </w:p>
    <w:p w:rsidR="000A5D79" w:rsidRPr="00D20322" w:rsidRDefault="006E56C2" w:rsidP="006E56C2">
      <w:pPr>
        <w:pStyle w:val="ManualNumPar1"/>
        <w:rPr>
          <w:noProof/>
        </w:rPr>
      </w:pPr>
      <w:r w:rsidRPr="006E56C2">
        <w:rPr>
          <w:noProof/>
        </w:rPr>
        <w:t>3.</w:t>
      </w:r>
      <w:r w:rsidRPr="006E56C2">
        <w:rPr>
          <w:noProof/>
        </w:rPr>
        <w:tab/>
      </w:r>
      <w:r w:rsidR="000A5D79" w:rsidRPr="00D20322">
        <w:rPr>
          <w:noProof/>
        </w:rPr>
        <w:t>Informacije, ki se zahtevajo s členom 431 Uredbe (EU) št. 575/2013, so jasne in izčrpne, tako da lahko njihovi uporabniki razumejo kvantitativna razkritja, in se navedejo poleg predlog, na katere se nanašajo.</w:t>
      </w:r>
    </w:p>
    <w:p w:rsidR="000A5D79" w:rsidRPr="00D20322" w:rsidRDefault="006E56C2" w:rsidP="006E56C2">
      <w:pPr>
        <w:pStyle w:val="ManualNumPar1"/>
        <w:rPr>
          <w:noProof/>
        </w:rPr>
      </w:pPr>
      <w:r w:rsidRPr="006E56C2">
        <w:rPr>
          <w:noProof/>
        </w:rPr>
        <w:t>4.</w:t>
      </w:r>
      <w:r w:rsidRPr="006E56C2">
        <w:rPr>
          <w:noProof/>
        </w:rPr>
        <w:tab/>
      </w:r>
      <w:r w:rsidR="000A5D79" w:rsidRPr="00D20322">
        <w:rPr>
          <w:noProof/>
        </w:rPr>
        <w:t>Numerične vrednosti se predstavijo na naslednji način:</w:t>
      </w:r>
    </w:p>
    <w:p w:rsidR="000A5D79" w:rsidRPr="00D20322" w:rsidRDefault="006E56C2" w:rsidP="006E56C2">
      <w:pPr>
        <w:pStyle w:val="Point1"/>
        <w:rPr>
          <w:noProof/>
        </w:rPr>
      </w:pPr>
      <w:r w:rsidRPr="006E56C2">
        <w:rPr>
          <w:noProof/>
        </w:rPr>
        <w:t>(a)</w:t>
      </w:r>
      <w:r w:rsidRPr="006E56C2">
        <w:rPr>
          <w:noProof/>
        </w:rPr>
        <w:tab/>
      </w:r>
      <w:r w:rsidR="000A5D79" w:rsidRPr="00D20322">
        <w:rPr>
          <w:noProof/>
        </w:rPr>
        <w:t>kvantitativni monetarni podatki se razkrijejo z najmanjšim ekvivalentom natančnosti na milijon enot;</w:t>
      </w:r>
    </w:p>
    <w:p w:rsidR="000A5D79" w:rsidRPr="00D20322" w:rsidRDefault="006E56C2" w:rsidP="006E56C2">
      <w:pPr>
        <w:pStyle w:val="Point1"/>
        <w:rPr>
          <w:noProof/>
        </w:rPr>
      </w:pPr>
      <w:r w:rsidRPr="006E56C2">
        <w:rPr>
          <w:noProof/>
        </w:rPr>
        <w:t>(a)</w:t>
      </w:r>
      <w:r w:rsidRPr="006E56C2">
        <w:rPr>
          <w:noProof/>
        </w:rPr>
        <w:tab/>
      </w:r>
      <w:r w:rsidR="000A5D79" w:rsidRPr="00D20322">
        <w:rPr>
          <w:noProof/>
        </w:rPr>
        <w:t>kvantitativni podatki, razkriti kot „odstotek“, se izrazijo na enoto z najmanjšim ekvivalentom natančnosti na štiri decimalna mesta.</w:t>
      </w:r>
    </w:p>
    <w:p w:rsidR="000A5D79" w:rsidRPr="00D20322" w:rsidRDefault="00757AA2" w:rsidP="00396A89">
      <w:pPr>
        <w:tabs>
          <w:tab w:val="left" w:pos="567"/>
        </w:tabs>
        <w:rPr>
          <w:noProof/>
        </w:rPr>
      </w:pPr>
      <w:r w:rsidRPr="00D20322">
        <w:rPr>
          <w:noProof/>
        </w:rPr>
        <w:t>5.</w:t>
      </w:r>
      <w:r w:rsidRPr="00D20322">
        <w:rPr>
          <w:noProof/>
        </w:rPr>
        <w:tab/>
        <w:t>Institucije zagotovijo tudi naslednje informacije:</w:t>
      </w:r>
    </w:p>
    <w:p w:rsidR="000A5D79" w:rsidRPr="00D20322" w:rsidRDefault="006E56C2" w:rsidP="006E56C2">
      <w:pPr>
        <w:pStyle w:val="Point1"/>
        <w:rPr>
          <w:noProof/>
        </w:rPr>
      </w:pPr>
      <w:r w:rsidRPr="006E56C2">
        <w:rPr>
          <w:noProof/>
        </w:rPr>
        <w:t>(a)</w:t>
      </w:r>
      <w:r w:rsidRPr="006E56C2">
        <w:rPr>
          <w:noProof/>
        </w:rPr>
        <w:tab/>
      </w:r>
      <w:r w:rsidR="000A5D79" w:rsidRPr="00D20322">
        <w:rPr>
          <w:noProof/>
        </w:rPr>
        <w:t xml:space="preserve">referenčni datum in referenčno obdobje razkritja; </w:t>
      </w:r>
    </w:p>
    <w:p w:rsidR="000A5D79" w:rsidRPr="00D20322" w:rsidRDefault="006E56C2" w:rsidP="006E56C2">
      <w:pPr>
        <w:pStyle w:val="Point1"/>
        <w:rPr>
          <w:noProof/>
        </w:rPr>
      </w:pPr>
      <w:r w:rsidRPr="006E56C2">
        <w:rPr>
          <w:noProof/>
        </w:rPr>
        <w:t>(b)</w:t>
      </w:r>
      <w:r w:rsidRPr="006E56C2">
        <w:rPr>
          <w:noProof/>
        </w:rPr>
        <w:tab/>
      </w:r>
      <w:r w:rsidR="000A5D79" w:rsidRPr="00D20322">
        <w:rPr>
          <w:noProof/>
        </w:rPr>
        <w:t xml:space="preserve">valuto poročanja; </w:t>
      </w:r>
    </w:p>
    <w:p w:rsidR="000A5D79" w:rsidRPr="00D20322" w:rsidRDefault="006E56C2" w:rsidP="006E56C2">
      <w:pPr>
        <w:pStyle w:val="Point1"/>
        <w:rPr>
          <w:noProof/>
        </w:rPr>
      </w:pPr>
      <w:r w:rsidRPr="006E56C2">
        <w:rPr>
          <w:noProof/>
        </w:rPr>
        <w:t>(c)</w:t>
      </w:r>
      <w:r w:rsidRPr="006E56C2">
        <w:rPr>
          <w:noProof/>
        </w:rPr>
        <w:tab/>
      </w:r>
      <w:r w:rsidR="000A5D79" w:rsidRPr="00D20322">
        <w:rPr>
          <w:noProof/>
        </w:rPr>
        <w:t>ime in, kjer je relevantno, identifikator pravnih subjektov (LEI) institucije, ki opravlja razkritja;</w:t>
      </w:r>
    </w:p>
    <w:p w:rsidR="000A5D79" w:rsidRPr="00D20322" w:rsidRDefault="006E56C2" w:rsidP="006E56C2">
      <w:pPr>
        <w:pStyle w:val="Point1"/>
        <w:rPr>
          <w:noProof/>
        </w:rPr>
      </w:pPr>
      <w:r w:rsidRPr="006E56C2">
        <w:rPr>
          <w:noProof/>
        </w:rPr>
        <w:t>(d)</w:t>
      </w:r>
      <w:r w:rsidRPr="006E56C2">
        <w:rPr>
          <w:noProof/>
        </w:rPr>
        <w:tab/>
      </w:r>
      <w:r w:rsidR="000A5D79" w:rsidRPr="00D20322">
        <w:rPr>
          <w:noProof/>
        </w:rPr>
        <w:t>kjer je relevantno, uporabljeni računovodski standard;</w:t>
      </w:r>
    </w:p>
    <w:p w:rsidR="000A5D79" w:rsidRPr="00D20322" w:rsidRDefault="006E56C2" w:rsidP="006E56C2">
      <w:pPr>
        <w:pStyle w:val="Point1"/>
        <w:rPr>
          <w:noProof/>
        </w:rPr>
      </w:pPr>
      <w:r w:rsidRPr="006E56C2">
        <w:rPr>
          <w:noProof/>
        </w:rPr>
        <w:t>(e)</w:t>
      </w:r>
      <w:r w:rsidRPr="006E56C2">
        <w:rPr>
          <w:noProof/>
        </w:rPr>
        <w:tab/>
      </w:r>
      <w:r w:rsidR="000A5D79" w:rsidRPr="00D20322">
        <w:rPr>
          <w:noProof/>
        </w:rPr>
        <w:t>kjer je relevantno, obseg konsolidacije.</w:t>
      </w:r>
    </w:p>
    <w:p w:rsidR="007B2B7C" w:rsidRPr="00D20322" w:rsidRDefault="007B2B7C" w:rsidP="007B2B7C">
      <w:pPr>
        <w:pStyle w:val="Titrearticle"/>
        <w:rPr>
          <w:noProof/>
        </w:rPr>
      </w:pPr>
      <w:r w:rsidRPr="00D20322">
        <w:rPr>
          <w:noProof/>
        </w:rPr>
        <w:t>Člen 26</w:t>
      </w:r>
    </w:p>
    <w:p w:rsidR="00AC044E" w:rsidRPr="00D20322" w:rsidRDefault="00AC044E" w:rsidP="00CA4079">
      <w:pPr>
        <w:pStyle w:val="Titrearticle"/>
        <w:spacing w:before="120"/>
        <w:rPr>
          <w:b/>
          <w:noProof/>
        </w:rPr>
      </w:pPr>
      <w:r w:rsidRPr="00D20322">
        <w:rPr>
          <w:b/>
          <w:i w:val="0"/>
          <w:noProof/>
        </w:rPr>
        <w:t>Obdobje razkritja in pogostost razkrivanja</w:t>
      </w:r>
    </w:p>
    <w:p w:rsidR="00970F90" w:rsidRPr="00D20322" w:rsidRDefault="006E56C2" w:rsidP="006E56C2">
      <w:pPr>
        <w:pStyle w:val="ManualNumPar1"/>
        <w:rPr>
          <w:noProof/>
        </w:rPr>
      </w:pPr>
      <w:r w:rsidRPr="006E56C2">
        <w:rPr>
          <w:noProof/>
        </w:rPr>
        <w:t>1.</w:t>
      </w:r>
      <w:r w:rsidRPr="006E56C2">
        <w:rPr>
          <w:noProof/>
        </w:rPr>
        <w:tab/>
      </w:r>
      <w:r w:rsidR="00AC044E" w:rsidRPr="00D20322">
        <w:rPr>
          <w:noProof/>
        </w:rPr>
        <w:t xml:space="preserve">Obdobja razkritja so opredeljena kot četrtletna obdobja T, T-1, T-2, T-3 in T-4. </w:t>
      </w:r>
    </w:p>
    <w:p w:rsidR="00AC044E" w:rsidRPr="00D20322" w:rsidRDefault="006E56C2" w:rsidP="006E56C2">
      <w:pPr>
        <w:pStyle w:val="ManualNumPar1"/>
        <w:rPr>
          <w:noProof/>
        </w:rPr>
      </w:pPr>
      <w:r w:rsidRPr="006E56C2">
        <w:rPr>
          <w:noProof/>
        </w:rPr>
        <w:t>2.</w:t>
      </w:r>
      <w:r w:rsidRPr="006E56C2">
        <w:rPr>
          <w:noProof/>
        </w:rPr>
        <w:tab/>
      </w:r>
      <w:r w:rsidR="00D234F9" w:rsidRPr="00D20322">
        <w:rPr>
          <w:noProof/>
        </w:rPr>
        <w:t xml:space="preserve">Vrstice ali stolpci v enotnih obrazcih za razkritja iz Priloge I, vključeni v rešitve IT, ki jih razvije EBA, se izpolnijo skladno s pogostostjo razkrivanja, določeno v členih 433a, 433b in 433c Uredbe (EU) št. 575/2013. </w:t>
      </w:r>
    </w:p>
    <w:p w:rsidR="00AC044E" w:rsidRPr="00D20322" w:rsidRDefault="006E56C2" w:rsidP="006E56C2">
      <w:pPr>
        <w:pStyle w:val="ManualNumPar1"/>
        <w:rPr>
          <w:noProof/>
        </w:rPr>
      </w:pPr>
      <w:r w:rsidRPr="006E56C2">
        <w:rPr>
          <w:noProof/>
        </w:rPr>
        <w:t>3.</w:t>
      </w:r>
      <w:r w:rsidRPr="006E56C2">
        <w:rPr>
          <w:noProof/>
        </w:rPr>
        <w:tab/>
      </w:r>
      <w:r w:rsidR="00AC044E" w:rsidRPr="00D20322">
        <w:rPr>
          <w:noProof/>
        </w:rPr>
        <w:t xml:space="preserve">Institucije, za katere velja obveznost objave razkritij, razkrivajo informacije z naslednjo pogostostjo: </w:t>
      </w:r>
    </w:p>
    <w:p w:rsidR="00AC044E" w:rsidRPr="00D20322" w:rsidRDefault="006E56C2" w:rsidP="006E56C2">
      <w:pPr>
        <w:pStyle w:val="Point1"/>
        <w:rPr>
          <w:noProof/>
        </w:rPr>
      </w:pPr>
      <w:r w:rsidRPr="006E56C2">
        <w:rPr>
          <w:noProof/>
        </w:rPr>
        <w:t>(a)</w:t>
      </w:r>
      <w:r w:rsidRPr="006E56C2">
        <w:rPr>
          <w:noProof/>
        </w:rPr>
        <w:tab/>
      </w:r>
      <w:r w:rsidR="00AC044E" w:rsidRPr="00D20322">
        <w:rPr>
          <w:noProof/>
        </w:rPr>
        <w:t xml:space="preserve">institucije, ki razkrivajo informacije iz Priloge I na četrtletni osnovi, zagotovijo podatke za obdobja T, T-1, T-2, T-3 in T-4; </w:t>
      </w:r>
    </w:p>
    <w:p w:rsidR="00AC044E" w:rsidRPr="00D20322" w:rsidRDefault="006E56C2" w:rsidP="006E56C2">
      <w:pPr>
        <w:pStyle w:val="Point1"/>
        <w:rPr>
          <w:noProof/>
        </w:rPr>
      </w:pPr>
      <w:r w:rsidRPr="006E56C2">
        <w:rPr>
          <w:noProof/>
        </w:rPr>
        <w:t>(b)</w:t>
      </w:r>
      <w:r w:rsidRPr="006E56C2">
        <w:rPr>
          <w:noProof/>
        </w:rPr>
        <w:tab/>
      </w:r>
      <w:r w:rsidR="00AC044E" w:rsidRPr="00D20322">
        <w:rPr>
          <w:noProof/>
        </w:rPr>
        <w:t xml:space="preserve">institucije, ki razkrivajo informacije iz Priloge I na polletni osnovi, zagotovijo podatke za obdobja T, T-2 in T-4; </w:t>
      </w:r>
    </w:p>
    <w:p w:rsidR="00AC044E" w:rsidRPr="00D20322" w:rsidRDefault="006E56C2" w:rsidP="006E56C2">
      <w:pPr>
        <w:pStyle w:val="Point1"/>
        <w:rPr>
          <w:noProof/>
        </w:rPr>
      </w:pPr>
      <w:r w:rsidRPr="006E56C2">
        <w:rPr>
          <w:noProof/>
        </w:rPr>
        <w:t>(c)</w:t>
      </w:r>
      <w:r w:rsidRPr="006E56C2">
        <w:rPr>
          <w:noProof/>
        </w:rPr>
        <w:tab/>
      </w:r>
      <w:r w:rsidR="00AC044E" w:rsidRPr="00D20322">
        <w:rPr>
          <w:noProof/>
        </w:rPr>
        <w:t>institucije, ki razkrivajo informacije iz Priloge I na letni osnovi, zagotovijo podatke za obdobji T in T-4.</w:t>
      </w:r>
    </w:p>
    <w:p w:rsidR="00AC044E" w:rsidRPr="00D20322" w:rsidRDefault="006E56C2" w:rsidP="006E56C2">
      <w:pPr>
        <w:pStyle w:val="ManualNumPar1"/>
        <w:rPr>
          <w:noProof/>
        </w:rPr>
      </w:pPr>
      <w:r w:rsidRPr="006E56C2">
        <w:rPr>
          <w:noProof/>
        </w:rPr>
        <w:t>4.</w:t>
      </w:r>
      <w:r w:rsidRPr="006E56C2">
        <w:rPr>
          <w:noProof/>
        </w:rPr>
        <w:tab/>
      </w:r>
      <w:r w:rsidR="00AC044E" w:rsidRPr="00D20322">
        <w:rPr>
          <w:noProof/>
        </w:rPr>
        <w:t>Institucije razkrijejo datume, ki ustrezajo obdobjem razkritja.</w:t>
      </w:r>
    </w:p>
    <w:p w:rsidR="00AC044E" w:rsidRPr="00D20322" w:rsidRDefault="006E56C2" w:rsidP="006E56C2">
      <w:pPr>
        <w:pStyle w:val="ManualNumPar1"/>
        <w:rPr>
          <w:noProof/>
        </w:rPr>
      </w:pPr>
      <w:r w:rsidRPr="006E56C2">
        <w:rPr>
          <w:noProof/>
        </w:rPr>
        <w:t>5.</w:t>
      </w:r>
      <w:r w:rsidRPr="006E56C2">
        <w:rPr>
          <w:noProof/>
        </w:rPr>
        <w:tab/>
      </w:r>
      <w:r w:rsidR="00AC044E" w:rsidRPr="00D20322">
        <w:rPr>
          <w:noProof/>
        </w:rPr>
        <w:t>Razkritje podatkov za prejšnja obdobja ni potrebno, če se podatki razkrivajo prvič.</w:t>
      </w:r>
    </w:p>
    <w:p w:rsidR="000A5D79" w:rsidRPr="00D20322" w:rsidRDefault="000A5D79" w:rsidP="000A5D79">
      <w:pPr>
        <w:pStyle w:val="Titrearticle"/>
        <w:rPr>
          <w:noProof/>
        </w:rPr>
      </w:pPr>
      <w:r w:rsidRPr="00D20322">
        <w:rPr>
          <w:noProof/>
        </w:rPr>
        <w:t>Člen 27</w:t>
      </w:r>
    </w:p>
    <w:p w:rsidR="000A5D79" w:rsidRPr="00D20322" w:rsidRDefault="000A5D79" w:rsidP="000A5D79">
      <w:pPr>
        <w:pStyle w:val="Titrearticle"/>
        <w:spacing w:before="120"/>
        <w:rPr>
          <w:b/>
          <w:i w:val="0"/>
          <w:noProof/>
        </w:rPr>
      </w:pPr>
      <w:r w:rsidRPr="00D20322">
        <w:rPr>
          <w:b/>
          <w:i w:val="0"/>
          <w:noProof/>
        </w:rPr>
        <w:t>Razveljavitev</w:t>
      </w:r>
    </w:p>
    <w:p w:rsidR="00B00045" w:rsidRPr="00D20322" w:rsidRDefault="006E56C2" w:rsidP="006E56C2">
      <w:pPr>
        <w:pStyle w:val="ManualNumPar1"/>
        <w:rPr>
          <w:noProof/>
        </w:rPr>
      </w:pPr>
      <w:r w:rsidRPr="006E56C2">
        <w:rPr>
          <w:noProof/>
        </w:rPr>
        <w:t>1.</w:t>
      </w:r>
      <w:r w:rsidRPr="006E56C2">
        <w:rPr>
          <w:noProof/>
        </w:rPr>
        <w:tab/>
      </w:r>
      <w:r w:rsidR="000A5D79" w:rsidRPr="00D20322">
        <w:rPr>
          <w:noProof/>
        </w:rPr>
        <w:t xml:space="preserve">Izvedbena uredba (EU) 2021/637, razen člena 15 ter prilog XXIX in XXX, se preneha uporabljati 1. januarja 2025. Člen 15 ter prilogi XXIX in XXX k Izvedbeni uredbi (EU) 2021/637 se še naprej uporabljajo do 31. decembra 2025, in sicer samo za namene člena 16 te uredbe. </w:t>
      </w:r>
    </w:p>
    <w:p w:rsidR="00B00045" w:rsidRPr="00D20322" w:rsidRDefault="006E56C2" w:rsidP="006E56C2">
      <w:pPr>
        <w:pStyle w:val="ManualNumPar1"/>
        <w:rPr>
          <w:noProof/>
        </w:rPr>
      </w:pPr>
      <w:r w:rsidRPr="006E56C2">
        <w:rPr>
          <w:noProof/>
        </w:rPr>
        <w:t>2.</w:t>
      </w:r>
      <w:r w:rsidRPr="006E56C2">
        <w:rPr>
          <w:noProof/>
        </w:rPr>
        <w:tab/>
      </w:r>
      <w:r w:rsidR="00D87C7D" w:rsidRPr="00D20322">
        <w:rPr>
          <w:noProof/>
        </w:rPr>
        <w:t xml:space="preserve">Izvedbena uredba (EU) 2021/637 se razveljavi z učinkom od 31. decembra 2025. </w:t>
      </w:r>
    </w:p>
    <w:p w:rsidR="000A5D79" w:rsidRPr="00D20322" w:rsidRDefault="006E56C2" w:rsidP="006E56C2">
      <w:pPr>
        <w:pStyle w:val="ManualNumPar1"/>
        <w:rPr>
          <w:noProof/>
        </w:rPr>
      </w:pPr>
      <w:r w:rsidRPr="006E56C2">
        <w:rPr>
          <w:noProof/>
        </w:rPr>
        <w:t>3.</w:t>
      </w:r>
      <w:r w:rsidRPr="006E56C2">
        <w:rPr>
          <w:noProof/>
        </w:rPr>
        <w:tab/>
      </w:r>
      <w:r w:rsidR="00056FFD" w:rsidRPr="00D20322">
        <w:rPr>
          <w:noProof/>
        </w:rPr>
        <w:t>Sklicevanje na razveljavljeno uredbo se šteje za sklicevanje na to uredbo in se bere v skladu s korelacijsko tabelo iz Priloge II.</w:t>
      </w:r>
    </w:p>
    <w:p w:rsidR="000A5D79" w:rsidRPr="00D20322" w:rsidRDefault="000A5D79" w:rsidP="001F6539">
      <w:pPr>
        <w:pStyle w:val="Titrearticle"/>
        <w:rPr>
          <w:noProof/>
        </w:rPr>
      </w:pPr>
      <w:r w:rsidRPr="00D20322">
        <w:rPr>
          <w:noProof/>
        </w:rPr>
        <w:t>Člen 28</w:t>
      </w:r>
    </w:p>
    <w:p w:rsidR="000A5D79" w:rsidRPr="00D20322" w:rsidRDefault="000A5D79" w:rsidP="000A5D79">
      <w:pPr>
        <w:pStyle w:val="Titrearticle"/>
        <w:spacing w:before="120"/>
        <w:rPr>
          <w:b/>
          <w:i w:val="0"/>
          <w:noProof/>
        </w:rPr>
      </w:pPr>
      <w:r w:rsidRPr="00D20322">
        <w:rPr>
          <w:b/>
          <w:i w:val="0"/>
          <w:noProof/>
        </w:rPr>
        <w:t>Začetek veljavnosti in uporaba</w:t>
      </w:r>
    </w:p>
    <w:p w:rsidR="000A5D79" w:rsidRPr="00D20322" w:rsidRDefault="000A5D79" w:rsidP="000A5D79">
      <w:pPr>
        <w:rPr>
          <w:noProof/>
        </w:rPr>
      </w:pPr>
      <w:r w:rsidRPr="00D20322">
        <w:rPr>
          <w:noProof/>
        </w:rPr>
        <w:t xml:space="preserve">Ta uredba začne veljati dvajseti dan po objavi v </w:t>
      </w:r>
      <w:r w:rsidRPr="00D20322">
        <w:rPr>
          <w:i/>
          <w:noProof/>
        </w:rPr>
        <w:t>Uradnem listu Evropske unije</w:t>
      </w:r>
      <w:r w:rsidRPr="00D20322">
        <w:rPr>
          <w:noProof/>
        </w:rPr>
        <w:t>.</w:t>
      </w:r>
    </w:p>
    <w:p w:rsidR="000A5D79" w:rsidRPr="00D20322" w:rsidRDefault="000A5D79" w:rsidP="000A5D79">
      <w:pPr>
        <w:rPr>
          <w:noProof/>
        </w:rPr>
      </w:pPr>
      <w:r w:rsidRPr="00D20322">
        <w:rPr>
          <w:noProof/>
        </w:rPr>
        <w:t xml:space="preserve">Uporablja se od 1. januarja 2025. </w:t>
      </w:r>
    </w:p>
    <w:p w:rsidR="0050796F" w:rsidRPr="00D20322" w:rsidRDefault="0050796F">
      <w:pPr>
        <w:pStyle w:val="Applicationdirecte"/>
        <w:rPr>
          <w:noProof/>
        </w:rPr>
      </w:pPr>
      <w:r w:rsidRPr="00D20322">
        <w:rPr>
          <w:noProof/>
        </w:rPr>
        <w:t>Ta uredba je v celoti zavezujoča in se neposredno uporablja v vseh državah članicah.</w:t>
      </w:r>
    </w:p>
    <w:p w:rsidR="0050796F" w:rsidRPr="00D20322" w:rsidRDefault="0022044E" w:rsidP="0088586B">
      <w:pPr>
        <w:pStyle w:val="Fait"/>
        <w:rPr>
          <w:noProof/>
        </w:rPr>
      </w:pPr>
      <w:r>
        <w:rPr>
          <w:noProof/>
        </w:rPr>
        <w:t>V Bruslju, 29.11.2024</w:t>
      </w:r>
    </w:p>
    <w:p w:rsidR="0050796F" w:rsidRPr="00D20322" w:rsidRDefault="0050796F" w:rsidP="0088586B">
      <w:pPr>
        <w:pStyle w:val="Institutionquisigne"/>
        <w:rPr>
          <w:noProof/>
        </w:rPr>
      </w:pPr>
      <w:r w:rsidRPr="00D20322">
        <w:rPr>
          <w:noProof/>
        </w:rPr>
        <w:tab/>
        <w:t>Za Komisijo</w:t>
      </w:r>
    </w:p>
    <w:p w:rsidR="0050796F" w:rsidRPr="00D20322" w:rsidRDefault="00B54481" w:rsidP="0050796F">
      <w:pPr>
        <w:pStyle w:val="Personnequisigne"/>
        <w:rPr>
          <w:noProof/>
        </w:rPr>
      </w:pPr>
      <w:r>
        <w:rPr>
          <w:noProof/>
        </w:rPr>
        <w:tab/>
        <w:t>Predsednica</w:t>
      </w:r>
      <w:r>
        <w:rPr>
          <w:noProof/>
        </w:rPr>
        <w:br/>
      </w:r>
      <w:r>
        <w:rPr>
          <w:noProof/>
        </w:rPr>
        <w:tab/>
        <w:t>Ursula VON DER LEYEN</w:t>
      </w:r>
    </w:p>
    <w:sectPr w:rsidR="0050796F" w:rsidRPr="00D20322" w:rsidSect="008E77DD">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DD" w:rsidRPr="008E77DD" w:rsidRDefault="008E77DD" w:rsidP="008E77DD">
    <w:pPr>
      <w:pStyle w:val="Footer"/>
      <w:rPr>
        <w:rFonts w:ascii="Arial" w:hAnsi="Arial" w:cs="Arial"/>
        <w:b/>
        <w:sz w:val="48"/>
      </w:rPr>
    </w:pPr>
    <w:r w:rsidRPr="008E77DD">
      <w:rPr>
        <w:rFonts w:ascii="Arial" w:hAnsi="Arial" w:cs="Arial"/>
        <w:b/>
        <w:sz w:val="48"/>
      </w:rPr>
      <w:t>SL</w:t>
    </w:r>
    <w:r w:rsidRPr="008E77DD">
      <w:rPr>
        <w:rFonts w:ascii="Arial" w:hAnsi="Arial" w:cs="Arial"/>
        <w:b/>
        <w:sz w:val="48"/>
      </w:rPr>
      <w:tab/>
    </w:r>
    <w:r w:rsidRPr="008E77DD">
      <w:rPr>
        <w:rFonts w:ascii="Arial" w:hAnsi="Arial" w:cs="Arial"/>
        <w:b/>
        <w:sz w:val="48"/>
      </w:rPr>
      <w:tab/>
    </w:r>
    <w:r w:rsidRPr="008E77DD">
      <w:tab/>
    </w:r>
    <w:r w:rsidRPr="008E77DD">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DD" w:rsidRPr="008E77DD" w:rsidRDefault="008E77DD" w:rsidP="008E77DD">
    <w:pPr>
      <w:pStyle w:val="Footer"/>
      <w:rPr>
        <w:rFonts w:ascii="Arial" w:hAnsi="Arial" w:cs="Arial"/>
        <w:b/>
        <w:sz w:val="48"/>
      </w:rPr>
    </w:pPr>
    <w:r w:rsidRPr="008E77DD">
      <w:rPr>
        <w:rFonts w:ascii="Arial" w:hAnsi="Arial" w:cs="Arial"/>
        <w:b/>
        <w:sz w:val="48"/>
      </w:rPr>
      <w:t>SL</w:t>
    </w:r>
    <w:r w:rsidRPr="008E77DD">
      <w:rPr>
        <w:rFonts w:ascii="Arial" w:hAnsi="Arial" w:cs="Arial"/>
        <w:b/>
        <w:sz w:val="48"/>
      </w:rPr>
      <w:tab/>
    </w:r>
    <w:r w:rsidRPr="008E77DD">
      <w:rPr>
        <w:rFonts w:ascii="Arial" w:hAnsi="Arial" w:cs="Arial"/>
        <w:b/>
        <w:sz w:val="48"/>
      </w:rPr>
      <w:tab/>
    </w:r>
    <w:r w:rsidRPr="008E77DD">
      <w:tab/>
    </w:r>
    <w:r w:rsidRPr="008E77DD">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DD" w:rsidRDefault="008E77D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DD" w:rsidRPr="008E77DD" w:rsidRDefault="008E77DD" w:rsidP="008E77DD">
    <w:pPr>
      <w:pStyle w:val="Footer"/>
      <w:rPr>
        <w:rFonts w:ascii="Arial" w:hAnsi="Arial" w:cs="Arial"/>
        <w:b/>
        <w:sz w:val="48"/>
      </w:rPr>
    </w:pPr>
    <w:r w:rsidRPr="008E77DD">
      <w:rPr>
        <w:rFonts w:ascii="Arial" w:hAnsi="Arial" w:cs="Arial"/>
        <w:b/>
        <w:sz w:val="48"/>
      </w:rPr>
      <w:t>SL</w:t>
    </w:r>
    <w:r w:rsidRPr="008E77DD">
      <w:rPr>
        <w:rFonts w:ascii="Arial" w:hAnsi="Arial" w:cs="Arial"/>
        <w:b/>
        <w:sz w:val="48"/>
      </w:rPr>
      <w:tab/>
    </w:r>
    <w:r>
      <w:fldChar w:fldCharType="begin"/>
    </w:r>
    <w:r>
      <w:instrText xml:space="preserve"> PAGE  \* MERGEFORMAT </w:instrText>
    </w:r>
    <w:r>
      <w:fldChar w:fldCharType="separate"/>
    </w:r>
    <w:r w:rsidR="0088586B">
      <w:rPr>
        <w:noProof/>
      </w:rPr>
      <w:t>12</w:t>
    </w:r>
    <w:r>
      <w:fldChar w:fldCharType="end"/>
    </w:r>
    <w:r>
      <w:tab/>
    </w:r>
    <w:r w:rsidRPr="008E77DD">
      <w:tab/>
    </w:r>
    <w:r w:rsidRPr="008E77DD">
      <w:rPr>
        <w:rFonts w:ascii="Arial" w:hAnsi="Arial" w:cs="Arial"/>
        <w:b/>
        <w:sz w:val="48"/>
      </w:rPr>
      <w:t>SL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DD" w:rsidRDefault="008E77DD" w:rsidP="008E77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7A31CC" w:rsidRDefault="000A5D79" w:rsidP="00115B95">
      <w:pPr>
        <w:pStyle w:val="FootnoteText"/>
      </w:pPr>
      <w:r>
        <w:rPr>
          <w:rStyle w:val="FootnoteReference"/>
        </w:rPr>
        <w:footnoteRef/>
      </w:r>
      <w:r>
        <w:tab/>
        <w:t xml:space="preserve">UL L 176, 27.6.2013, str. 1, ELI: </w:t>
      </w:r>
      <w:hyperlink r:id="rId1" w:tooltip="Dostop do tega dokumenta prek ELI URI." w:history="1">
        <w:r>
          <w:t>http://data.europa.eu/eli/reg/2013/575/oj</w:t>
        </w:r>
      </w:hyperlink>
      <w:r>
        <w:t>.</w:t>
      </w:r>
    </w:p>
  </w:footnote>
  <w:footnote w:id="3">
    <w:p w:rsidR="00021AB3" w:rsidRPr="00DA4EC3" w:rsidRDefault="00021AB3" w:rsidP="00021AB3">
      <w:pPr>
        <w:pStyle w:val="FootnoteText"/>
      </w:pPr>
      <w:r>
        <w:rPr>
          <w:rStyle w:val="FootnoteReference"/>
        </w:rPr>
        <w:footnoteRef/>
      </w:r>
      <w:r>
        <w:tab/>
        <w:t xml:space="preserve">Izvedbena uredba Komisije (EU) 2021/637 z dne 15. marca 2021 o določitvi izvedbenih tehničnih standardov v zvezi z javnim razkritjem informacij iz naslovov II in III dela 8 Uredbe (EU) št. 575/2013 Evropskega parlamenta in Sveta s strani institucij ter o razveljavitvi Izvedbene uredbe Komisije (EU) št. 1423/2013, Delegirane uredbe Komisije (EU) 2015/1555, Izvedbene uredbe Komisije (EU) 2016/200 in Delegirane uredbe Komisije (EU) 2017/2295 (UL L 136, 21.4.2021, str. 1, ELI: </w:t>
      </w:r>
      <w:hyperlink r:id="rId2" w:history="1">
        <w:r>
          <w:rPr>
            <w:rStyle w:val="Hyperlink"/>
          </w:rPr>
          <w:t>http://data.europa.eu/eli/reg_impl/2021/637/oj</w:t>
        </w:r>
      </w:hyperlink>
      <w:r>
        <w:t>).</w:t>
      </w:r>
    </w:p>
  </w:footnote>
  <w:footnote w:id="4">
    <w:p w:rsidR="00021AB3" w:rsidRPr="00DA4EC3" w:rsidRDefault="00021AB3" w:rsidP="00021AB3">
      <w:pPr>
        <w:pStyle w:val="FootnoteText"/>
      </w:pPr>
      <w:r>
        <w:rPr>
          <w:rStyle w:val="FootnoteReference"/>
        </w:rPr>
        <w:footnoteRef/>
      </w:r>
      <w:r>
        <w:tab/>
        <w:t xml:space="preserve">Uredba (EU) 2024/1623 Evropskega parlamenta in Sveta z dne 31. maja 2024 o spremembi Uredbe (EU) št. 575/2013 glede zahtev za kreditno tveganje, tveganje prilagoditve kreditnega vrednotenja, operativno tveganje, tržno tveganje in izstopni prag  (UL L, 2024/1623, 19.6.2024, ELI: </w:t>
      </w:r>
      <w:hyperlink r:id="rId3" w:history="1">
        <w:r>
          <w:rPr>
            <w:rStyle w:val="Hyperlink"/>
          </w:rPr>
          <w:t>http://data.europa.eu/eli/reg/2024/1623/oj</w:t>
        </w:r>
      </w:hyperlink>
      <w:r>
        <w:t>).</w:t>
      </w:r>
    </w:p>
  </w:footnote>
  <w:footnote w:id="5">
    <w:p w:rsidR="008B3F27" w:rsidRPr="009A75BF" w:rsidRDefault="00BB0B33" w:rsidP="005269C8">
      <w:pPr>
        <w:pStyle w:val="FootnoteText"/>
      </w:pPr>
      <w:r>
        <w:rPr>
          <w:rStyle w:val="FootnoteReference"/>
        </w:rPr>
        <w:footnoteRef/>
      </w:r>
      <w:r>
        <w:tab/>
        <w:t xml:space="preserve">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 ELI: http://data.europa.eu/eli/dir/2013/36/oj). </w:t>
      </w:r>
    </w:p>
  </w:footnote>
  <w:footnote w:id="6">
    <w:p w:rsidR="008E7046" w:rsidRPr="008E7046" w:rsidRDefault="008E7046">
      <w:pPr>
        <w:pStyle w:val="FootnoteText"/>
      </w:pPr>
      <w:r>
        <w:rPr>
          <w:rStyle w:val="FootnoteReference"/>
        </w:rPr>
        <w:footnoteRef/>
      </w:r>
      <w:r>
        <w:tab/>
        <w:t>Uredba (EU) 2020/852 Evropskega parlamenta in Sveta z dne 18. junija 2020 o vzpostavitvi okvira za spodbujanje trajnostnih naložb ter spremembi Uredbe (EU) 2019/2088 (UL L 198, 22.6.2020, str. 13, ELI: http://data.europa.eu/eli/reg/2020/852/oj).</w:t>
      </w:r>
    </w:p>
  </w:footnote>
  <w:footnote w:id="7">
    <w:p w:rsidR="000A5D79" w:rsidRDefault="000A5D79" w:rsidP="00115B95">
      <w:pPr>
        <w:pStyle w:val="FootnoteText"/>
      </w:pPr>
      <w:r>
        <w:rPr>
          <w:rStyle w:val="FootnoteReference"/>
        </w:rPr>
        <w:footnoteRef/>
      </w:r>
      <w:r>
        <w:tab/>
        <w:t>Delegirana uredba Komisije (EU) 2020/1818 z dne 17. julija 2020 o dopolnitvi Uredbe (EU) 2016/1011 Evropskega parlamenta in Sveta v zvezi z minimalnimi standardi za referenčne vrednosti EU za podnebni prehod in referenčne vrednosti EU, usklajene s Pariškim sporazumom (UL L 406, 3.12.2020, str. 17, ELI: http://data.europa.eu/eli/reg_del/2020/1818/oj).</w:t>
      </w:r>
    </w:p>
  </w:footnote>
  <w:footnote w:id="8">
    <w:p w:rsidR="000A5D79" w:rsidRDefault="000A5D79" w:rsidP="00115B95">
      <w:pPr>
        <w:pStyle w:val="FootnoteText"/>
      </w:pPr>
      <w:r>
        <w:rPr>
          <w:rStyle w:val="FootnoteReference"/>
        </w:rPr>
        <w:footnoteRef/>
      </w:r>
      <w:r>
        <w:tab/>
        <w:t>Direktiva 2010/31/EU Evropskega parlamenta in Sveta z dne 19. maja 2010 o energetski učinkovitosti stavb (UL L 153, 18.6.2010, str. 13, ELI: http://data.europa.eu/eli/dir/2010/31/oj).</w:t>
      </w:r>
    </w:p>
  </w:footnote>
  <w:footnote w:id="9">
    <w:p w:rsidR="000A5D79" w:rsidRDefault="000A5D79" w:rsidP="00115B95">
      <w:pPr>
        <w:pStyle w:val="FootnoteText"/>
      </w:pPr>
      <w:r>
        <w:rPr>
          <w:rStyle w:val="FootnoteReference"/>
        </w:rPr>
        <w:footnoteRef/>
      </w:r>
      <w:r>
        <w:tab/>
        <w:t>Direktiva 2013/34/EU Evropskega parlamenta in Sveta z dne 26. junija 2013 o letnih računovodskih izkazih, konsolidiranih računovodskih izkazih in povezanih poročilih nekaterih vrst podjetij, spremembi Direktive 2006/43/ES Evropskega parlamenta in Sveta ter razveljavitvi direktiv Sveta 78/660/EGS in 83/349/EGS (UL L 182, 29.6.2013, str. 19, ELI: http://data.europa.eu/eli/dir/2013/34/oj).</w:t>
      </w:r>
    </w:p>
  </w:footnote>
  <w:footnote w:id="10">
    <w:p w:rsidR="000A5D79" w:rsidRPr="00587191" w:rsidRDefault="000A5D79" w:rsidP="00115B95">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 ELI: http://data.europa.eu/eli/reg/2010/1093/oj).</w:t>
      </w:r>
    </w:p>
  </w:footnote>
  <w:footnote w:id="11">
    <w:p w:rsidR="004076A2" w:rsidRPr="004076A2" w:rsidRDefault="004076A2" w:rsidP="009A75BF">
      <w:pPr>
        <w:pStyle w:val="FootnoteText"/>
      </w:pPr>
      <w:r>
        <w:rPr>
          <w:rStyle w:val="FootnoteReference"/>
        </w:rPr>
        <w:footnoteRef/>
      </w:r>
      <w:r>
        <w:tab/>
        <w:t>Delegirana uredba Komisije (EU) št. 1222/2014 z dne 8. oktobra 2014 o dopolnitvi Direktive 2013/36/EU Evropskega parlamenta in Sveta v zvezi z regulativnimi tehničnimi standardi za specifikacijo metodologije za določitev globalnih sistemsko pomembnih institucij in za opredelitev podkategorij globalnih sistemsko pomembnih institucij (UL L 330, 15.11.2014, str. 27, ELI: http://data.europa.eu/eli/reg_del/2014/1222/oj).</w:t>
      </w:r>
    </w:p>
  </w:footnote>
  <w:footnote w:id="12">
    <w:p w:rsidR="000A5D79" w:rsidRPr="0010228D" w:rsidRDefault="000A5D79" w:rsidP="000A5D79">
      <w:pPr>
        <w:pStyle w:val="FootnoteText"/>
      </w:pPr>
      <w:r>
        <w:rPr>
          <w:rStyle w:val="FootnoteReference"/>
        </w:rPr>
        <w:footnoteRef/>
      </w:r>
      <w:r>
        <w:tab/>
      </w:r>
      <w:r>
        <w:rPr>
          <w:color w:val="333333"/>
          <w:shd w:val="clear" w:color="auto" w:fill="FFFFFF"/>
        </w:rPr>
        <w:t>Izvedbena uredba Komisije (EU) 2022/2453 z dne 30. novembra 2022 o spremembi izvedbenih tehničnih standardov iz Izvedbene uredbe (EU) 2021/637 glede razkritja okoljskih, socialnih in upravljavskih tveganj</w:t>
      </w:r>
      <w:r>
        <w:t xml:space="preserve"> (UL L 324, 19.12.2022, str. 1, ELI: </w:t>
      </w:r>
      <w:hyperlink r:id="rId4" w:tooltip="Dostop do tega dokumenta prek ELI URI." w:history="1">
        <w:r>
          <w:t>http://data.europa.eu/eli/reg_impl/2022/2453/oj</w:t>
        </w:r>
      </w:hyperlink>
      <w:r>
        <w:t>).</w:t>
      </w:r>
    </w:p>
  </w:footnote>
  <w:footnote w:id="13">
    <w:p w:rsidR="000A5D79" w:rsidRDefault="000A5D79" w:rsidP="00115B95">
      <w:pPr>
        <w:pStyle w:val="FootnoteText"/>
      </w:pPr>
      <w:r>
        <w:rPr>
          <w:rStyle w:val="FootnoteReference"/>
        </w:rPr>
        <w:footnoteRef/>
      </w:r>
      <w:r>
        <w:tab/>
        <w:t>Izvedbena uredba Komisije (EU) 2021/451 z dne 17. decembra 2020 o določitvi izvedbenih tehničnih standardov za uporabo Uredbe (EU) št. 575/2013 Evropskega parlamenta in Sveta v zvezi z nadzorniškim poročanjem institucij in razveljavitvi Izvedbene uredbe (EU) št. 680/2014 (UL L 97, 19.3.2021, str. 1, ELI: http://data.europa.eu/eli/reg_impl/2021/451/oj).</w:t>
      </w:r>
    </w:p>
  </w:footnote>
  <w:footnote w:id="14">
    <w:p w:rsidR="000A5D79" w:rsidRPr="00396A89" w:rsidRDefault="000A5D79" w:rsidP="009A75BF">
      <w:pPr>
        <w:pStyle w:val="FootnoteText"/>
      </w:pPr>
      <w:r>
        <w:rPr>
          <w:rStyle w:val="FootnoteReference"/>
        </w:rPr>
        <w:footnoteRef/>
      </w:r>
      <w:r>
        <w:tab/>
        <w:t>Delegirana uredba Komisije (EU) 2021/2178 z dne 6. julija 2021 o dopolnitvi Uredbe (EU) 2020/852 Evropskega parlamenta in Sveta z določitvijo vsebine in prikaza informacij, ki jih morajo razkriti podjetja, za katera se uporablja člen 19a ali 29a Direktive 2013/34/EU, o okoljsko trajnostnih gospodarskih dejavnostih, ter metodologije za izpolnjevanje te obveznosti razkritja (UL L 443, 10.12.2021, str.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DD" w:rsidRDefault="008E77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7DD" w:rsidRDefault="008E77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DBFED7D8-E893-4A60-8929-FEEBB2CA794D"/>
    <w:docVar w:name="LW_COVERPAGE_TYPE" w:val="1"/>
    <w:docVar w:name="LW_CROSSREFERENCE" w:val="&lt;UNUSED&gt;"/>
    <w:docVar w:name="LW_DATE.ADOPT.CP" w:val="z dne 29.11.2024"/>
    <w:docVar w:name="LW_DATE.ADOPT.CP_DATEFORMAT" w:val="z dne %DATE%"/>
    <w:docVar w:name="LW_DATE.ADOPT.CP_ISODATE" w:val="2024-11-29"/>
    <w:docVar w:name="LW_DocType" w:val="COM"/>
    <w:docVar w:name="LW_EMISSION" w:val="29.11.2024"/>
    <w:docVar w:name="LW_EMISSION_ISODATE" w:val="2024-11-29"/>
    <w:docVar w:name="LW_EMISSION_LOCATION" w:val="BRX"/>
    <w:docVar w:name="LW_EMISSION_PREFIX" w:val="Bruselj, "/>
    <w:docVar w:name="LW_EMISSION_SUFFIX" w:val=" "/>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dolo\u269?itvi izvedbenih tehni\u269?nih standardov za uporabo Uredbe (EU) \u353?t. 575/2013 Evropskega parlamenta in Sveta v zvezi z javnim razkritjem informacij iz dela 8, naslova II in III, navedene uredbe s strani institucij ter razveljavitvi Izvedbene uredbe Komisije (EU) 2021/637"/>
    <w:docVar w:name="LW_TYPE.DOC.CP" w:val="IZVEDBENA UREDBA KOMISIJE (EU) \u8230?/\u8230?"/>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5AF"/>
    <w:rsid w:val="001007AB"/>
    <w:rsid w:val="00101FC2"/>
    <w:rsid w:val="001031D7"/>
    <w:rsid w:val="001035BA"/>
    <w:rsid w:val="0010608B"/>
    <w:rsid w:val="00106979"/>
    <w:rsid w:val="00107611"/>
    <w:rsid w:val="00111E32"/>
    <w:rsid w:val="001129D5"/>
    <w:rsid w:val="001157D0"/>
    <w:rsid w:val="00115B95"/>
    <w:rsid w:val="00120290"/>
    <w:rsid w:val="001235B8"/>
    <w:rsid w:val="00124F91"/>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44E"/>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0CB5"/>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1FA4"/>
    <w:rsid w:val="005B2185"/>
    <w:rsid w:val="005B38AF"/>
    <w:rsid w:val="005B4BD6"/>
    <w:rsid w:val="005B570B"/>
    <w:rsid w:val="005B5FA6"/>
    <w:rsid w:val="005B6FC3"/>
    <w:rsid w:val="005C15D9"/>
    <w:rsid w:val="005C36EA"/>
    <w:rsid w:val="005C5A20"/>
    <w:rsid w:val="005D69A1"/>
    <w:rsid w:val="005D6F5C"/>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259D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5E9B"/>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56C2"/>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4D7"/>
    <w:rsid w:val="007E59A5"/>
    <w:rsid w:val="007E5DA0"/>
    <w:rsid w:val="007F14CA"/>
    <w:rsid w:val="007F4313"/>
    <w:rsid w:val="00802FC2"/>
    <w:rsid w:val="00804C4A"/>
    <w:rsid w:val="00810BF8"/>
    <w:rsid w:val="008111E3"/>
    <w:rsid w:val="0081303C"/>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6"/>
    <w:rsid w:val="008653BB"/>
    <w:rsid w:val="008728B7"/>
    <w:rsid w:val="00873AA9"/>
    <w:rsid w:val="00873E95"/>
    <w:rsid w:val="00874142"/>
    <w:rsid w:val="00874AB8"/>
    <w:rsid w:val="00876154"/>
    <w:rsid w:val="008769DA"/>
    <w:rsid w:val="00883B30"/>
    <w:rsid w:val="0088586B"/>
    <w:rsid w:val="0088645D"/>
    <w:rsid w:val="00887EA9"/>
    <w:rsid w:val="008907B3"/>
    <w:rsid w:val="008911E1"/>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E77DD"/>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4303"/>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767"/>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465B6"/>
    <w:rsid w:val="00B5176F"/>
    <w:rsid w:val="00B523EC"/>
    <w:rsid w:val="00B54481"/>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D6287"/>
    <w:rsid w:val="00BD6835"/>
    <w:rsid w:val="00BD7940"/>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B35"/>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0322"/>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AF7"/>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35F"/>
    <w:rsid w:val="00E365AC"/>
    <w:rsid w:val="00E366F6"/>
    <w:rsid w:val="00E43F05"/>
    <w:rsid w:val="00E43F7B"/>
    <w:rsid w:val="00E448F3"/>
    <w:rsid w:val="00E467E0"/>
    <w:rsid w:val="00E5126D"/>
    <w:rsid w:val="00E54A14"/>
    <w:rsid w:val="00E55E4E"/>
    <w:rsid w:val="00E61444"/>
    <w:rsid w:val="00E65E1D"/>
    <w:rsid w:val="00E6703E"/>
    <w:rsid w:val="00E7078C"/>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sl-SI"/>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sl-SI"/>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sl-SI"/>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8E77DD"/>
    <w:rPr>
      <w:rFonts w:ascii="Times New Roman" w:hAnsi="Times New Roman" w:cs="Times New Roman"/>
      <w:sz w:val="24"/>
      <w:lang w:val="sl-SI"/>
    </w:rPr>
  </w:style>
  <w:style w:type="character" w:customStyle="1" w:styleId="FooterChar">
    <w:name w:val="Footer Char"/>
    <w:basedOn w:val="DefaultParagraphFont"/>
    <w:link w:val="Footer"/>
    <w:uiPriority w:val="99"/>
    <w:rsid w:val="008E77DD"/>
    <w:rPr>
      <w:rFonts w:ascii="Times New Roman" w:hAnsi="Times New Roman" w:cs="Times New Roman"/>
      <w:sz w:val="24"/>
      <w:lang w:val="sl-SI"/>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l-SI"/>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l-SI"/>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l-SI"/>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l-SI"/>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l-SI"/>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l-SI"/>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l-SI"/>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E77DD"/>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E77DD"/>
    <w:pPr>
      <w:spacing w:before="0"/>
      <w:jc w:val="right"/>
    </w:pPr>
    <w:rPr>
      <w:sz w:val="28"/>
    </w:rPr>
  </w:style>
  <w:style w:type="paragraph" w:customStyle="1" w:styleId="FooterSensitivity">
    <w:name w:val="Footer Sensitivity"/>
    <w:basedOn w:val="Normal"/>
    <w:rsid w:val="008E77DD"/>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8E77DD"/>
    <w:pPr>
      <w:tabs>
        <w:tab w:val="center" w:pos="4535"/>
        <w:tab w:val="right" w:pos="9071"/>
      </w:tabs>
      <w:spacing w:before="0"/>
    </w:pPr>
  </w:style>
  <w:style w:type="paragraph" w:customStyle="1" w:styleId="HeaderLandscape">
    <w:name w:val="HeaderLandscape"/>
    <w:basedOn w:val="Normal"/>
    <w:rsid w:val="008E77DD"/>
    <w:pPr>
      <w:tabs>
        <w:tab w:val="center" w:pos="7285"/>
        <w:tab w:val="right" w:pos="14003"/>
      </w:tabs>
      <w:spacing w:before="0"/>
    </w:pPr>
  </w:style>
  <w:style w:type="paragraph" w:styleId="Footer">
    <w:name w:val="footer"/>
    <w:basedOn w:val="Normal"/>
    <w:link w:val="FooterChar"/>
    <w:uiPriority w:val="99"/>
    <w:unhideWhenUsed/>
    <w:rsid w:val="008E77DD"/>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8E77DD"/>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2.xml><?xml version="1.0" encoding="utf-8"?>
<ds:datastoreItem xmlns:ds="http://schemas.openxmlformats.org/officeDocument/2006/customXml" ds:itemID="{75F2B969-1DE3-4CD9-9CB8-FCA8468103AD}"/>
</file>

<file path=customXml/itemProps3.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2D716B71-9F32-4C1A-8FE8-D163212F892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TotalTime>
  <Pages>13</Pages>
  <Words>4274</Words>
  <Characters>24366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28583</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41</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